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026CC1F6"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559FF">
        <w:t>dissertation</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w:t>
      </w:r>
      <w:r w:rsidR="00254288">
        <w:t>contracts denominated in other currencies</w:t>
      </w:r>
      <w:r w:rsidRPr="000A41CF">
        <w:t xml:space="preserve">, this </w:t>
      </w:r>
      <w:r w:rsidR="009559FF">
        <w:t>dissertation</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74F9540A" w:rsidR="00916B59" w:rsidRDefault="00916B59" w:rsidP="00916B59">
      <w:r w:rsidRPr="006875A1">
        <w:t xml:space="preserve">The </w:t>
      </w:r>
      <w:r w:rsidR="00C25DD7">
        <w:t>dissertation</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A2102A">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A2102A">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A2102A">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A2102A">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A2102A">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A2102A">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792DB65D"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 Vanilla fixed-for-floating swaps are the most prevalent</w:t>
      </w:r>
      <w:r>
        <w:t>.</w:t>
      </w:r>
      <w:r w:rsidRPr="005A0C96">
        <w:t xml:space="preserve"> </w:t>
      </w:r>
      <w:r>
        <w:t>In this type of swap,</w:t>
      </w:r>
      <w:r w:rsidRPr="005A0C96">
        <w:t xml:space="preserve"> one party exchanges fixed-rate coupon payments for floating-rate payments on a notional principal.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w:t>
      </w:r>
      <w:r w:rsidR="00172624">
        <w:rPr>
          <w:rStyle w:val="FootnoteReference"/>
        </w:rPr>
        <w:footnoteReference w:id="2"/>
      </w:r>
      <w:r w:rsidRPr="00016AE6">
        <w:t>.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1F77BCB"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w:t>
      </w:r>
      <w:r w:rsidR="009559FF">
        <w:t>studied in this dissertation</w:t>
      </w:r>
      <w:r>
        <w:t xml:space="preserve">,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A2102A">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fldChar w:fldCharType="begin"/>
      </w:r>
      <w:r w:rsidR="00FC3085">
        <w:instrText xml:space="preserve"> REF _Ref181435687 \r \h </w:instrText>
      </w:r>
      <w:r w:rsidR="00FC3085">
        <w:fldChar w:fldCharType="separate"/>
      </w:r>
      <w:r w:rsidR="00A2102A">
        <w:t>Appendix A</w:t>
      </w:r>
      <w:r w:rsidR="00FC3085">
        <w:fldChar w:fldCharType="end"/>
      </w:r>
      <w:r>
        <w:t xml:space="preserve">. </w:t>
      </w:r>
      <w:r w:rsidR="00DC013C">
        <w:t>The</w:t>
      </w:r>
      <w:r>
        <w:t xml:space="preserve"> </w:t>
      </w:r>
      <w:r w:rsidR="00DC013C">
        <w:lastRenderedPageBreak/>
        <w:t xml:space="preserve">CAD- </w:t>
      </w:r>
      <w:r>
        <w:t xml:space="preserve">and </w:t>
      </w:r>
      <w:r w:rsidR="00DC013C">
        <w:t>USD-</w:t>
      </w:r>
      <w:r>
        <w:t>denominated standard contracts use</w:t>
      </w:r>
      <w:r w:rsidR="00DC013C">
        <w:t xml:space="preserve"> </w:t>
      </w:r>
      <w:r>
        <w:t>the ISDA master agreement, which detail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A2102A">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69363C63"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 For this purpose, CCPs practice risk-control measures and have additional resources to make a counterparty whole in case of default</w:t>
      </w:r>
      <w:r w:rsidR="00172624">
        <w:rPr>
          <w:rStyle w:val="FootnoteReference"/>
        </w:rPr>
        <w:footnoteReference w:id="3"/>
      </w:r>
      <w:r>
        <w:t xml:space="preserve">. When counterparties clear their trade through a </w:t>
      </w:r>
      <w:r>
        <w:lastRenderedPageBreak/>
        <w:t>clearinghouse, they must put up collateral (initial margin) and contribute to a default fund. In case the risk position of the counterparty changes, it can be required to put up additional collateral (variation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7F9A2E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72A79534"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C55A7A">
        <w:t xml:space="preserve">These obligations will usually arise because firms will demand collateral from each other to protect against </w:t>
      </w:r>
      <w:r w:rsidR="007A3315">
        <w:t>default</w:t>
      </w:r>
      <w:r w:rsidR="00C55A7A">
        <w:t xml:space="preserve">, as they </w:t>
      </w:r>
      <w:r w:rsidR="00297A3F">
        <w:t>enter</w:t>
      </w:r>
      <w:r w:rsidR="00C55A7A">
        <w:t xml:space="preserve"> swaps contracts with each other. This </w:t>
      </w:r>
      <w:r w:rsidR="00472EC4">
        <w:t xml:space="preserve">initial set of obligations is visualized in </w:t>
      </w:r>
      <w:r w:rsidR="00472EC4">
        <w:fldChar w:fldCharType="begin"/>
      </w:r>
      <w:r w:rsidR="00472EC4">
        <w:instrText xml:space="preserve"> REF _Ref169916310 \h </w:instrText>
      </w:r>
      <w:r w:rsidR="00472EC4">
        <w:fldChar w:fldCharType="separate"/>
      </w:r>
      <w:r w:rsidR="00A2102A">
        <w:rPr>
          <w:b/>
          <w:bCs/>
        </w:rPr>
        <w:t xml:space="preserve">Error! Reference source not </w:t>
      </w:r>
      <w:proofErr w:type="spellStart"/>
      <w:r w:rsidR="00A2102A">
        <w:rPr>
          <w:b/>
          <w:bCs/>
        </w:rPr>
        <w:t>found.</w:t>
      </w:r>
      <w:r w:rsidR="00472EC4">
        <w:fldChar w:fldCharType="end"/>
      </w:r>
      <w:r w:rsidR="00C55A7A">
        <w:t>a</w:t>
      </w:r>
      <w:proofErr w:type="spellEnd"/>
      <w:r w:rsidR="00C55A7A">
        <w:t>,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C25DD7">
        <w:fldChar w:fldCharType="begin"/>
      </w:r>
      <w:r w:rsidR="00C25DD7">
        <w:instrText xml:space="preserve"> REF _Ref169916310 \h </w:instrText>
      </w:r>
      <w:r w:rsidR="00C25DD7">
        <w:fldChar w:fldCharType="separate"/>
      </w:r>
      <w:r w:rsidR="00A2102A">
        <w:rPr>
          <w:b/>
          <w:bCs/>
        </w:rPr>
        <w:t xml:space="preserve">Error! Reference source not </w:t>
      </w:r>
      <w:proofErr w:type="spellStart"/>
      <w:r w:rsidR="00A2102A">
        <w:rPr>
          <w:b/>
          <w:bCs/>
        </w:rPr>
        <w:t>found.</w:t>
      </w:r>
      <w:r w:rsidR="00C25DD7">
        <w:fldChar w:fldCharType="end"/>
      </w:r>
      <w:r w:rsidR="00C25DD7">
        <w:t>b</w:t>
      </w:r>
      <w:proofErr w:type="spellEnd"/>
      <w:r>
        <w:t xml:space="preserve">. In a bilateral netting regime, 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t>
      </w:r>
      <w:r>
        <w:lastRenderedPageBreak/>
        <w:t xml:space="preserve">would pay firm C ($150 - $100) = $50 million. The total collateral demand would be $200 million. </w:t>
      </w:r>
      <w:r w:rsidR="007A3315">
        <w:t xml:space="preserve">As shown in the figure, under this arrangement, firm B acts like a pass-through entity that collects a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97A3F">
        <w:t>, which should be much better capitalized,</w:t>
      </w:r>
      <w:r w:rsidR="007A3315">
        <w:t xml:space="preserve"> 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A2102A">
        <w:rPr>
          <w:b/>
          <w:bCs/>
        </w:rPr>
        <w:t xml:space="preserve">Error! Reference source not </w:t>
      </w:r>
      <w:proofErr w:type="spellStart"/>
      <w:r w:rsidR="00A2102A">
        <w:rPr>
          <w:b/>
          <w:bCs/>
        </w:rPr>
        <w:t>found.</w:t>
      </w:r>
      <w:r w:rsidR="002A62E7">
        <w:fldChar w:fldCharType="end"/>
      </w:r>
      <w:r w:rsidR="00C25DD7">
        <w:t>c</w:t>
      </w:r>
      <w:proofErr w:type="spellEnd"/>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22034636" w:rsidR="00034D08" w:rsidRDefault="00034D08" w:rsidP="006A6C1C">
      <w:pPr>
        <w:pStyle w:val="Caption"/>
        <w:keepNext/>
        <w:rPr>
          <w:noProof/>
        </w:rPr>
      </w:pPr>
      <w:r>
        <w:t xml:space="preserve">Figure </w:t>
      </w:r>
      <w:fldSimple w:instr=" SEQ Figure \* ARABIC ">
        <w:r w:rsidR="00A2102A">
          <w:rPr>
            <w:noProof/>
          </w:rPr>
          <w:t>1</w:t>
        </w:r>
      </w:fldSimple>
      <w:r w:rsidR="00792D2D" w:rsidRPr="00792D2D">
        <w:rPr>
          <w:noProof/>
        </w:rPr>
        <w:t xml:space="preserve"> </w:t>
      </w:r>
      <w:r w:rsidR="00792D2D">
        <w:rPr>
          <w:noProof/>
        </w:rPr>
        <w:t>Example of obligations between three firms (a) without any netting (b) with bilateral netting (c) with multilateral netting. Arrows indicate the direction of obligations (for example in (a) firm C owes firm B $100 million and firm C owes firm B $150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5B913CD6" w:rsidR="00916B59" w:rsidRDefault="00916B59" w:rsidP="00916B59">
      <w:r w:rsidRPr="0025043C">
        <w:lastRenderedPageBreak/>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5D73C428" w:rsidR="00916B59" w:rsidRDefault="00916B59" w:rsidP="00D407D0">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lastRenderedPageBreak/>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A2102A">
        <w:t xml:space="preserve">Table </w:t>
      </w:r>
      <w:r w:rsidR="00A2102A">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46FA1E02" w14:textId="3CAEE8A8" w:rsidR="003130C5" w:rsidRDefault="00524440" w:rsidP="00297A3F">
      <w:commentRangeStart w:id="1"/>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(this is discussed further in the </w:t>
      </w:r>
      <w:r w:rsidR="003130C5">
        <w:fldChar w:fldCharType="begin"/>
      </w:r>
      <w:r w:rsidR="003130C5">
        <w:instrText xml:space="preserve"> REF _Ref169916041 \h </w:instrText>
      </w:r>
      <w:r w:rsidR="003130C5">
        <w:fldChar w:fldCharType="separate"/>
      </w:r>
      <w:r w:rsidR="00A2102A">
        <w:t>Identification Strategy</w:t>
      </w:r>
      <w:r w:rsidR="003130C5">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A2102A">
        <w:t xml:space="preserve">Table </w:t>
      </w:r>
      <w:r w:rsidR="00A2102A">
        <w:rPr>
          <w:noProof/>
        </w:rPr>
        <w:t>1</w:t>
      </w:r>
      <w:r w:rsidR="00D407D0">
        <w:fldChar w:fldCharType="end"/>
      </w:r>
      <w:r w:rsidR="00D407D0">
        <w:t xml:space="preserve"> could impact trading. </w:t>
      </w:r>
      <w:r w:rsidR="003130C5">
        <w:t>One of the earliest provisions of the DFA that the CFTC implemented was the data</w:t>
      </w:r>
      <w:r w:rsidR="00787F0C">
        <w:t>-reporting</w:t>
      </w:r>
      <w:r w:rsidR="003130C5">
        <w:t xml:space="preserve">/record-keeping requirement. This required that certain characteristics of swaps trades (such as the agreed upon </w:t>
      </w:r>
      <w:r w:rsidR="00297A3F">
        <w:t>rates and prices</w:t>
      </w:r>
      <w:r w:rsidR="003130C5">
        <w:t xml:space="preserve">) </w:t>
      </w:r>
      <w:r w:rsidR="00297A3F">
        <w:t xml:space="preserve">to </w:t>
      </w:r>
      <w:r w:rsidR="003130C5">
        <w:t xml:space="preserve">be reported in near real-time through </w:t>
      </w:r>
      <w:r w:rsidR="00D019D2">
        <w:t>SDRs</w:t>
      </w:r>
      <w:r w:rsidR="003130C5">
        <w:t xml:space="preserve">. The OTC interest rate swaps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p>
    <w:p w14:paraId="34A5BB4B" w14:textId="15B7DE28" w:rsidR="00787F0C" w:rsidRDefault="00787F0C" w:rsidP="00916B59">
      <w:r>
        <w:t>The CFTC also encouraged standardization of swaps contracts (by requiring parties to put up additional collateral for non-standard contracts)</w:t>
      </w:r>
      <w:r w:rsidR="00D019D2">
        <w:t xml:space="preserve"> and for standardized </w:t>
      </w:r>
      <w:r>
        <w:t xml:space="preserve">contracts to be traded on (electronic) swaps execution facilities (SEF)/exchanges. SEFs are likely to increase competition (as request for quotes are transmitted to multiple dealers simultaneously) increase pricing transparency (giving market participants access to price history, market depth and other market </w:t>
      </w:r>
      <w:r w:rsidR="00DD1D54">
        <w:t>statistics</w:t>
      </w:r>
      <w:r>
        <w:t>)</w:t>
      </w:r>
      <w:r w:rsidR="00DD1D54">
        <w:t xml:space="preserve"> and increase </w:t>
      </w:r>
      <w:r w:rsidR="00D407D0">
        <w:t>liquidity (by allowing more participants, both dealers and end-users to participate in the market).</w:t>
      </w:r>
    </w:p>
    <w:p w14:paraId="12119C61" w14:textId="5A1CCA63" w:rsidR="00D407D0" w:rsidRDefault="00D407D0" w:rsidP="00916B59">
      <w:r>
        <w:t xml:space="preserve">CFTC rulemaking also targeted </w:t>
      </w:r>
      <w:r w:rsidR="00297A3F">
        <w:t xml:space="preserve">the business conduct of </w:t>
      </w:r>
      <w:r>
        <w:t xml:space="preserve">swaps dealers and major swaps participants. This included requiring such entities to register with the CFTC, develop and maintain internal business conduct standards, set-aside capital or require margining for trades they enter, segregate customer funds and have plans for unwinding trades in case of bankruptcy. These </w:t>
      </w:r>
      <w:r w:rsidR="00D019D2">
        <w:t xml:space="preserve">regulations are likely to reduce the risk/impact of a dealer default </w:t>
      </w:r>
      <w:r w:rsidR="00297A3F">
        <w:t xml:space="preserve">(counterparty risk) </w:t>
      </w:r>
      <w:r w:rsidR="00D019D2">
        <w:t>and is likely to affect pricing and volatility.</w:t>
      </w:r>
      <w:commentRangeEnd w:id="1"/>
      <w:r w:rsidR="000D4DB9">
        <w:rPr>
          <w:rStyle w:val="CommentReference"/>
        </w:rPr>
        <w:commentReference w:id="1"/>
      </w:r>
    </w:p>
    <w:p w14:paraId="59F2B912" w14:textId="7076688F" w:rsidR="0098035B" w:rsidRDefault="0098035B">
      <w:pPr>
        <w:spacing w:line="240" w:lineRule="auto"/>
        <w:ind w:firstLine="0"/>
        <w:jc w:val="left"/>
      </w:pPr>
      <w:r>
        <w:br w:type="page"/>
      </w:r>
    </w:p>
    <w:p w14:paraId="6F415CFC" w14:textId="3B80756B" w:rsidR="009F16B5" w:rsidRDefault="009F16B5" w:rsidP="009F16B5">
      <w:pPr>
        <w:pStyle w:val="Caption"/>
        <w:keepNext/>
      </w:pPr>
      <w:bookmarkStart w:id="2" w:name="_Ref169916240"/>
      <w:r>
        <w:lastRenderedPageBreak/>
        <w:t xml:space="preserve">Table </w:t>
      </w:r>
      <w:fldSimple w:instr=" SEQ Table \* ARABIC ">
        <w:r w:rsidR="00A2102A">
          <w:rPr>
            <w:noProof/>
          </w:rPr>
          <w:t>1</w:t>
        </w:r>
      </w:fldSimple>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p>
    <w:tbl>
      <w:tblPr>
        <w:tblStyle w:val="GridTable1Light"/>
        <w:tblW w:w="0" w:type="auto"/>
        <w:tblLook w:val="06A0" w:firstRow="1" w:lastRow="0" w:firstColumn="1" w:lastColumn="0" w:noHBand="1" w:noVBand="1"/>
      </w:tblPr>
      <w:tblGrid>
        <w:gridCol w:w="3751"/>
        <w:gridCol w:w="5599"/>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pPr>
              <w:spacing w:line="240" w:lineRule="auto"/>
              <w:jc w:val="left"/>
            </w:pPr>
            <w:r>
              <w:t>Rulemaking Area</w:t>
            </w:r>
          </w:p>
        </w:tc>
        <w:tc>
          <w:tcPr>
            <w:tcW w:w="0" w:type="auto"/>
          </w:tcPr>
          <w:p w14:paraId="2219CC8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3DD0B235"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A2102A">
        <w:t xml:space="preserve">Table </w:t>
      </w:r>
      <w:r w:rsidR="00A2102A">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A2102A">
        <w:t xml:space="preserve">Table </w:t>
      </w:r>
      <w:r w:rsidR="00A2102A">
        <w:rPr>
          <w:noProof/>
        </w:rPr>
        <w:t>1</w:t>
      </w:r>
      <w:r w:rsidR="00D019D2">
        <w:fldChar w:fldCharType="end"/>
      </w:r>
      <w:r w:rsidR="00D019D2">
        <w:t xml:space="preserve"> for the US) were </w:t>
      </w:r>
      <w:r w:rsidR="0028734C">
        <w:t xml:space="preserve">also </w:t>
      </w:r>
      <w:r w:rsidR="00D019D2">
        <w:t>enacted internationally as well.</w:t>
      </w:r>
    </w:p>
    <w:p w14:paraId="35F0BFE7" w14:textId="45E7891D" w:rsidR="00D019D2" w:rsidRDefault="00D019D2" w:rsidP="00916B59">
      <w:r>
        <w:t xml:space="preserve">The US and EU acted nearly simultaneously in enacting the central clearing requirement. As then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local currency. Other financial centers, such as Hong Kong, Singapore and Switzerland enacted central clearing requirements around the 2016-2017 period. Importantly, Canada implemented a central clearing requirement in May 2017, creating a period where interest rate swaps contracts denominated in Canadian dollars did not need to be cleared</w:t>
      </w:r>
      <w:r w:rsidR="0028734C">
        <w:t xml:space="preserve"> either in the US or in Canada</w:t>
      </w:r>
      <w:r w:rsidR="00322790">
        <w:t>.</w:t>
      </w:r>
    </w:p>
    <w:p w14:paraId="35228905" w14:textId="08EF4E1A" w:rsidR="0098035B" w:rsidRDefault="0098035B">
      <w:pPr>
        <w:spacing w:line="240" w:lineRule="auto"/>
        <w:ind w:firstLine="0"/>
        <w:jc w:val="left"/>
      </w:pPr>
      <w:r>
        <w:br w:type="page"/>
      </w:r>
    </w:p>
    <w:p w14:paraId="395ABD8F" w14:textId="1A47FBE7" w:rsidR="009F16B5" w:rsidRDefault="009F16B5" w:rsidP="0028734C">
      <w:pPr>
        <w:pStyle w:val="Caption"/>
        <w:keepNext/>
      </w:pPr>
      <w:bookmarkStart w:id="3" w:name="_Ref169916258"/>
      <w:r>
        <w:lastRenderedPageBreak/>
        <w:t xml:space="preserve">Table </w:t>
      </w:r>
      <w:fldSimple w:instr=" SEQ Table \* ARABIC ">
        <w:r w:rsidR="00A2102A">
          <w:rPr>
            <w:noProof/>
          </w:rPr>
          <w:t>2</w:t>
        </w:r>
      </w:fldSimple>
      <w:bookmarkEnd w:id="3"/>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 xml:space="preserve">and AUD-denomianted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pPr>
              <w:spacing w:line="240" w:lineRule="auto"/>
              <w:jc w:val="left"/>
            </w:pPr>
            <w:r>
              <w:t>Jurisdiction</w:t>
            </w:r>
          </w:p>
        </w:tc>
        <w:tc>
          <w:tcPr>
            <w:tcW w:w="3629" w:type="pct"/>
          </w:tcPr>
          <w:p w14:paraId="07A0779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pPr>
              <w:spacing w:line="240" w:lineRule="auto"/>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pPr>
              <w:spacing w:line="240" w:lineRule="auto"/>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pPr>
              <w:spacing w:line="240" w:lineRule="auto"/>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33A0D4F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7FA7D9B6"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A2102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25DB301"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 xml:space="preserve">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5692185F"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20DD8213" w:rsidR="00916B59" w:rsidRDefault="00916B59">
            <w:pPr>
              <w:pStyle w:val="Caption"/>
              <w:keepNext/>
              <w:jc w:val="right"/>
            </w:pPr>
            <w:r>
              <w:t>(</w:t>
            </w:r>
            <w:fldSimple w:instr=" SEQ Equation \* ARABIC ">
              <w:r w:rsidR="00A2102A">
                <w:rPr>
                  <w:noProof/>
                </w:rPr>
                <w:t>1</w:t>
              </w:r>
            </w:fldSimple>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59D9D840" w:rsidR="00916B59" w:rsidRDefault="00916B59">
            <w:pPr>
              <w:pStyle w:val="Caption"/>
              <w:keepNext/>
              <w:jc w:val="right"/>
            </w:pPr>
            <w:r>
              <w:t>(</w:t>
            </w:r>
            <w:fldSimple w:instr=" SEQ Equation \* ARABIC ">
              <w:r w:rsidR="00A2102A">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6A9FBC38" w:rsidR="00916B59" w:rsidRDefault="00916B59">
            <w:pPr>
              <w:pStyle w:val="Caption"/>
              <w:keepNext/>
              <w:jc w:val="right"/>
            </w:pPr>
            <w:bookmarkStart w:id="6" w:name="_Ref167361621"/>
            <w:r>
              <w:t>(</w:t>
            </w:r>
            <w:fldSimple w:instr=" SEQ Equation \* ARABIC ">
              <w:r w:rsidR="00A2102A">
                <w:rPr>
                  <w:noProof/>
                </w:rPr>
                <w:t>3</w:t>
              </w:r>
            </w:fldSimple>
            <w:r>
              <w:t>)</w:t>
            </w:r>
            <w:bookmarkEnd w:id="6"/>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212F1979"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w:t>
      </w:r>
      <w:r>
        <w:lastRenderedPageBreak/>
        <w:t>term instruments like forward rate agreements and existing swaps, is used. At the outset of the contract, its value (</w:t>
      </w:r>
      <m:oMath>
        <m:r>
          <w:rPr>
            <w:rFonts w:ascii="Cambria Math" w:hAnsi="Cambria Math"/>
          </w:rPr>
          <m:t>PV</m:t>
        </m:r>
      </m:oMath>
      <w:r>
        <w:t>) is zero. This is achieved by determining the present value of the floating leg using the forecasted payments (using the LIBOR yield curve</w:t>
      </w:r>
      <w:proofErr w:type="gramStart"/>
      <w:r>
        <w:t>), and</w:t>
      </w:r>
      <w:proofErr w:type="gramEnd"/>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A2102A">
        <w:t>(</w:t>
      </w:r>
      <w:r w:rsidR="00A2102A">
        <w:rPr>
          <w:noProof/>
        </w:rPr>
        <w:t>3</w:t>
      </w:r>
      <w:r w:rsidR="00A2102A">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02023852"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A2102A">
        <w:t xml:space="preserve">Figure </w:t>
      </w:r>
      <w:r w:rsidR="00A2102A">
        <w:rPr>
          <w:noProof/>
        </w:rPr>
        <w:t>2</w:t>
      </w:r>
      <w:r w:rsidR="002A62E7">
        <w:fldChar w:fldCharType="end"/>
      </w:r>
      <w:r w:rsidR="002A62E7">
        <w:t xml:space="preserve"> </w:t>
      </w:r>
      <w:r>
        <w:t>depicts a hypothetical network model of such a market.</w:t>
      </w:r>
    </w:p>
    <w:p w14:paraId="66879F21" w14:textId="26E45598" w:rsidR="009F16B5" w:rsidRDefault="009F16B5" w:rsidP="00601226">
      <w:pPr>
        <w:pStyle w:val="Caption"/>
        <w:keepNext/>
      </w:pPr>
      <w:bookmarkStart w:id="7" w:name="_Ref169916362"/>
      <w:r>
        <w:t xml:space="preserve">Figure </w:t>
      </w:r>
      <w:fldSimple w:instr=" SEQ Figure \* ARABIC ">
        <w:r w:rsidR="00A2102A">
          <w:rPr>
            <w:noProof/>
          </w:rPr>
          <w:t>2</w:t>
        </w:r>
      </w:fldSimple>
      <w:bookmarkEnd w:id="7"/>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5"/>
                    <a:stretch>
                      <a:fillRect/>
                    </a:stretch>
                  </pic:blipFill>
                  <pic:spPr>
                    <a:xfrm>
                      <a:off x="0" y="0"/>
                      <a:ext cx="3009900" cy="2857500"/>
                    </a:xfrm>
                    <a:prstGeom prst="rect">
                      <a:avLst/>
                    </a:prstGeom>
                  </pic:spPr>
                </pic:pic>
              </a:graphicData>
            </a:graphic>
          </wp:inline>
        </w:drawing>
      </w:r>
    </w:p>
    <w:p w14:paraId="4FC00149" w14:textId="7710CFE2" w:rsidR="00916B59" w:rsidRDefault="00916B59" w:rsidP="00916B59">
      <w:r>
        <w:t xml:space="preserve">In the figure, three dealers (D) each engage with their set of clients (C). Note that dealers might engage in interdealer trading (indicated by </w:t>
      </w:r>
      <w:r w:rsidR="00E010E0">
        <w:t xml:space="preserve">thicker </w:t>
      </w:r>
      <w:r>
        <w:t xml:space="preserve">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w:t>
      </w:r>
      <w:r>
        <w:lastRenderedPageBreak/>
        <w:t>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4AFE3932" w:rsidR="00916B59" w:rsidRDefault="00916B59">
            <w:pPr>
              <w:pStyle w:val="Caption"/>
              <w:keepNext/>
              <w:jc w:val="right"/>
            </w:pPr>
            <w:r>
              <w:t>(</w:t>
            </w:r>
            <w:fldSimple w:instr=" SEQ Equation \* ARABIC ">
              <w:r w:rsidR="00A2102A">
                <w:rPr>
                  <w:noProof/>
                </w:rPr>
                <w:t>4</w:t>
              </w:r>
            </w:fldSimple>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0E0AC409"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A2102A">
        <w:t xml:space="preserve">Figure </w:t>
      </w:r>
      <w:r w:rsidR="00A2102A">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1A9D66A6" w:rsidR="009F16B5" w:rsidRDefault="009F16B5" w:rsidP="00601226">
      <w:pPr>
        <w:pStyle w:val="Caption"/>
        <w:keepNext/>
      </w:pPr>
      <w:bookmarkStart w:id="8" w:name="_Ref169916763"/>
      <w:r>
        <w:lastRenderedPageBreak/>
        <w:t xml:space="preserve">Figure </w:t>
      </w:r>
      <w:fldSimple w:instr=" SEQ Figure \* ARABIC ">
        <w:r w:rsidR="00A2102A">
          <w:rPr>
            <w:noProof/>
          </w:rPr>
          <w:t>3</w:t>
        </w:r>
      </w:fldSimple>
      <w:bookmarkEnd w:id="8"/>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is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6"/>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9" w:name="_Ref169917084"/>
      <w:r>
        <w:t>Model of Liquidity (Bid-Ask Spreads)</w:t>
      </w:r>
      <w:bookmarkEnd w:id="9"/>
    </w:p>
    <w:p w14:paraId="6ED39CE3" w14:textId="5A5E39CD" w:rsidR="00E162B2" w:rsidRPr="00E162B2" w:rsidRDefault="00E162B2" w:rsidP="00076D05">
      <w:pPr>
        <w:pStyle w:val="Heading3"/>
      </w:pPr>
      <w:r>
        <w:t>Liquidity with no Counterparty Risk</w:t>
      </w:r>
    </w:p>
    <w:p w14:paraId="381AA484" w14:textId="3481DDED"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w:t>
      </w:r>
      <w:commentRangeStart w:id="10"/>
      <w:r w:rsidR="009977CD">
        <w:t>I preserve the essential relationships between risk-aversion, volatility, dealers’ inventory levels and the observed bid-ask spread, but</w:t>
      </w:r>
      <w:r>
        <w:t xml:space="preserve"> </w:t>
      </w:r>
      <w:r w:rsidR="009977CD">
        <w:t xml:space="preserve">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w:t>
      </w:r>
      <w:proofErr w:type="spellStart"/>
      <w:r w:rsidR="009977CD">
        <w:t>backoffice</w:t>
      </w:r>
      <w:proofErr w:type="spellEnd"/>
      <w:r w:rsidR="009977CD">
        <w:t xml:space="preserv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w:t>
      </w:r>
      <w:r w:rsidR="009977CD">
        <w:lastRenderedPageBreak/>
        <w:t xml:space="preserve">dealers based on their costs and expected profits </w:t>
      </w:r>
      <w:r w:rsidR="00771FA8">
        <w:t>from</w:t>
      </w:r>
      <w:r w:rsidR="009977CD">
        <w:t xml:space="preserve"> </w:t>
      </w:r>
      <w:r w:rsidR="00771FA8">
        <w:t>market-making activities</w:t>
      </w:r>
      <w:r w:rsidR="009977CD">
        <w:t xml:space="preserve">. </w:t>
      </w:r>
      <w:r w:rsidR="00771FA8">
        <w:t>However, this aspect Biais’ model is not consequential to the fundamental relationship between the bid and ask prices quoted by dealers and the volatility of underlying prices.</w:t>
      </w:r>
      <w:r w:rsidR="00472EC4">
        <w:t xml:space="preserve"> </w:t>
      </w:r>
      <w:r w:rsidR="00771FA8">
        <w:t>To simplify exposition, I modify the sequential game to involve exactly 2 dealers and one liquidity trader (that is, players no longer choose their type but are predetermined to be either be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 quotes.</w:t>
      </w:r>
      <w:commentRangeEnd w:id="10"/>
      <w:r w:rsidR="00A50363">
        <w:rPr>
          <w:rStyle w:val="CommentReference"/>
        </w:rPr>
        <w:commentReference w:id="10"/>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4D6CCFC5" w:rsidR="00916B59" w:rsidRDefault="00916B59">
            <w:pPr>
              <w:pStyle w:val="Caption"/>
              <w:keepNext/>
              <w:jc w:val="right"/>
            </w:pPr>
            <w:r>
              <w:t>(</w:t>
            </w:r>
            <w:fldSimple w:instr=" SEQ Equation \* ARABIC ">
              <w:r w:rsidR="00A2102A">
                <w:rPr>
                  <w:noProof/>
                </w:rPr>
                <w:t>5</w:t>
              </w:r>
            </w:fldSimple>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00000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r>
                      <w:rPr>
                        <w:rFonts w:ascii="Cambria Math" w:hAnsi="Cambria Math"/>
                      </w:rPr>
                      <m:t>1</m:t>
                    </m:r>
                  </m:e>
                </m:d>
                <m:r>
                  <w:rPr>
                    <w:rFonts w:ascii="Cambria Math" w:eastAsiaTheme="minorEastAsia" w:hAnsi="Cambria Math"/>
                  </w:rPr>
                  <m:t>+</m:t>
                </m:r>
                <m:r>
                  <w:rPr>
                    <w:rFonts w:ascii="Cambria Math" w:eastAsiaTheme="minorEastAsia" w:hAnsi="Cambria Math"/>
                  </w:rPr>
                  <m:t>L</m:t>
                </m:r>
              </m:oMath>
            </m:oMathPara>
          </w:p>
        </w:tc>
        <w:tc>
          <w:tcPr>
            <w:tcW w:w="350" w:type="pct"/>
          </w:tcPr>
          <w:p w14:paraId="5C521048" w14:textId="79D078E7" w:rsidR="00916B59" w:rsidRDefault="00916B59">
            <w:pPr>
              <w:pStyle w:val="Caption"/>
              <w:keepNext/>
              <w:jc w:val="right"/>
            </w:pPr>
            <w:r>
              <w:t>(</w:t>
            </w:r>
            <w:fldSimple w:instr=" SEQ Equation \* ARABIC ">
              <w:r w:rsidR="00A2102A">
                <w:rPr>
                  <w:noProof/>
                </w:rPr>
                <w:t>6</w:t>
              </w:r>
            </w:fldSimple>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2C652659" w:rsidR="00916B59" w:rsidRDefault="00916B59">
            <w:pPr>
              <w:pStyle w:val="Caption"/>
              <w:keepNext/>
              <w:jc w:val="right"/>
            </w:pPr>
            <w:r>
              <w:t>(</w:t>
            </w:r>
            <w:fldSimple w:instr=" SEQ Equation \* ARABIC ">
              <w:r w:rsidR="00A2102A">
                <w:rPr>
                  <w:noProof/>
                </w:rPr>
                <w:t>7</w:t>
              </w:r>
            </w:fldSimple>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m:t>
                    </m:r>
                    <m:r>
                      <w:rPr>
                        <w:rFonts w:ascii="Cambria Math" w:hAnsi="Cambria Math"/>
                      </w:rPr>
                      <m:t>,1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483918F" w:rsidR="00916B59" w:rsidRDefault="00916B59">
            <w:pPr>
              <w:pStyle w:val="Caption"/>
              <w:keepNext/>
              <w:jc w:val="right"/>
            </w:pPr>
            <w:r>
              <w:t>(</w:t>
            </w:r>
            <w:fldSimple w:instr=" SEQ Equation \* ARABIC ">
              <w:r w:rsidR="00A2102A">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463216B2" w:rsidR="00916B59" w:rsidRDefault="00916B59">
            <w:pPr>
              <w:pStyle w:val="Caption"/>
              <w:keepNext/>
              <w:jc w:val="right"/>
            </w:pPr>
            <w:r>
              <w:t>(</w:t>
            </w:r>
            <w:fldSimple w:instr=" SEQ Equation \* ARABIC ">
              <w:r w:rsidR="00A2102A">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28C8961F" w:rsidR="00916B59" w:rsidRDefault="00916B59">
            <w:pPr>
              <w:pStyle w:val="Caption"/>
              <w:keepNext/>
              <w:jc w:val="right"/>
            </w:pPr>
            <w:r>
              <w:t>(</w:t>
            </w:r>
            <w:fldSimple w:instr=" SEQ Equation \* ARABIC ">
              <w:r w:rsidR="00A2102A">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5E896F4D" w:rsidR="00916B59" w:rsidRDefault="00916B59">
            <w:pPr>
              <w:pStyle w:val="Caption"/>
              <w:keepNext/>
              <w:jc w:val="right"/>
            </w:pPr>
            <w:r>
              <w:t>(</w:t>
            </w:r>
            <w:fldSimple w:instr=" SEQ Equation \* ARABIC ">
              <w:r w:rsidR="00A2102A">
                <w:rPr>
                  <w:noProof/>
                </w:rPr>
                <w:t>11</w:t>
              </w:r>
            </w:fldSimple>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204EAAD8" w:rsidR="00916B59" w:rsidRDefault="00916B59">
            <w:pPr>
              <w:pStyle w:val="Caption"/>
              <w:keepNext/>
              <w:jc w:val="right"/>
            </w:pPr>
            <w:r>
              <w:t>(</w:t>
            </w:r>
            <w:fldSimple w:instr=" SEQ Equation \* ARABIC ">
              <w:r w:rsidR="00A2102A">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1CF4478" w:rsidR="00916B59" w:rsidRDefault="00916B59">
            <w:pPr>
              <w:pStyle w:val="Caption"/>
              <w:keepNext/>
              <w:jc w:val="right"/>
            </w:pPr>
            <w:r>
              <w:t>(</w:t>
            </w:r>
            <w:fldSimple w:instr=" SEQ Equation \* ARABIC ">
              <w:r w:rsidR="00A2102A">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7EF69508" w:rsidR="00916B59" w:rsidRDefault="00916B59">
            <w:pPr>
              <w:pStyle w:val="Caption"/>
              <w:keepNext/>
              <w:jc w:val="right"/>
            </w:pPr>
            <w:bookmarkStart w:id="11" w:name="_Ref167364187"/>
            <w:r>
              <w:t>(</w:t>
            </w:r>
            <w:fldSimple w:instr=" SEQ Equation \* ARABIC ">
              <w:r w:rsidR="00A2102A">
                <w:rPr>
                  <w:noProof/>
                </w:rPr>
                <w:t>14</w:t>
              </w:r>
            </w:fldSimple>
            <w:r>
              <w:t>)</w:t>
            </w:r>
            <w:bookmarkEnd w:id="11"/>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5437CB39" w:rsidR="00916B59" w:rsidRDefault="00916B59">
            <w:pPr>
              <w:pStyle w:val="Caption"/>
              <w:keepNext/>
              <w:jc w:val="right"/>
            </w:pPr>
            <w:r>
              <w:t>(</w:t>
            </w:r>
            <w:fldSimple w:instr=" SEQ Equation \* ARABIC ">
              <w:r w:rsidR="00A2102A">
                <w:rPr>
                  <w:noProof/>
                </w:rPr>
                <w:t>15</w:t>
              </w:r>
            </w:fldSimple>
            <w:r>
              <w:t>)</w:t>
            </w:r>
          </w:p>
        </w:tc>
      </w:tr>
    </w:tbl>
    <w:p w14:paraId="1746F076" w14:textId="25CF7718" w:rsidR="00916B59" w:rsidRDefault="004142D0" w:rsidP="00916B59">
      <w:r>
        <w:t>Note</w:t>
      </w:r>
      <w:r w:rsidR="00916B59">
        <w:t xml:space="preserve">: Under competition with many dealers, the second term on the RHS of </w:t>
      </w:r>
      <w:r w:rsidR="00916B59">
        <w:fldChar w:fldCharType="begin"/>
      </w:r>
      <w:r w:rsidR="00916B59">
        <w:instrText xml:space="preserve"> REF _Ref167364187 \h </w:instrText>
      </w:r>
      <w:r w:rsidR="00916B59">
        <w:fldChar w:fldCharType="separate"/>
      </w:r>
      <w:r w:rsidR="00A2102A">
        <w:t>(</w:t>
      </w:r>
      <w:r w:rsidR="00A2102A">
        <w:rPr>
          <w:noProof/>
        </w:rPr>
        <w:t>14</w:t>
      </w:r>
      <w:r w:rsidR="00A2102A">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13756C">
      <w:pPr>
        <w:pStyle w:val="Heading4"/>
        <w:numPr>
          <w:ilvl w:val="0"/>
          <w:numId w:val="0"/>
        </w:numPr>
      </w:pPr>
      <w:commentRangeStart w:id="12"/>
      <w:r>
        <w:t>Se</w:t>
      </w:r>
      <w:r w:rsidR="008A3BA7">
        <w:t xml:space="preserve">nsitivity to Specification of </w:t>
      </w:r>
      <w:r w:rsidR="00CF0EDF">
        <w:t>Utility Function</w:t>
      </w:r>
    </w:p>
    <w:p w14:paraId="6A0B9BBA" w14:textId="3E6DBE20" w:rsidR="003666CD" w:rsidRDefault="003666CD" w:rsidP="00766ED4">
      <w:r>
        <w:t xml:space="preserve">In the </w:t>
      </w:r>
      <w:r w:rsidR="00CF0EDF">
        <w:t>above</w:t>
      </w:r>
      <w:r>
        <w:t>, I derive</w:t>
      </w:r>
      <w:r w:rsidR="00CF0EDF">
        <w:t>d</w:t>
      </w:r>
      <w:r>
        <w:t xml:space="preserve"> expressions for 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p w14:paraId="008CF76E" w14:textId="77777777" w:rsidR="003666CD" w:rsidRDefault="003666CD" w:rsidP="003666CD">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r>
            <m:rPr>
              <m:sty m:val="p"/>
            </m:rPr>
            <w:rPr>
              <w:rFonts w:ascii="Cambria Math" w:hAnsi="Cambria Math"/>
            </w:rPr>
            <w:br/>
          </m:r>
        </m:oMath>
      </m:oMathPara>
      <w:r>
        <w:t>The final wealth of the liquidity trader is given by:</w:t>
      </w:r>
    </w:p>
    <w:p w14:paraId="3AFCE09F" w14:textId="77777777" w:rsidR="003666CD" w:rsidRPr="008A792C" w:rsidRDefault="003666CD" w:rsidP="003666CD">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oMath>
      </m:oMathPara>
    </w:p>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p w14:paraId="0B052A9A" w14:textId="77777777" w:rsidR="003666CD" w:rsidRPr="008A792C" w:rsidRDefault="003666CD" w:rsidP="003666CD">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p w14:paraId="60401170" w14:textId="77777777" w:rsidR="003666CD" w:rsidRDefault="003666CD" w:rsidP="003666CD">
      <w:pPr>
        <w:rPr>
          <w:rFonts w:eastAsiaTheme="minorEastAsia"/>
        </w:rPr>
      </w:pPr>
      <w:r>
        <w:rPr>
          <w:rFonts w:eastAsiaTheme="minorEastAsia"/>
        </w:rPr>
        <w:t>Then</w:t>
      </w:r>
    </w:p>
    <w:p w14:paraId="14E9D812" w14:textId="77777777" w:rsidR="003666CD" w:rsidRPr="008A792C" w:rsidRDefault="003666CD" w:rsidP="003666CD">
      <w:pPr>
        <w:rPr>
          <w:rFonts w:eastAsiaTheme="minorEastAsia"/>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p w14:paraId="6A12F0F8" w14:textId="77777777" w:rsidR="003666CD" w:rsidRDefault="003666CD" w:rsidP="003666CD">
      <w:pPr>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p w14:paraId="4120785A" w14:textId="77777777" w:rsidR="003666CD" w:rsidRPr="00CB4128"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14:paraId="15B5F522" w14:textId="41982224"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the</w:t>
      </w:r>
      <w:proofErr w:type="spellStart"/>
      <w:r w:rsidR="00950EFE">
        <w:rPr>
          <w:rFonts w:eastAsiaTheme="minorEastAsia"/>
        </w:rPr>
        <w:t>ir</w:t>
      </w:r>
      <w:proofErr w:type="spellEnd"/>
      <w:r>
        <w:rPr>
          <w:rFonts w:eastAsiaTheme="minorEastAsia"/>
        </w:rPr>
        <w:t xml:space="preserve"> order quantity. To find the optimal order quantity, we can set the derivative of the expected utility to zero:</w:t>
      </w:r>
    </w:p>
    <w:p w14:paraId="0089C411" w14:textId="77777777" w:rsidR="003666CD" w:rsidRPr="00CB4128" w:rsidRDefault="003666CD" w:rsidP="003666CD">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p w14:paraId="0E3C7E20" w14:textId="77777777" w:rsidR="003666CD" w:rsidRPr="00CB4128" w:rsidRDefault="00000000"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41BF3F7B" w14:textId="77777777" w:rsidR="003666CD" w:rsidRDefault="003666CD" w:rsidP="003666CD">
      <w:pPr>
        <w:rPr>
          <w:rFonts w:eastAsiaTheme="minorEastAsia"/>
        </w:rPr>
      </w:pPr>
      <w:r>
        <w:rPr>
          <w:rFonts w:eastAsiaTheme="minorEastAsia"/>
        </w:rPr>
        <w:t>This is like the optimal order quantity we derived under CARA</w:t>
      </w:r>
    </w:p>
    <w:p w14:paraId="60F331D1" w14:textId="77777777" w:rsidR="003666CD" w:rsidRPr="00CB4128" w:rsidRDefault="00000000" w:rsidP="003666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CARA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r>
            <w:rPr>
              <w:rFonts w:ascii="Cambria Math" w:eastAsiaTheme="minorEastAsia" w:hAnsi="Cambria Math"/>
            </w:rPr>
            <m:t>+L</m:t>
          </m:r>
        </m:oMath>
      </m:oMathPara>
    </w:p>
    <w:p w14:paraId="6CCAFA7C" w14:textId="77777777" w:rsidR="003666CD" w:rsidRDefault="003666CD" w:rsidP="003666CD">
      <w:pPr>
        <w:rPr>
          <w:rFonts w:eastAsiaTheme="minorEastAsia"/>
        </w:rPr>
      </w:pPr>
      <w:r>
        <w:rPr>
          <w:rFonts w:eastAsiaTheme="minorEastAsia"/>
        </w:rPr>
        <w:t xml:space="preserve">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77777777" w:rsidR="003666CD" w:rsidRDefault="003666CD" w:rsidP="003666CD">
      <w:pPr>
        <w:rPr>
          <w:rFonts w:eastAsiaTheme="minorEastAsia"/>
        </w:rPr>
      </w:pPr>
      <w:r>
        <w:rPr>
          <w:rFonts w:eastAsiaTheme="minorEastAsia"/>
        </w:rPr>
        <w:t xml:space="preserve">If 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xml:space="preserve">. If they </w:t>
      </w:r>
      <w:proofErr w:type="gramStart"/>
      <w:r>
        <w:rPr>
          <w:rFonts w:eastAsiaTheme="minorEastAsia"/>
        </w:rPr>
        <w:t>posts</w:t>
      </w:r>
      <w:proofErr w:type="gramEnd"/>
      <w:r>
        <w:rPr>
          <w:rFonts w:eastAsiaTheme="minorEastAsia"/>
        </w:rPr>
        <w:t xml:space="preserve"> the best bid price, their wealth at the end of the period is:</w:t>
      </w:r>
    </w:p>
    <w:p w14:paraId="0DE74BF7" w14:textId="77777777" w:rsidR="003666CD" w:rsidRPr="00BB4819" w:rsidRDefault="003666CD" w:rsidP="003666CD">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p w14:paraId="7D5A0616" w14:textId="18D23120"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trade, their wealth will be:</w:t>
      </w:r>
    </w:p>
    <w:p w14:paraId="01A88583" w14:textId="77777777" w:rsidR="003666CD" w:rsidRPr="00BB4819" w:rsidRDefault="00000000"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p w14:paraId="3916AE75" w14:textId="77777777"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p w14:paraId="4479A4DB" w14:textId="77777777" w:rsidR="003666CD" w:rsidRPr="00E40A22" w:rsidRDefault="003666CD" w:rsidP="003666CD">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09B63C2E" w14:textId="77777777" w:rsidR="003666CD" w:rsidRDefault="003666CD" w:rsidP="003666CD">
      <w:pPr>
        <w:rPr>
          <w:rFonts w:eastAsiaTheme="minorEastAsia"/>
        </w:rPr>
      </w:pPr>
      <w:r>
        <w:rPr>
          <w:rFonts w:eastAsiaTheme="minorEastAsia"/>
        </w:rPr>
        <w:lastRenderedPageBreak/>
        <w:t>Taking expectations:</w:t>
      </w:r>
    </w:p>
    <w:p w14:paraId="2F2F634A"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p w14:paraId="6384AFDF"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p w14:paraId="05CA5176" w14:textId="77777777" w:rsidR="003666CD" w:rsidRPr="00AB0240"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p w14:paraId="50D4AEF3" w14:textId="77777777" w:rsidR="003666CD" w:rsidRPr="00AB0240" w:rsidRDefault="00000000" w:rsidP="003666C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6188F01C"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similar to the CARA utility case, except quantities and spreads are sensitive to the level of expected wealth of the players.</w:t>
      </w:r>
      <w:commentRangeEnd w:id="12"/>
      <w:r w:rsidR="00FD2267">
        <w:rPr>
          <w:rStyle w:val="CommentReference"/>
        </w:rPr>
        <w:commentReference w:id="12"/>
      </w:r>
    </w:p>
    <w:p w14:paraId="0C3BD090" w14:textId="4EA39BC3" w:rsidR="003666CD" w:rsidRDefault="003666CD" w:rsidP="00916B59"/>
    <w:p w14:paraId="0D30C13A" w14:textId="38E3D6DE" w:rsidR="00E162B2" w:rsidRDefault="00E162B2" w:rsidP="00076D05">
      <w:pPr>
        <w:pStyle w:val="Heading3"/>
      </w:pPr>
      <w:r>
        <w:t>Liquidity with Counterparty Risk</w:t>
      </w:r>
    </w:p>
    <w:p w14:paraId="5F4A2F99" w14:textId="38F730F6"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00000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m:t>
                            </m:r>
                            <m:r>
                              <w:rPr>
                                <w:rFonts w:ascii="Cambria Math" w:hAnsi="Cambria Math"/>
                              </w:rPr>
                              <m:t>+</m:t>
                            </m:r>
                            <m:r>
                              <w:rPr>
                                <w:rFonts w:ascii="Cambria Math" w:hAnsi="Cambria Math"/>
                              </w:rPr>
                              <m:t>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r>
                      <w:rPr>
                        <w:rFonts w:ascii="Cambria Math" w:hAnsi="Cambria Math"/>
                      </w:rPr>
                      <m:t>1</m:t>
                    </m:r>
                  </m:e>
                </m:d>
                <m:r>
                  <w:rPr>
                    <w:rFonts w:ascii="Cambria Math" w:eastAsiaTheme="minorEastAsia" w:hAnsi="Cambria Math"/>
                  </w:rPr>
                  <m:t>+</m:t>
                </m:r>
                <m:r>
                  <w:rPr>
                    <w:rFonts w:ascii="Cambria Math" w:eastAsiaTheme="minorEastAsia" w:hAnsi="Cambria Math"/>
                  </w:rPr>
                  <m:t>L</m:t>
                </m:r>
              </m:oMath>
            </m:oMathPara>
          </w:p>
        </w:tc>
        <w:tc>
          <w:tcPr>
            <w:tcW w:w="350" w:type="pct"/>
          </w:tcPr>
          <w:p w14:paraId="5167B05D" w14:textId="64A8ED3D" w:rsidR="00916B59" w:rsidRDefault="00916B59">
            <w:pPr>
              <w:pStyle w:val="Caption"/>
              <w:keepNext/>
              <w:jc w:val="right"/>
            </w:pPr>
            <w:r>
              <w:t>(</w:t>
            </w:r>
            <w:fldSimple w:instr=" SEQ Equation \* ARABIC ">
              <w:r w:rsidR="00A2102A">
                <w:rPr>
                  <w:noProof/>
                </w:rPr>
                <w:t>16</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00000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m:t>
                </m:r>
                <m:r>
                  <w:rPr>
                    <w:rFonts w:ascii="Cambria Math" w:eastAsiaTheme="minorEastAsia" w:hAnsi="Cambria Math"/>
                  </w:rPr>
                  <m:t>1</m:t>
                </m:r>
              </m:oMath>
            </m:oMathPara>
          </w:p>
        </w:tc>
        <w:tc>
          <w:tcPr>
            <w:tcW w:w="350" w:type="pct"/>
          </w:tcPr>
          <w:p w14:paraId="0FECD4DF" w14:textId="28A3964F" w:rsidR="00916B59" w:rsidRDefault="00916B59">
            <w:pPr>
              <w:pStyle w:val="Caption"/>
              <w:keepNext/>
              <w:jc w:val="right"/>
            </w:pPr>
            <w:r>
              <w:t>(</w:t>
            </w:r>
            <w:fldSimple w:instr=" SEQ Equation \* ARABIC ">
              <w:r w:rsidR="00A2102A">
                <w:rPr>
                  <w:noProof/>
                </w:rPr>
                <w:t>17</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3BA8BB7C" w:rsidR="00916B59" w:rsidRDefault="00916B59">
            <w:pPr>
              <w:pStyle w:val="Caption"/>
              <w:keepNext/>
              <w:jc w:val="right"/>
            </w:pPr>
            <w:r>
              <w:t>(</w:t>
            </w:r>
            <w:fldSimple w:instr=" SEQ Equation \* ARABIC ">
              <w:r w:rsidR="00A2102A">
                <w:rPr>
                  <w:noProof/>
                </w:rPr>
                <w:t>18</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r>
                      <w:rPr>
                        <w:rFonts w:ascii="Cambria Math" w:eastAsiaTheme="minorEastAsia" w:hAnsi="Cambria Math"/>
                      </w:rPr>
                      <m:t>)</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5F10B868" w:rsidR="00916B59" w:rsidRDefault="00916B59">
            <w:pPr>
              <w:pStyle w:val="Caption"/>
              <w:keepNext/>
              <w:jc w:val="right"/>
            </w:pPr>
            <w:r>
              <w:t>(</w:t>
            </w:r>
            <w:fldSimple w:instr=" SEQ Equation \* ARABIC ">
              <w:r w:rsidR="00A2102A">
                <w:rPr>
                  <w:noProof/>
                </w:rPr>
                <w:t>19</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6E1C8A68" w:rsidR="00916B59" w:rsidRDefault="00916B59">
            <w:pPr>
              <w:pStyle w:val="Caption"/>
              <w:keepNext/>
              <w:jc w:val="right"/>
            </w:pPr>
            <w:r>
              <w:t>(</w:t>
            </w:r>
            <w:fldSimple w:instr=" SEQ Equation \* ARABIC ">
              <w:r w:rsidR="00A2102A">
                <w:rPr>
                  <w:noProof/>
                </w:rPr>
                <w:t>20</w:t>
              </w:r>
            </w:fldSimple>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77777777" w:rsidR="00667B32" w:rsidRPr="00667B32" w:rsidRDefault="00667B32" w:rsidP="00667B32"/>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77777777"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0EA15984" w:rsidR="00916B59" w:rsidRDefault="00916B59">
            <w:pPr>
              <w:pStyle w:val="Caption"/>
              <w:keepNext/>
              <w:jc w:val="right"/>
            </w:pPr>
            <w:r>
              <w:t>(</w:t>
            </w:r>
            <w:fldSimple w:instr=" SEQ Equation \* ARABIC ">
              <w:r w:rsidR="00A2102A">
                <w:rPr>
                  <w:noProof/>
                </w:rPr>
                <w:t>21</w:t>
              </w:r>
            </w:fldSimple>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00000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470B7894" w:rsidR="00916B59" w:rsidRDefault="00916B59">
            <w:pPr>
              <w:pStyle w:val="Caption"/>
              <w:keepNext/>
              <w:jc w:val="right"/>
            </w:pPr>
            <w:r>
              <w:t>(</w:t>
            </w:r>
            <w:fldSimple w:instr=" SEQ Equation \* ARABIC ">
              <w:r w:rsidR="00A2102A">
                <w:rPr>
                  <w:noProof/>
                </w:rPr>
                <w:t>22</w:t>
              </w:r>
            </w:fldSimple>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217D9D77" w:rsidR="00916B59" w:rsidRDefault="00916B59">
            <w:pPr>
              <w:pStyle w:val="Caption"/>
              <w:keepNext/>
              <w:jc w:val="right"/>
            </w:pPr>
            <w:r>
              <w:t>(</w:t>
            </w:r>
            <w:fldSimple w:instr=" SEQ Equation \* ARABIC ">
              <w:r w:rsidR="00A2102A">
                <w:rPr>
                  <w:noProof/>
                </w:rPr>
                <w:t>23</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lastRenderedPageBreak/>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22996F3C" w:rsidR="00916B59" w:rsidRDefault="00916B59">
            <w:pPr>
              <w:pStyle w:val="Caption"/>
              <w:keepNext/>
              <w:jc w:val="right"/>
            </w:pPr>
            <w:r>
              <w:t>(</w:t>
            </w:r>
            <w:fldSimple w:instr=" SEQ Equation \* ARABIC ">
              <w:r w:rsidR="00A2102A">
                <w:rPr>
                  <w:noProof/>
                </w:rPr>
                <w:t>24</w:t>
              </w:r>
            </w:fldSimple>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5C0734F3" w:rsidR="00916B59" w:rsidRDefault="00916B59">
            <w:pPr>
              <w:pStyle w:val="Caption"/>
              <w:keepNext/>
              <w:jc w:val="right"/>
            </w:pPr>
            <w:r>
              <w:t>(</w:t>
            </w:r>
            <w:fldSimple w:instr=" SEQ Equation \* ARABIC ">
              <w:r w:rsidR="00A2102A">
                <w:rPr>
                  <w:noProof/>
                </w:rPr>
                <w:t>25</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02E0E4D6" w:rsidR="00916B59" w:rsidRDefault="00916B59">
            <w:pPr>
              <w:pStyle w:val="Caption"/>
              <w:keepNext/>
              <w:jc w:val="right"/>
            </w:pPr>
            <w:r>
              <w:t>(</w:t>
            </w:r>
            <w:fldSimple w:instr=" SEQ Equation \* ARABIC ">
              <w:r w:rsidR="00A2102A">
                <w:rPr>
                  <w:noProof/>
                </w:rPr>
                <w:t>26</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66B596CC" w:rsidR="00916B59" w:rsidRDefault="00916B59">
            <w:pPr>
              <w:pStyle w:val="Caption"/>
              <w:keepNext/>
              <w:jc w:val="right"/>
            </w:pPr>
            <w:r>
              <w:t>(</w:t>
            </w:r>
            <w:fldSimple w:instr=" SEQ Equation \* ARABIC ">
              <w:r w:rsidR="00A2102A">
                <w:rPr>
                  <w:noProof/>
                </w:rPr>
                <w:t>27</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49AF5BB5" w:rsidR="00916B59" w:rsidRDefault="00916B59">
            <w:pPr>
              <w:pStyle w:val="Caption"/>
              <w:keepNext/>
              <w:jc w:val="right"/>
            </w:pPr>
            <w:r>
              <w:t>(</w:t>
            </w:r>
            <w:fldSimple w:instr=" SEQ Equation \* ARABIC ">
              <w:r w:rsidR="00A2102A">
                <w:rPr>
                  <w:noProof/>
                </w:rPr>
                <w:t>28</w:t>
              </w:r>
            </w:fldSimple>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proofErr w:type="spellStart"/>
      <w:r w:rsidRPr="00E45497">
        <w:rPr>
          <w:vertAlign w:val="superscript"/>
        </w:rPr>
        <w:t>rd</w:t>
      </w:r>
      <w:proofErr w:type="spellEnd"/>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3" w:name="_Ref169916041"/>
      <w:r>
        <w:t>Identification Strategy</w:t>
      </w:r>
      <w:bookmarkEnd w:id="13"/>
    </w:p>
    <w:p w14:paraId="77B1FAB3" w14:textId="2532FCE3" w:rsidR="008F335A" w:rsidRDefault="008F335A" w:rsidP="008F335A">
      <w:commentRangeStart w:id="14"/>
      <w:r>
        <w:t>This dissertation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Let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the outcome 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(ATE),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m:t>
                </m:r>
              </m:e>
            </m:d>
            <m:r>
              <w:rPr>
                <w:rFonts w:ascii="Cambria Math" w:hAnsi="Cambria Math"/>
              </w:rPr>
              <m:t>-Y</m:t>
            </m:r>
            <m:d>
              <m:dPr>
                <m:ctrlPr>
                  <w:rPr>
                    <w:rFonts w:ascii="Cambria Math" w:hAnsi="Cambria Math"/>
                    <w:i/>
                  </w:rPr>
                </m:ctrlPr>
              </m:dPr>
              <m:e>
                <m:r>
                  <w:rPr>
                    <w:rFonts w:ascii="Cambria Math" w:hAnsi="Cambria Math"/>
                  </w:rPr>
                  <m:t>0</m:t>
                </m:r>
              </m:e>
            </m:d>
          </m:e>
        </m:d>
      </m:oMath>
      <w:r>
        <w:t xml:space="preserve">, by identifying an appropriate control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0AC3FFCD" w:rsidR="008F335A" w:rsidRDefault="008F335A" w:rsidP="008F335A">
      <w:r>
        <w:lastRenderedPageBreak/>
        <w:t xml:space="preserve">Modern causal inference offers several methods to estimate this average treatment effect, including randomized control trials, natural experiments, regression discontinuity designs, instrumental variables, matching, and difference-in-differences. I discuss the challenges of applying </w:t>
      </w:r>
      <w:r w:rsidR="00343B2B">
        <w:t xml:space="preserve">some of </w:t>
      </w:r>
      <w:r>
        <w:t>these methods to the research question.</w:t>
      </w:r>
    </w:p>
    <w:p w14:paraId="49878AA9" w14:textId="7CF3DC6D" w:rsidR="008F335A" w:rsidRDefault="008F335A" w:rsidP="008F335A">
      <w:r>
        <w:t xml:space="preserve">In a </w:t>
      </w:r>
      <w:r w:rsidRPr="008F335A">
        <w:rPr>
          <w:rStyle w:val="Strong"/>
          <w:b w:val="0"/>
          <w:bCs w:val="0"/>
        </w:rPr>
        <w:t>Regression Discontinuity Design (RDD)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the threshold, </w:t>
      </w:r>
      <w:r>
        <w:t>allowing for causal inference. However, in the context of the clearing mandate, the CFTC requirements (e.g., currency, notional value, floating rate index, tenor) can be precisely controlled by market participants. Thus, the assumptions necessary for RDD are not met.</w:t>
      </w:r>
    </w:p>
    <w:p w14:paraId="6FDF59F3" w14:textId="77777777" w:rsidR="008F335A" w:rsidRDefault="008F335A" w:rsidP="008F335A">
      <w:r>
        <w:t xml:space="preserve">The </w:t>
      </w:r>
      <w:r w:rsidRPr="008F335A">
        <w:rPr>
          <w:rStyle w:val="Strong"/>
          <w:b w:val="0"/>
          <w:bCs w:val="0"/>
        </w:rPr>
        <w:t>Instrumental Variable (IV)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 This approach is also unsuitable here, as CFTC-defined criteria determine clearing, and no external instrument influences clearing likelihood.</w:t>
      </w:r>
    </w:p>
    <w:p w14:paraId="668AA6FA" w14:textId="266A2603" w:rsidR="008F335A" w:rsidRDefault="008F335A" w:rsidP="008F335A">
      <w:r>
        <w:t xml:space="preserve">The approach adopted in this dissertation is the </w:t>
      </w:r>
      <w:r w:rsidRPr="008F335A">
        <w:rPr>
          <w:rStyle w:val="Strong"/>
          <w:b w:val="0"/>
          <w:bCs w:val="0"/>
        </w:rPr>
        <w:t>Difference-in-Differences (DiD) method</w:t>
      </w:r>
      <w:r>
        <w:t>. In this method, an appropriate control group (e.g., Canadian Dollar-denominated contracts) is selected, though it may differ from the treatment group. Initially, a pre-treatment difference between the control and treatment groups is calculated. This difference is then compared to the difference after treatment to estimate the causal effect. A key assumption in DiD is that of parallel trends—that, in the absence of treatment, both groups would have followed similar trends. Generally, this is not true for Canadian and U.S. swaps markets, given Canada’s export-oriented economy, distinct market participants, and unique monetary and fiscal policies, all of which influence pricing, volatility, and liquidity.</w:t>
      </w:r>
    </w:p>
    <w:p w14:paraId="7034ADA4" w14:textId="6E17E26A" w:rsidR="008F335A" w:rsidRDefault="008F335A" w:rsidP="008F335A">
      <w:r>
        <w:t xml:space="preserve">However, I argue that for short periods (e.g., the 20 trading-day windows studied in this dissertation), the U.S. and Canadian swaps markets are highly coupled. This is supported by evidence of parallel pre-treatment trends </w:t>
      </w:r>
      <w:r w:rsidR="003677D8">
        <w:t xml:space="preserve">(verified visually and through statistical methods) </w:t>
      </w:r>
      <w:r>
        <w:t>in pricing, volatility, and liquidity over short periods, as well as formal parallel trends tests.</w:t>
      </w:r>
      <w:commentRangeEnd w:id="14"/>
      <w:r w:rsidR="00A50363">
        <w:rPr>
          <w:rStyle w:val="CommentReference"/>
        </w:rPr>
        <w:commentReference w:id="14"/>
      </w:r>
    </w:p>
    <w:p w14:paraId="6482980E" w14:textId="079AB0CC" w:rsidR="00E162B2" w:rsidRPr="00E162B2" w:rsidRDefault="00E162B2" w:rsidP="00076D05">
      <w:pPr>
        <w:pStyle w:val="Heading2"/>
      </w:pPr>
      <w:r>
        <w:lastRenderedPageBreak/>
        <w:t>Pricing</w:t>
      </w:r>
    </w:p>
    <w:p w14:paraId="095C4E16" w14:textId="1C3A8F61"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A2102A">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00000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r>
                      <w:rPr>
                        <w:rFonts w:ascii="Cambria Math" w:hAnsi="Cambria Math"/>
                        <w:vertAlign w:val="subscript"/>
                      </w:rPr>
                      <m:t>,</m:t>
                    </m:r>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α</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m:t>
                </m:r>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604C4433" w:rsidR="00916B59" w:rsidRDefault="00916B59">
            <w:pPr>
              <w:pStyle w:val="Caption"/>
              <w:keepNext/>
              <w:jc w:val="right"/>
            </w:pPr>
            <w:r>
              <w:t>(</w:t>
            </w:r>
            <w:fldSimple w:instr=" SEQ Equation \* ARABIC ">
              <w:r w:rsidR="00A2102A">
                <w:rPr>
                  <w:noProof/>
                </w:rPr>
                <w:t>29</w:t>
              </w:r>
            </w:fldSimple>
            <w:r>
              <w:t>)</w:t>
            </w:r>
          </w:p>
        </w:tc>
      </w:tr>
    </w:tbl>
    <w:p w14:paraId="1715AF9E" w14:textId="6C6359C0"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47EF8626" w:rsidR="00A94C0E" w:rsidRDefault="00D81AB0" w:rsidP="00A94C0E">
      <w:commentRangeStart w:id="15"/>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xml:space="preserve">, the logarithm of the notional amount, whether the variable rate is capped, and the tenor of the contract (measured in months). The trading day variable is included because there is some discussion in the asset pricing literature of pricing differences on certain days (e.g. the “Monday effect” for </w:t>
      </w:r>
      <w:r>
        <w:lastRenderedPageBreak/>
        <w:t xml:space="preserve">equities). Trading time is also similarly included to account for differences in pricing behavior </w:t>
      </w:r>
      <w:r w:rsidR="00A92C54">
        <w:t xml:space="preserve">during certain trading sessions during the day. For example, trading is often concentrated to the morning and afternoon sessions, with less trading activity happening mid-day and off-hours sessions. The lack of liquidity during those sessions can affect pricing. The logarithm of the notional value is included, as there is some discussion in the literature that market participants prefer larger contracts (perhaps to economize over fixed costs) and due to the higher liquidity of these larger contracts, they may be priced differently than smaller contracts. If the variable rate is “capped”, the payer of the variable leg faces less (no) risk of the variable rate increasing beyond a specified threshold (the variable rate receiver now bears this risk). This is likely to influence the pricing of the swap. Finally, the tenor (length of the contract) is included as some tenors (e.g. </w:t>
      </w:r>
      <w:proofErr w:type="gramStart"/>
      <w:r w:rsidR="00A92C54">
        <w:t>10 year</w:t>
      </w:r>
      <w:proofErr w:type="gramEnd"/>
      <w:r w:rsidR="00A92C54">
        <w:t xml:space="preserve"> contracts) have more liquidity than others.</w:t>
      </w:r>
      <w:commentRangeEnd w:id="15"/>
      <w:r w:rsidR="00964440">
        <w:rPr>
          <w:rStyle w:val="CommentReference"/>
        </w:rPr>
        <w:commentReference w:id="15"/>
      </w:r>
    </w:p>
    <w:p w14:paraId="1063CB72" w14:textId="37D5A305"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the pre-treatment trends of swap premiums for both treatment and control groups and conducting placebo tests</w:t>
      </w:r>
      <w:commentRangeStart w:id="16"/>
      <w:r>
        <w:t>.</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period of study for phase 1 (that is, from Jan 28, 2013 to Feb 22, 2012). I also include some controls for contract characteristic (a subset of the control variables discussed earlier). I run the regression</w:t>
      </w:r>
    </w:p>
    <w:p w14:paraId="083D2BAF" w14:textId="00B5106C" w:rsidR="00561948" w:rsidRPr="00561948" w:rsidRDefault="00000000"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r>
            <w:rPr>
              <w:rFonts w:ascii="Cambria Math" w:hAnsi="Cambria Math"/>
              <w:vertAlign w:val="subscript"/>
            </w:rPr>
            <m:t>α</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m:t>
          </m:r>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m:t>
          </m:r>
          <m:r>
            <w:rPr>
              <w:rFonts w:ascii="Cambria Math" w:hAnsi="Cambria Math"/>
              <w:vertAlign w:val="subscript"/>
            </w:rPr>
            <m:t>+</m:t>
          </m:r>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Treatment</m:t>
              </m:r>
              <m:r>
                <w:rPr>
                  <w:rFonts w:ascii="Cambria Math" w:hAnsi="Cambria Math"/>
                  <w:vertAlign w:val="subscript"/>
                </w:rPr>
                <m:t xml:space="preserve"> ×</m:t>
              </m:r>
              <m:r>
                <w:rPr>
                  <w:rFonts w:ascii="Cambria Math" w:hAnsi="Cambria Math"/>
                  <w:vertAlign w:val="subscript"/>
                </w:rPr>
                <m:t>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r>
                <w:rPr>
                  <w:rFonts w:ascii="Cambria Math" w:hAnsi="Cambria Math"/>
                  <w:vertAlign w:val="subscript"/>
                </w:rPr>
                <m:t>,</m:t>
              </m:r>
              <m:r>
                <w:rPr>
                  <w:rFonts w:ascii="Cambria Math" w:hAnsi="Cambria Math"/>
                  <w:vertAlign w:val="subscript"/>
                </w:rPr>
                <m:t>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1D4C4C42" w14:textId="4367C9E4" w:rsidR="00561948" w:rsidRDefault="00561948" w:rsidP="00561948">
      <w:pPr>
        <w:ind w:firstLine="0"/>
      </w:pPr>
      <w:r>
        <w:t xml:space="preserve">where: </w:t>
      </w:r>
      <m:oMath>
        <m:r>
          <w:rPr>
            <w:rFonts w:ascii="Cambria Math" w:hAnsi="Cambria Math"/>
          </w:rPr>
          <m:t>Treatment</m:t>
        </m:r>
      </m:oMath>
      <w:r>
        <w:t xml:space="preserve"> is an indicator variable of whether the contract is in the control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A2102A">
        <w:t xml:space="preserve">Table </w:t>
      </w:r>
      <w:r w:rsidR="00A2102A">
        <w:rPr>
          <w:noProof/>
        </w:rPr>
        <w:t>3</w:t>
      </w:r>
      <w:r w:rsidR="007239CB">
        <w:fldChar w:fldCharType="end"/>
      </w:r>
      <w:r w:rsidR="007239CB">
        <w:t xml:space="preserve"> shows the results of such a regression for the </w:t>
      </w:r>
      <w:r w:rsidR="00EF3C9B">
        <w:t xml:space="preserve">two-year, five-year and </w:t>
      </w:r>
      <w:r w:rsidR="007239CB">
        <w:t>ten-year contracts. The interaction term is not significant, suggesting the two groups were following parallel trends prior to the implementation of the mandatory clearing policy.</w:t>
      </w:r>
      <w:commentRangeEnd w:id="16"/>
      <w:r w:rsidR="00EC36AC">
        <w:rPr>
          <w:rStyle w:val="CommentReference"/>
        </w:rPr>
        <w:commentReference w:id="16"/>
      </w:r>
    </w:p>
    <w:p w14:paraId="6BC34EDB" w14:textId="77777777" w:rsidR="00EF3C9B" w:rsidRDefault="00EF3C9B" w:rsidP="00561948">
      <w:pPr>
        <w:ind w:firstLine="0"/>
      </w:pPr>
    </w:p>
    <w:p w14:paraId="42E941DF" w14:textId="77777777" w:rsidR="00EF3C9B" w:rsidRDefault="00EF3C9B" w:rsidP="00561948">
      <w:pPr>
        <w:ind w:firstLine="0"/>
      </w:pPr>
    </w:p>
    <w:p w14:paraId="1540E4DD" w14:textId="77777777" w:rsidR="00EF3C9B" w:rsidRDefault="00EF3C9B" w:rsidP="00561948">
      <w:pPr>
        <w:ind w:firstLine="0"/>
      </w:pPr>
    </w:p>
    <w:p w14:paraId="7CCB539F" w14:textId="77777777" w:rsidR="00EF3C9B" w:rsidRDefault="00EF3C9B" w:rsidP="00561948">
      <w:pPr>
        <w:ind w:firstLine="0"/>
      </w:pPr>
    </w:p>
    <w:p w14:paraId="7093CCB8" w14:textId="77777777" w:rsidR="00EF3C9B" w:rsidRDefault="00EF3C9B" w:rsidP="00561948">
      <w:pPr>
        <w:ind w:firstLine="0"/>
      </w:pPr>
    </w:p>
    <w:p w14:paraId="559D6C6C" w14:textId="4A7B4FF6" w:rsidR="007239CB" w:rsidRDefault="007239CB" w:rsidP="00561948">
      <w:pPr>
        <w:ind w:firstLine="0"/>
      </w:pPr>
    </w:p>
    <w:p w14:paraId="6439E221" w14:textId="748151A5" w:rsidR="007239CB" w:rsidRDefault="007239CB" w:rsidP="007239CB">
      <w:pPr>
        <w:pStyle w:val="Caption"/>
        <w:keepNext/>
      </w:pPr>
      <w:bookmarkStart w:id="17" w:name="_Ref187170528"/>
      <w:r>
        <w:t xml:space="preserve">Table </w:t>
      </w:r>
      <w:fldSimple w:instr=" SEQ Table \* ARABIC ">
        <w:r w:rsidR="00A2102A">
          <w:rPr>
            <w:noProof/>
          </w:rPr>
          <w:t>3</w:t>
        </w:r>
      </w:fldSimple>
      <w:bookmarkEnd w:id="17"/>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to be not statistically significant.</w:t>
      </w:r>
    </w:p>
    <w:tbl>
      <w:tblPr>
        <w:tblW w:w="6380" w:type="dxa"/>
        <w:jc w:val="center"/>
        <w:tblLook w:val="04A0" w:firstRow="1" w:lastRow="0" w:firstColumn="1" w:lastColumn="0" w:noHBand="0" w:noVBand="1"/>
      </w:tblPr>
      <w:tblGrid>
        <w:gridCol w:w="1960"/>
        <w:gridCol w:w="1440"/>
        <w:gridCol w:w="1440"/>
        <w:gridCol w:w="1540"/>
      </w:tblGrid>
      <w:tr w:rsidR="00EF3C9B" w:rsidRPr="00EF3C9B" w14:paraId="03BF8741" w14:textId="77777777" w:rsidTr="00413873">
        <w:trPr>
          <w:trHeight w:val="320"/>
          <w:jc w:val="center"/>
        </w:trPr>
        <w:tc>
          <w:tcPr>
            <w:tcW w:w="6380" w:type="dxa"/>
            <w:gridSpan w:val="4"/>
            <w:tcBorders>
              <w:top w:val="nil"/>
              <w:left w:val="nil"/>
              <w:bottom w:val="nil"/>
              <w:right w:val="nil"/>
            </w:tcBorders>
            <w:shd w:val="clear" w:color="auto" w:fill="auto"/>
            <w:noWrap/>
            <w:vAlign w:val="bottom"/>
            <w:hideMark/>
          </w:tcPr>
          <w:p w14:paraId="345D8B8E" w14:textId="77777777" w:rsidR="00EF3C9B" w:rsidRPr="00EF3C9B" w:rsidRDefault="00EF3C9B" w:rsidP="00EF3C9B">
            <w:pPr>
              <w:spacing w:line="240" w:lineRule="auto"/>
              <w:ind w:firstLine="0"/>
              <w:jc w:val="center"/>
              <w:rPr>
                <w:rFonts w:ascii="Aptos Narrow" w:eastAsia="Times New Roman" w:hAnsi="Aptos Narrow"/>
                <w:b/>
                <w:bCs/>
                <w:color w:val="000000"/>
                <w:sz w:val="20"/>
                <w:szCs w:val="20"/>
              </w:rPr>
            </w:pPr>
            <w:r w:rsidRPr="00EF3C9B">
              <w:rPr>
                <w:rFonts w:ascii="Aptos Narrow" w:eastAsia="Times New Roman" w:hAnsi="Aptos Narrow"/>
                <w:b/>
                <w:bCs/>
                <w:color w:val="000000"/>
                <w:sz w:val="20"/>
                <w:szCs w:val="20"/>
              </w:rPr>
              <w:t>Pre-trend Analysis</w:t>
            </w:r>
          </w:p>
        </w:tc>
      </w:tr>
      <w:tr w:rsidR="00EF3C9B" w:rsidRPr="00EF3C9B" w14:paraId="56A20031"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5B472B9"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071B55A" w14:textId="77777777" w:rsidTr="00413873">
        <w:trPr>
          <w:trHeight w:val="320"/>
          <w:jc w:val="center"/>
        </w:trPr>
        <w:tc>
          <w:tcPr>
            <w:tcW w:w="1960" w:type="dxa"/>
            <w:tcBorders>
              <w:top w:val="nil"/>
              <w:left w:val="nil"/>
              <w:bottom w:val="nil"/>
              <w:right w:val="nil"/>
            </w:tcBorders>
            <w:shd w:val="clear" w:color="auto" w:fill="auto"/>
            <w:vAlign w:val="bottom"/>
            <w:hideMark/>
          </w:tcPr>
          <w:p w14:paraId="1FEE419A"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125776B5"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r w:rsidRPr="00EF3C9B">
              <w:rPr>
                <w:rFonts w:ascii="Aptos Narrow" w:eastAsia="Times New Roman" w:hAnsi="Aptos Narrow"/>
                <w:i/>
                <w:iCs/>
                <w:color w:val="000000"/>
                <w:sz w:val="20"/>
                <w:szCs w:val="20"/>
              </w:rPr>
              <w:t>Dependent variable:</w:t>
            </w:r>
          </w:p>
        </w:tc>
      </w:tr>
      <w:tr w:rsidR="00EF3C9B" w:rsidRPr="00EF3C9B" w14:paraId="77E204E7" w14:textId="77777777" w:rsidTr="00413873">
        <w:trPr>
          <w:trHeight w:val="340"/>
          <w:jc w:val="center"/>
        </w:trPr>
        <w:tc>
          <w:tcPr>
            <w:tcW w:w="1960" w:type="dxa"/>
            <w:tcBorders>
              <w:top w:val="nil"/>
              <w:left w:val="nil"/>
              <w:bottom w:val="nil"/>
              <w:right w:val="nil"/>
            </w:tcBorders>
            <w:shd w:val="clear" w:color="auto" w:fill="auto"/>
            <w:vAlign w:val="bottom"/>
            <w:hideMark/>
          </w:tcPr>
          <w:p w14:paraId="65470EFE"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p>
        </w:tc>
        <w:tc>
          <w:tcPr>
            <w:tcW w:w="4420" w:type="dxa"/>
            <w:gridSpan w:val="3"/>
            <w:tcBorders>
              <w:top w:val="nil"/>
              <w:left w:val="nil"/>
              <w:bottom w:val="single" w:sz="8" w:space="0" w:color="000000"/>
              <w:right w:val="nil"/>
            </w:tcBorders>
            <w:shd w:val="clear" w:color="auto" w:fill="auto"/>
            <w:vAlign w:val="bottom"/>
            <w:hideMark/>
          </w:tcPr>
          <w:p w14:paraId="7217032F"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E52D943" w14:textId="77777777" w:rsidTr="00413873">
        <w:trPr>
          <w:trHeight w:val="320"/>
          <w:jc w:val="center"/>
        </w:trPr>
        <w:tc>
          <w:tcPr>
            <w:tcW w:w="1960" w:type="dxa"/>
            <w:tcBorders>
              <w:top w:val="nil"/>
              <w:left w:val="nil"/>
              <w:bottom w:val="nil"/>
              <w:right w:val="nil"/>
            </w:tcBorders>
            <w:shd w:val="clear" w:color="auto" w:fill="auto"/>
            <w:vAlign w:val="bottom"/>
            <w:hideMark/>
          </w:tcPr>
          <w:p w14:paraId="34E3023D"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03D99C6E"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r w:rsidRPr="00EF3C9B">
              <w:rPr>
                <w:rFonts w:ascii="Aptos Narrow" w:eastAsia="Times New Roman" w:hAnsi="Aptos Narrow"/>
                <w:color w:val="000000"/>
                <w:sz w:val="20"/>
                <w:szCs w:val="20"/>
              </w:rPr>
              <w:t>Fixed Rate</w:t>
            </w:r>
          </w:p>
        </w:tc>
      </w:tr>
      <w:tr w:rsidR="00EF3C9B" w:rsidRPr="00EF3C9B" w14:paraId="1BC4A747" w14:textId="77777777" w:rsidTr="00413873">
        <w:trPr>
          <w:trHeight w:val="320"/>
          <w:jc w:val="center"/>
        </w:trPr>
        <w:tc>
          <w:tcPr>
            <w:tcW w:w="1960" w:type="dxa"/>
            <w:tcBorders>
              <w:top w:val="nil"/>
              <w:left w:val="nil"/>
              <w:bottom w:val="nil"/>
              <w:right w:val="nil"/>
            </w:tcBorders>
            <w:shd w:val="clear" w:color="auto" w:fill="auto"/>
            <w:vAlign w:val="bottom"/>
            <w:hideMark/>
          </w:tcPr>
          <w:p w14:paraId="5B65CD1C"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7A88FB"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2-year contracts</w:t>
            </w:r>
          </w:p>
        </w:tc>
        <w:tc>
          <w:tcPr>
            <w:tcW w:w="1440" w:type="dxa"/>
            <w:tcBorders>
              <w:top w:val="nil"/>
              <w:left w:val="nil"/>
              <w:bottom w:val="nil"/>
              <w:right w:val="nil"/>
            </w:tcBorders>
            <w:shd w:val="clear" w:color="auto" w:fill="auto"/>
            <w:vAlign w:val="bottom"/>
            <w:hideMark/>
          </w:tcPr>
          <w:p w14:paraId="56E5EEE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5-year contracts</w:t>
            </w:r>
          </w:p>
        </w:tc>
        <w:tc>
          <w:tcPr>
            <w:tcW w:w="1540" w:type="dxa"/>
            <w:tcBorders>
              <w:top w:val="nil"/>
              <w:left w:val="nil"/>
              <w:bottom w:val="nil"/>
              <w:right w:val="nil"/>
            </w:tcBorders>
            <w:shd w:val="clear" w:color="auto" w:fill="auto"/>
            <w:vAlign w:val="bottom"/>
            <w:hideMark/>
          </w:tcPr>
          <w:p w14:paraId="4E0B1F82"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10-year contracts</w:t>
            </w:r>
          </w:p>
        </w:tc>
      </w:tr>
      <w:tr w:rsidR="00EF3C9B" w:rsidRPr="00EF3C9B" w14:paraId="02F97708"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2521B9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515D01A0" w14:textId="77777777" w:rsidTr="00413873">
        <w:trPr>
          <w:trHeight w:val="320"/>
          <w:jc w:val="center"/>
        </w:trPr>
        <w:tc>
          <w:tcPr>
            <w:tcW w:w="1960" w:type="dxa"/>
            <w:tcBorders>
              <w:top w:val="nil"/>
              <w:left w:val="nil"/>
              <w:bottom w:val="nil"/>
              <w:right w:val="nil"/>
            </w:tcBorders>
            <w:shd w:val="clear" w:color="auto" w:fill="auto"/>
            <w:vAlign w:val="bottom"/>
            <w:hideMark/>
          </w:tcPr>
          <w:p w14:paraId="3758151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w:t>
            </w:r>
          </w:p>
        </w:tc>
        <w:tc>
          <w:tcPr>
            <w:tcW w:w="1440" w:type="dxa"/>
            <w:tcBorders>
              <w:top w:val="nil"/>
              <w:left w:val="nil"/>
              <w:bottom w:val="nil"/>
              <w:right w:val="nil"/>
            </w:tcBorders>
            <w:shd w:val="clear" w:color="auto" w:fill="auto"/>
            <w:vAlign w:val="bottom"/>
            <w:hideMark/>
          </w:tcPr>
          <w:p w14:paraId="492E137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-28.79</w:t>
            </w:r>
          </w:p>
        </w:tc>
        <w:tc>
          <w:tcPr>
            <w:tcW w:w="1440" w:type="dxa"/>
            <w:tcBorders>
              <w:top w:val="nil"/>
              <w:left w:val="nil"/>
              <w:bottom w:val="nil"/>
              <w:right w:val="nil"/>
            </w:tcBorders>
            <w:shd w:val="clear" w:color="auto" w:fill="auto"/>
            <w:vAlign w:val="bottom"/>
            <w:hideMark/>
          </w:tcPr>
          <w:p w14:paraId="07AE5DC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-50.311</w:t>
            </w:r>
          </w:p>
        </w:tc>
        <w:tc>
          <w:tcPr>
            <w:tcW w:w="1540" w:type="dxa"/>
            <w:tcBorders>
              <w:top w:val="nil"/>
              <w:left w:val="nil"/>
              <w:bottom w:val="nil"/>
              <w:right w:val="nil"/>
            </w:tcBorders>
            <w:shd w:val="clear" w:color="auto" w:fill="auto"/>
            <w:vAlign w:val="bottom"/>
            <w:hideMark/>
          </w:tcPr>
          <w:p w14:paraId="474F898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-13.741</w:t>
            </w:r>
          </w:p>
        </w:tc>
      </w:tr>
      <w:tr w:rsidR="00EF3C9B" w:rsidRPr="00EF3C9B" w14:paraId="5DAC32F4" w14:textId="77777777" w:rsidTr="00413873">
        <w:trPr>
          <w:trHeight w:val="320"/>
          <w:jc w:val="center"/>
        </w:trPr>
        <w:tc>
          <w:tcPr>
            <w:tcW w:w="1960" w:type="dxa"/>
            <w:tcBorders>
              <w:top w:val="nil"/>
              <w:left w:val="nil"/>
              <w:bottom w:val="nil"/>
              <w:right w:val="nil"/>
            </w:tcBorders>
            <w:shd w:val="clear" w:color="auto" w:fill="auto"/>
            <w:vAlign w:val="bottom"/>
            <w:hideMark/>
          </w:tcPr>
          <w:p w14:paraId="7814265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80F17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-41.081</w:t>
            </w:r>
          </w:p>
        </w:tc>
        <w:tc>
          <w:tcPr>
            <w:tcW w:w="1440" w:type="dxa"/>
            <w:tcBorders>
              <w:top w:val="nil"/>
              <w:left w:val="nil"/>
              <w:bottom w:val="nil"/>
              <w:right w:val="nil"/>
            </w:tcBorders>
            <w:shd w:val="clear" w:color="auto" w:fill="auto"/>
            <w:vAlign w:val="bottom"/>
            <w:hideMark/>
          </w:tcPr>
          <w:p w14:paraId="360F9D5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-28.185</w:t>
            </w:r>
          </w:p>
        </w:tc>
        <w:tc>
          <w:tcPr>
            <w:tcW w:w="1540" w:type="dxa"/>
            <w:tcBorders>
              <w:top w:val="nil"/>
              <w:left w:val="nil"/>
              <w:bottom w:val="nil"/>
              <w:right w:val="nil"/>
            </w:tcBorders>
            <w:shd w:val="clear" w:color="auto" w:fill="auto"/>
            <w:vAlign w:val="bottom"/>
            <w:hideMark/>
          </w:tcPr>
          <w:p w14:paraId="1013ABA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-23.332</w:t>
            </w:r>
          </w:p>
        </w:tc>
      </w:tr>
      <w:tr w:rsidR="00EF3C9B" w:rsidRPr="00EF3C9B" w14:paraId="3BFE79C6" w14:textId="77777777" w:rsidTr="00413873">
        <w:trPr>
          <w:trHeight w:val="320"/>
          <w:jc w:val="center"/>
        </w:trPr>
        <w:tc>
          <w:tcPr>
            <w:tcW w:w="1960" w:type="dxa"/>
            <w:tcBorders>
              <w:top w:val="nil"/>
              <w:left w:val="nil"/>
              <w:bottom w:val="nil"/>
              <w:right w:val="nil"/>
            </w:tcBorders>
            <w:shd w:val="clear" w:color="auto" w:fill="auto"/>
            <w:vAlign w:val="bottom"/>
            <w:hideMark/>
          </w:tcPr>
          <w:p w14:paraId="322B90F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C64EA6F"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56827F96"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7658078"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8BD5265" w14:textId="77777777" w:rsidTr="00413873">
        <w:trPr>
          <w:trHeight w:val="320"/>
          <w:jc w:val="center"/>
        </w:trPr>
        <w:tc>
          <w:tcPr>
            <w:tcW w:w="1960" w:type="dxa"/>
            <w:tcBorders>
              <w:top w:val="nil"/>
              <w:left w:val="nil"/>
              <w:bottom w:val="nil"/>
              <w:right w:val="nil"/>
            </w:tcBorders>
            <w:shd w:val="clear" w:color="auto" w:fill="auto"/>
            <w:vAlign w:val="bottom"/>
            <w:hideMark/>
          </w:tcPr>
          <w:p w14:paraId="2C927646"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Trade Date</w:t>
            </w:r>
          </w:p>
        </w:tc>
        <w:tc>
          <w:tcPr>
            <w:tcW w:w="1440" w:type="dxa"/>
            <w:tcBorders>
              <w:top w:val="nil"/>
              <w:left w:val="nil"/>
              <w:bottom w:val="nil"/>
              <w:right w:val="nil"/>
            </w:tcBorders>
            <w:shd w:val="clear" w:color="auto" w:fill="auto"/>
            <w:vAlign w:val="bottom"/>
            <w:hideMark/>
          </w:tcPr>
          <w:p w14:paraId="09D031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12F4911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4B6FBD4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3C5258" w14:textId="77777777" w:rsidTr="00413873">
        <w:trPr>
          <w:trHeight w:val="320"/>
          <w:jc w:val="center"/>
        </w:trPr>
        <w:tc>
          <w:tcPr>
            <w:tcW w:w="1960" w:type="dxa"/>
            <w:tcBorders>
              <w:top w:val="nil"/>
              <w:left w:val="nil"/>
              <w:bottom w:val="nil"/>
              <w:right w:val="nil"/>
            </w:tcBorders>
            <w:shd w:val="clear" w:color="auto" w:fill="auto"/>
            <w:vAlign w:val="bottom"/>
            <w:hideMark/>
          </w:tcPr>
          <w:p w14:paraId="320E9B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55D0C3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440" w:type="dxa"/>
            <w:tcBorders>
              <w:top w:val="nil"/>
              <w:left w:val="nil"/>
              <w:bottom w:val="nil"/>
              <w:right w:val="nil"/>
            </w:tcBorders>
            <w:shd w:val="clear" w:color="auto" w:fill="auto"/>
            <w:vAlign w:val="bottom"/>
            <w:hideMark/>
          </w:tcPr>
          <w:p w14:paraId="0DAA832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540" w:type="dxa"/>
            <w:tcBorders>
              <w:top w:val="nil"/>
              <w:left w:val="nil"/>
              <w:bottom w:val="nil"/>
              <w:right w:val="nil"/>
            </w:tcBorders>
            <w:shd w:val="clear" w:color="auto" w:fill="auto"/>
            <w:vAlign w:val="bottom"/>
            <w:hideMark/>
          </w:tcPr>
          <w:p w14:paraId="6177567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936F4DF" w14:textId="77777777" w:rsidTr="00413873">
        <w:trPr>
          <w:trHeight w:val="320"/>
          <w:jc w:val="center"/>
        </w:trPr>
        <w:tc>
          <w:tcPr>
            <w:tcW w:w="1960" w:type="dxa"/>
            <w:tcBorders>
              <w:top w:val="nil"/>
              <w:left w:val="nil"/>
              <w:bottom w:val="nil"/>
              <w:right w:val="nil"/>
            </w:tcBorders>
            <w:shd w:val="clear" w:color="auto" w:fill="auto"/>
            <w:vAlign w:val="bottom"/>
            <w:hideMark/>
          </w:tcPr>
          <w:p w14:paraId="372FC84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F22D1CA"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35D6FA3D"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134AD7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0027A78B" w14:textId="77777777" w:rsidTr="00413873">
        <w:trPr>
          <w:trHeight w:val="320"/>
          <w:jc w:val="center"/>
        </w:trPr>
        <w:tc>
          <w:tcPr>
            <w:tcW w:w="1960" w:type="dxa"/>
            <w:tcBorders>
              <w:top w:val="nil"/>
              <w:left w:val="nil"/>
              <w:bottom w:val="nil"/>
              <w:right w:val="nil"/>
            </w:tcBorders>
            <w:shd w:val="clear" w:color="auto" w:fill="auto"/>
            <w:vAlign w:val="bottom"/>
            <w:hideMark/>
          </w:tcPr>
          <w:p w14:paraId="0C5CD00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Log Notional</w:t>
            </w:r>
          </w:p>
        </w:tc>
        <w:tc>
          <w:tcPr>
            <w:tcW w:w="1440" w:type="dxa"/>
            <w:tcBorders>
              <w:top w:val="nil"/>
              <w:left w:val="nil"/>
              <w:bottom w:val="nil"/>
              <w:right w:val="nil"/>
            </w:tcBorders>
            <w:shd w:val="clear" w:color="auto" w:fill="auto"/>
            <w:vAlign w:val="bottom"/>
            <w:hideMark/>
          </w:tcPr>
          <w:p w14:paraId="5FA64FA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w:t>
            </w:r>
          </w:p>
        </w:tc>
        <w:tc>
          <w:tcPr>
            <w:tcW w:w="1440" w:type="dxa"/>
            <w:tcBorders>
              <w:top w:val="nil"/>
              <w:left w:val="nil"/>
              <w:bottom w:val="nil"/>
              <w:right w:val="nil"/>
            </w:tcBorders>
            <w:shd w:val="clear" w:color="auto" w:fill="auto"/>
            <w:vAlign w:val="bottom"/>
            <w:hideMark/>
          </w:tcPr>
          <w:p w14:paraId="0A4B683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c>
          <w:tcPr>
            <w:tcW w:w="1540" w:type="dxa"/>
            <w:tcBorders>
              <w:top w:val="nil"/>
              <w:left w:val="nil"/>
              <w:bottom w:val="nil"/>
              <w:right w:val="nil"/>
            </w:tcBorders>
            <w:shd w:val="clear" w:color="auto" w:fill="auto"/>
            <w:vAlign w:val="bottom"/>
            <w:hideMark/>
          </w:tcPr>
          <w:p w14:paraId="09EA64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0.024</w:t>
            </w:r>
          </w:p>
        </w:tc>
      </w:tr>
      <w:tr w:rsidR="00EF3C9B" w:rsidRPr="00EF3C9B" w14:paraId="5A727F73" w14:textId="77777777" w:rsidTr="00413873">
        <w:trPr>
          <w:trHeight w:val="320"/>
          <w:jc w:val="center"/>
        </w:trPr>
        <w:tc>
          <w:tcPr>
            <w:tcW w:w="1960" w:type="dxa"/>
            <w:tcBorders>
              <w:top w:val="nil"/>
              <w:left w:val="nil"/>
              <w:bottom w:val="nil"/>
              <w:right w:val="nil"/>
            </w:tcBorders>
            <w:shd w:val="clear" w:color="auto" w:fill="auto"/>
            <w:vAlign w:val="bottom"/>
            <w:hideMark/>
          </w:tcPr>
          <w:p w14:paraId="0C531CC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84726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-0.009</w:t>
            </w:r>
          </w:p>
        </w:tc>
        <w:tc>
          <w:tcPr>
            <w:tcW w:w="1440" w:type="dxa"/>
            <w:tcBorders>
              <w:top w:val="nil"/>
              <w:left w:val="nil"/>
              <w:bottom w:val="nil"/>
              <w:right w:val="nil"/>
            </w:tcBorders>
            <w:shd w:val="clear" w:color="auto" w:fill="auto"/>
            <w:vAlign w:val="bottom"/>
            <w:hideMark/>
          </w:tcPr>
          <w:p w14:paraId="5326061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w:t>
            </w:r>
          </w:p>
        </w:tc>
        <w:tc>
          <w:tcPr>
            <w:tcW w:w="1540" w:type="dxa"/>
            <w:tcBorders>
              <w:top w:val="nil"/>
              <w:left w:val="nil"/>
              <w:bottom w:val="nil"/>
              <w:right w:val="nil"/>
            </w:tcBorders>
            <w:shd w:val="clear" w:color="auto" w:fill="auto"/>
            <w:vAlign w:val="bottom"/>
            <w:hideMark/>
          </w:tcPr>
          <w:p w14:paraId="74C591A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r>
      <w:tr w:rsidR="00EF3C9B" w:rsidRPr="00EF3C9B" w14:paraId="5E9D5740" w14:textId="77777777" w:rsidTr="00413873">
        <w:trPr>
          <w:trHeight w:val="320"/>
          <w:jc w:val="center"/>
        </w:trPr>
        <w:tc>
          <w:tcPr>
            <w:tcW w:w="1960" w:type="dxa"/>
            <w:tcBorders>
              <w:top w:val="nil"/>
              <w:left w:val="nil"/>
              <w:bottom w:val="nil"/>
              <w:right w:val="nil"/>
            </w:tcBorders>
            <w:shd w:val="clear" w:color="auto" w:fill="auto"/>
            <w:vAlign w:val="bottom"/>
            <w:hideMark/>
          </w:tcPr>
          <w:p w14:paraId="7590444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A9942E5"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24A82DE0"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2F4A651"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246263FE" w14:textId="77777777" w:rsidTr="00413873">
        <w:trPr>
          <w:trHeight w:val="320"/>
          <w:jc w:val="center"/>
        </w:trPr>
        <w:tc>
          <w:tcPr>
            <w:tcW w:w="1960" w:type="dxa"/>
            <w:tcBorders>
              <w:top w:val="nil"/>
              <w:left w:val="nil"/>
              <w:bottom w:val="nil"/>
              <w:right w:val="nil"/>
            </w:tcBorders>
            <w:shd w:val="clear" w:color="auto" w:fill="auto"/>
            <w:vAlign w:val="bottom"/>
            <w:hideMark/>
          </w:tcPr>
          <w:p w14:paraId="55292CAF"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Cleared</w:t>
            </w:r>
          </w:p>
        </w:tc>
        <w:tc>
          <w:tcPr>
            <w:tcW w:w="1440" w:type="dxa"/>
            <w:tcBorders>
              <w:top w:val="nil"/>
              <w:left w:val="nil"/>
              <w:bottom w:val="nil"/>
              <w:right w:val="nil"/>
            </w:tcBorders>
            <w:shd w:val="clear" w:color="auto" w:fill="auto"/>
            <w:vAlign w:val="bottom"/>
            <w:hideMark/>
          </w:tcPr>
          <w:p w14:paraId="27A407C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-0.063</w:t>
            </w:r>
          </w:p>
        </w:tc>
        <w:tc>
          <w:tcPr>
            <w:tcW w:w="1440" w:type="dxa"/>
            <w:tcBorders>
              <w:top w:val="nil"/>
              <w:left w:val="nil"/>
              <w:bottom w:val="nil"/>
              <w:right w:val="nil"/>
            </w:tcBorders>
            <w:shd w:val="clear" w:color="auto" w:fill="auto"/>
            <w:vAlign w:val="bottom"/>
            <w:hideMark/>
          </w:tcPr>
          <w:p w14:paraId="5ACAF4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-0.147</w:t>
            </w:r>
          </w:p>
        </w:tc>
        <w:tc>
          <w:tcPr>
            <w:tcW w:w="1540" w:type="dxa"/>
            <w:tcBorders>
              <w:top w:val="nil"/>
              <w:left w:val="nil"/>
              <w:bottom w:val="nil"/>
              <w:right w:val="nil"/>
            </w:tcBorders>
            <w:shd w:val="clear" w:color="auto" w:fill="auto"/>
            <w:vAlign w:val="bottom"/>
            <w:hideMark/>
          </w:tcPr>
          <w:p w14:paraId="370DB84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-0.077</w:t>
            </w:r>
          </w:p>
        </w:tc>
      </w:tr>
      <w:tr w:rsidR="00EF3C9B" w:rsidRPr="00EF3C9B" w14:paraId="461056B6" w14:textId="77777777" w:rsidTr="00413873">
        <w:trPr>
          <w:trHeight w:val="320"/>
          <w:jc w:val="center"/>
        </w:trPr>
        <w:tc>
          <w:tcPr>
            <w:tcW w:w="1960" w:type="dxa"/>
            <w:tcBorders>
              <w:top w:val="nil"/>
              <w:left w:val="nil"/>
              <w:bottom w:val="nil"/>
              <w:right w:val="nil"/>
            </w:tcBorders>
            <w:shd w:val="clear" w:color="auto" w:fill="auto"/>
            <w:vAlign w:val="bottom"/>
            <w:hideMark/>
          </w:tcPr>
          <w:p w14:paraId="6DA2BA9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16DD69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-0.062</w:t>
            </w:r>
          </w:p>
        </w:tc>
        <w:tc>
          <w:tcPr>
            <w:tcW w:w="1440" w:type="dxa"/>
            <w:tcBorders>
              <w:top w:val="nil"/>
              <w:left w:val="nil"/>
              <w:bottom w:val="nil"/>
              <w:right w:val="nil"/>
            </w:tcBorders>
            <w:shd w:val="clear" w:color="auto" w:fill="auto"/>
            <w:vAlign w:val="bottom"/>
            <w:hideMark/>
          </w:tcPr>
          <w:p w14:paraId="472C19D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-0.035</w:t>
            </w:r>
          </w:p>
        </w:tc>
        <w:tc>
          <w:tcPr>
            <w:tcW w:w="1540" w:type="dxa"/>
            <w:tcBorders>
              <w:top w:val="nil"/>
              <w:left w:val="nil"/>
              <w:bottom w:val="nil"/>
              <w:right w:val="nil"/>
            </w:tcBorders>
            <w:shd w:val="clear" w:color="auto" w:fill="auto"/>
            <w:vAlign w:val="bottom"/>
            <w:hideMark/>
          </w:tcPr>
          <w:p w14:paraId="01E840F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-0.023</w:t>
            </w:r>
          </w:p>
        </w:tc>
      </w:tr>
      <w:tr w:rsidR="00EF3C9B" w:rsidRPr="00EF3C9B" w14:paraId="588219B9" w14:textId="77777777" w:rsidTr="00413873">
        <w:trPr>
          <w:trHeight w:val="320"/>
          <w:jc w:val="center"/>
        </w:trPr>
        <w:tc>
          <w:tcPr>
            <w:tcW w:w="1960" w:type="dxa"/>
            <w:tcBorders>
              <w:top w:val="nil"/>
              <w:left w:val="nil"/>
              <w:bottom w:val="nil"/>
              <w:right w:val="nil"/>
            </w:tcBorders>
            <w:shd w:val="clear" w:color="auto" w:fill="auto"/>
            <w:vAlign w:val="bottom"/>
            <w:hideMark/>
          </w:tcPr>
          <w:p w14:paraId="7BDB52F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2809DBB1"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D3DDD9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96B6803"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67CD76E" w14:textId="77777777" w:rsidTr="00413873">
        <w:trPr>
          <w:trHeight w:val="320"/>
          <w:jc w:val="center"/>
        </w:trPr>
        <w:tc>
          <w:tcPr>
            <w:tcW w:w="1960" w:type="dxa"/>
            <w:tcBorders>
              <w:top w:val="nil"/>
              <w:left w:val="nil"/>
              <w:bottom w:val="nil"/>
              <w:right w:val="nil"/>
            </w:tcBorders>
            <w:shd w:val="clear" w:color="auto" w:fill="auto"/>
            <w:vAlign w:val="bottom"/>
            <w:hideMark/>
          </w:tcPr>
          <w:p w14:paraId="1221B7DC"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Capped</w:t>
            </w:r>
          </w:p>
        </w:tc>
        <w:tc>
          <w:tcPr>
            <w:tcW w:w="1440" w:type="dxa"/>
            <w:tcBorders>
              <w:top w:val="nil"/>
              <w:left w:val="nil"/>
              <w:bottom w:val="nil"/>
              <w:right w:val="nil"/>
            </w:tcBorders>
            <w:shd w:val="clear" w:color="auto" w:fill="auto"/>
            <w:vAlign w:val="bottom"/>
            <w:hideMark/>
          </w:tcPr>
          <w:p w14:paraId="32972A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0.103</w:t>
            </w:r>
          </w:p>
        </w:tc>
        <w:tc>
          <w:tcPr>
            <w:tcW w:w="1440" w:type="dxa"/>
            <w:tcBorders>
              <w:top w:val="nil"/>
              <w:left w:val="nil"/>
              <w:bottom w:val="nil"/>
              <w:right w:val="nil"/>
            </w:tcBorders>
            <w:shd w:val="clear" w:color="auto" w:fill="auto"/>
            <w:vAlign w:val="bottom"/>
            <w:hideMark/>
          </w:tcPr>
          <w:p w14:paraId="6C4FA13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0.045</w:t>
            </w:r>
          </w:p>
        </w:tc>
        <w:tc>
          <w:tcPr>
            <w:tcW w:w="1540" w:type="dxa"/>
            <w:tcBorders>
              <w:top w:val="nil"/>
              <w:left w:val="nil"/>
              <w:bottom w:val="nil"/>
              <w:right w:val="nil"/>
            </w:tcBorders>
            <w:shd w:val="clear" w:color="auto" w:fill="auto"/>
            <w:vAlign w:val="bottom"/>
            <w:hideMark/>
          </w:tcPr>
          <w:p w14:paraId="45E8FE9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0.033</w:t>
            </w:r>
          </w:p>
        </w:tc>
      </w:tr>
      <w:tr w:rsidR="00EF3C9B" w:rsidRPr="00EF3C9B" w14:paraId="48684DC1" w14:textId="77777777" w:rsidTr="00413873">
        <w:trPr>
          <w:trHeight w:val="320"/>
          <w:jc w:val="center"/>
        </w:trPr>
        <w:tc>
          <w:tcPr>
            <w:tcW w:w="1960" w:type="dxa"/>
            <w:tcBorders>
              <w:top w:val="nil"/>
              <w:left w:val="nil"/>
              <w:bottom w:val="nil"/>
              <w:right w:val="nil"/>
            </w:tcBorders>
            <w:shd w:val="clear" w:color="auto" w:fill="auto"/>
            <w:vAlign w:val="bottom"/>
            <w:hideMark/>
          </w:tcPr>
          <w:p w14:paraId="4E615D3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0842FBE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-0.066</w:t>
            </w:r>
          </w:p>
        </w:tc>
        <w:tc>
          <w:tcPr>
            <w:tcW w:w="1440" w:type="dxa"/>
            <w:tcBorders>
              <w:top w:val="nil"/>
              <w:left w:val="nil"/>
              <w:bottom w:val="nil"/>
              <w:right w:val="nil"/>
            </w:tcBorders>
            <w:shd w:val="clear" w:color="auto" w:fill="auto"/>
            <w:vAlign w:val="bottom"/>
            <w:hideMark/>
          </w:tcPr>
          <w:p w14:paraId="0CC681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-0.034</w:t>
            </w:r>
          </w:p>
        </w:tc>
        <w:tc>
          <w:tcPr>
            <w:tcW w:w="1540" w:type="dxa"/>
            <w:tcBorders>
              <w:top w:val="nil"/>
              <w:left w:val="nil"/>
              <w:bottom w:val="nil"/>
              <w:right w:val="nil"/>
            </w:tcBorders>
            <w:shd w:val="clear" w:color="auto" w:fill="auto"/>
            <w:vAlign w:val="bottom"/>
            <w:hideMark/>
          </w:tcPr>
          <w:p w14:paraId="365DD2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-0.017</w:t>
            </w:r>
          </w:p>
        </w:tc>
      </w:tr>
      <w:tr w:rsidR="00EF3C9B" w:rsidRPr="00EF3C9B" w14:paraId="57268890" w14:textId="77777777" w:rsidTr="00413873">
        <w:trPr>
          <w:trHeight w:val="320"/>
          <w:jc w:val="center"/>
        </w:trPr>
        <w:tc>
          <w:tcPr>
            <w:tcW w:w="1960" w:type="dxa"/>
            <w:tcBorders>
              <w:top w:val="nil"/>
              <w:left w:val="nil"/>
              <w:bottom w:val="nil"/>
              <w:right w:val="nil"/>
            </w:tcBorders>
            <w:shd w:val="clear" w:color="auto" w:fill="auto"/>
            <w:vAlign w:val="bottom"/>
            <w:hideMark/>
          </w:tcPr>
          <w:p w14:paraId="647BB83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956B3F3"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0E42644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240E6432"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57364F2F" w14:textId="77777777" w:rsidTr="00413873">
        <w:trPr>
          <w:trHeight w:val="600"/>
          <w:jc w:val="center"/>
        </w:trPr>
        <w:tc>
          <w:tcPr>
            <w:tcW w:w="1960" w:type="dxa"/>
            <w:tcBorders>
              <w:top w:val="nil"/>
              <w:left w:val="nil"/>
              <w:bottom w:val="nil"/>
              <w:right w:val="nil"/>
            </w:tcBorders>
            <w:shd w:val="clear" w:color="auto" w:fill="auto"/>
            <w:vAlign w:val="bottom"/>
            <w:hideMark/>
          </w:tcPr>
          <w:p w14:paraId="7C51D134"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 * Trade Date</w:t>
            </w:r>
          </w:p>
        </w:tc>
        <w:tc>
          <w:tcPr>
            <w:tcW w:w="1440" w:type="dxa"/>
            <w:tcBorders>
              <w:top w:val="nil"/>
              <w:left w:val="nil"/>
              <w:bottom w:val="nil"/>
              <w:right w:val="nil"/>
            </w:tcBorders>
            <w:shd w:val="clear" w:color="auto" w:fill="auto"/>
            <w:vAlign w:val="bottom"/>
            <w:hideMark/>
          </w:tcPr>
          <w:p w14:paraId="69D3B06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440" w:type="dxa"/>
            <w:tcBorders>
              <w:top w:val="nil"/>
              <w:left w:val="nil"/>
              <w:bottom w:val="nil"/>
              <w:right w:val="nil"/>
            </w:tcBorders>
            <w:shd w:val="clear" w:color="auto" w:fill="auto"/>
            <w:vAlign w:val="bottom"/>
            <w:hideMark/>
          </w:tcPr>
          <w:p w14:paraId="79222FB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540" w:type="dxa"/>
            <w:tcBorders>
              <w:top w:val="nil"/>
              <w:left w:val="nil"/>
              <w:bottom w:val="nil"/>
              <w:right w:val="nil"/>
            </w:tcBorders>
            <w:shd w:val="clear" w:color="auto" w:fill="auto"/>
            <w:vAlign w:val="bottom"/>
            <w:hideMark/>
          </w:tcPr>
          <w:p w14:paraId="2F8D34F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7D5658" w14:textId="77777777" w:rsidTr="00413873">
        <w:trPr>
          <w:trHeight w:val="320"/>
          <w:jc w:val="center"/>
        </w:trPr>
        <w:tc>
          <w:tcPr>
            <w:tcW w:w="1960" w:type="dxa"/>
            <w:tcBorders>
              <w:top w:val="nil"/>
              <w:left w:val="nil"/>
              <w:bottom w:val="nil"/>
              <w:right w:val="nil"/>
            </w:tcBorders>
            <w:shd w:val="clear" w:color="auto" w:fill="auto"/>
            <w:vAlign w:val="bottom"/>
            <w:hideMark/>
          </w:tcPr>
          <w:p w14:paraId="59889B4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8BA17D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463232A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0ECF1C4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5E374345" w14:textId="77777777" w:rsidTr="00413873">
        <w:trPr>
          <w:trHeight w:val="320"/>
          <w:jc w:val="center"/>
        </w:trPr>
        <w:tc>
          <w:tcPr>
            <w:tcW w:w="1960" w:type="dxa"/>
            <w:tcBorders>
              <w:top w:val="nil"/>
              <w:left w:val="nil"/>
              <w:bottom w:val="nil"/>
              <w:right w:val="nil"/>
            </w:tcBorders>
            <w:shd w:val="clear" w:color="auto" w:fill="auto"/>
            <w:vAlign w:val="bottom"/>
            <w:hideMark/>
          </w:tcPr>
          <w:p w14:paraId="7566336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CCFC50C"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79C73F23"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BCE2390"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7469E5DE" w14:textId="77777777" w:rsidTr="00413873">
        <w:trPr>
          <w:trHeight w:val="320"/>
          <w:jc w:val="center"/>
        </w:trPr>
        <w:tc>
          <w:tcPr>
            <w:tcW w:w="1960" w:type="dxa"/>
            <w:tcBorders>
              <w:top w:val="nil"/>
              <w:left w:val="nil"/>
              <w:bottom w:val="nil"/>
              <w:right w:val="nil"/>
            </w:tcBorders>
            <w:shd w:val="clear" w:color="auto" w:fill="auto"/>
            <w:vAlign w:val="bottom"/>
            <w:hideMark/>
          </w:tcPr>
          <w:p w14:paraId="091CA6E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Constant</w:t>
            </w:r>
          </w:p>
        </w:tc>
        <w:tc>
          <w:tcPr>
            <w:tcW w:w="1440" w:type="dxa"/>
            <w:tcBorders>
              <w:top w:val="nil"/>
              <w:left w:val="nil"/>
              <w:bottom w:val="nil"/>
              <w:right w:val="nil"/>
            </w:tcBorders>
            <w:shd w:val="clear" w:color="auto" w:fill="auto"/>
            <w:vAlign w:val="bottom"/>
            <w:hideMark/>
          </w:tcPr>
          <w:p w14:paraId="2B3CAB6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41.431</w:t>
            </w:r>
          </w:p>
        </w:tc>
        <w:tc>
          <w:tcPr>
            <w:tcW w:w="1440" w:type="dxa"/>
            <w:tcBorders>
              <w:top w:val="nil"/>
              <w:left w:val="nil"/>
              <w:bottom w:val="nil"/>
              <w:right w:val="nil"/>
            </w:tcBorders>
            <w:shd w:val="clear" w:color="auto" w:fill="auto"/>
            <w:vAlign w:val="bottom"/>
            <w:hideMark/>
          </w:tcPr>
          <w:p w14:paraId="5188C8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26.625</w:t>
            </w:r>
          </w:p>
        </w:tc>
        <w:tc>
          <w:tcPr>
            <w:tcW w:w="1540" w:type="dxa"/>
            <w:tcBorders>
              <w:top w:val="nil"/>
              <w:left w:val="nil"/>
              <w:bottom w:val="nil"/>
              <w:right w:val="nil"/>
            </w:tcBorders>
            <w:shd w:val="clear" w:color="auto" w:fill="auto"/>
            <w:vAlign w:val="bottom"/>
            <w:hideMark/>
          </w:tcPr>
          <w:p w14:paraId="078AD71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-9.856</w:t>
            </w:r>
          </w:p>
        </w:tc>
      </w:tr>
      <w:tr w:rsidR="00EF3C9B" w:rsidRPr="00EF3C9B" w14:paraId="7C2B1DC6" w14:textId="77777777" w:rsidTr="00413873">
        <w:trPr>
          <w:trHeight w:val="320"/>
          <w:jc w:val="center"/>
        </w:trPr>
        <w:tc>
          <w:tcPr>
            <w:tcW w:w="1960" w:type="dxa"/>
            <w:tcBorders>
              <w:top w:val="nil"/>
              <w:left w:val="nil"/>
              <w:bottom w:val="nil"/>
              <w:right w:val="nil"/>
            </w:tcBorders>
            <w:shd w:val="clear" w:color="auto" w:fill="auto"/>
            <w:vAlign w:val="bottom"/>
            <w:hideMark/>
          </w:tcPr>
          <w:p w14:paraId="1DA45A0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51F8DD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-16.254</w:t>
            </w:r>
          </w:p>
        </w:tc>
        <w:tc>
          <w:tcPr>
            <w:tcW w:w="1440" w:type="dxa"/>
            <w:tcBorders>
              <w:top w:val="nil"/>
              <w:left w:val="nil"/>
              <w:bottom w:val="nil"/>
              <w:right w:val="nil"/>
            </w:tcBorders>
            <w:shd w:val="clear" w:color="auto" w:fill="auto"/>
            <w:vAlign w:val="bottom"/>
            <w:hideMark/>
          </w:tcPr>
          <w:p w14:paraId="6691919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-19.798</w:t>
            </w:r>
          </w:p>
        </w:tc>
        <w:tc>
          <w:tcPr>
            <w:tcW w:w="1540" w:type="dxa"/>
            <w:tcBorders>
              <w:top w:val="nil"/>
              <w:left w:val="nil"/>
              <w:bottom w:val="nil"/>
              <w:right w:val="nil"/>
            </w:tcBorders>
            <w:shd w:val="clear" w:color="auto" w:fill="auto"/>
            <w:vAlign w:val="bottom"/>
            <w:hideMark/>
          </w:tcPr>
          <w:p w14:paraId="798B9DA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-15.845</w:t>
            </w:r>
          </w:p>
        </w:tc>
      </w:tr>
      <w:tr w:rsidR="00EF3C9B" w:rsidRPr="00EF3C9B" w14:paraId="57064BF2" w14:textId="77777777" w:rsidTr="00413873">
        <w:trPr>
          <w:trHeight w:val="320"/>
          <w:jc w:val="center"/>
        </w:trPr>
        <w:tc>
          <w:tcPr>
            <w:tcW w:w="1960" w:type="dxa"/>
            <w:tcBorders>
              <w:top w:val="nil"/>
              <w:left w:val="nil"/>
              <w:bottom w:val="nil"/>
              <w:right w:val="nil"/>
            </w:tcBorders>
            <w:shd w:val="clear" w:color="auto" w:fill="auto"/>
            <w:vAlign w:val="bottom"/>
            <w:hideMark/>
          </w:tcPr>
          <w:p w14:paraId="1D22318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3D3314E"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81763B1"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545835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3682140F"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279C695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6DD9756F" w14:textId="77777777" w:rsidTr="00413873">
        <w:trPr>
          <w:trHeight w:val="340"/>
          <w:jc w:val="center"/>
        </w:trPr>
        <w:tc>
          <w:tcPr>
            <w:tcW w:w="6380" w:type="dxa"/>
            <w:gridSpan w:val="4"/>
            <w:tcBorders>
              <w:top w:val="single" w:sz="8" w:space="0" w:color="000000"/>
              <w:left w:val="nil"/>
              <w:bottom w:val="single" w:sz="8" w:space="0" w:color="000000"/>
              <w:right w:val="nil"/>
            </w:tcBorders>
            <w:shd w:val="clear" w:color="auto" w:fill="auto"/>
            <w:vAlign w:val="bottom"/>
            <w:hideMark/>
          </w:tcPr>
          <w:p w14:paraId="37485B0B"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bl>
    <w:p w14:paraId="0F7AF0E7" w14:textId="75018021" w:rsidR="00561948" w:rsidRDefault="00561948" w:rsidP="00561948">
      <w:pPr>
        <w:ind w:firstLine="0"/>
      </w:pPr>
    </w:p>
    <w:p w14:paraId="4791B7D7" w14:textId="77777777" w:rsidR="00EF3C9B" w:rsidRDefault="00EF3C9B" w:rsidP="00916B59"/>
    <w:p w14:paraId="1B498EF1" w14:textId="29970E52" w:rsidR="00916B59" w:rsidRDefault="00916B59" w:rsidP="00916B59">
      <w:r>
        <w:lastRenderedPageBreak/>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t xml:space="preserve">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A2102A">
        <w:t xml:space="preserve">Figure </w:t>
      </w:r>
      <w:r w:rsidR="00A2102A">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0A7C6717" w:rsidR="000A0237" w:rsidRDefault="000A0237" w:rsidP="000A0237">
      <w:r>
        <w:t xml:space="preserve">Finally, I test the validity of the parallel </w:t>
      </w:r>
      <w:proofErr w:type="gramStart"/>
      <w:r>
        <w:t>trends</w:t>
      </w:r>
      <w:proofErr w:type="gramEnd"/>
      <w:r>
        <w:t xml:space="preserve"> assumption using a placebo difference-in-differences. </w:t>
      </w:r>
      <w:r>
        <w:fldChar w:fldCharType="begin"/>
      </w:r>
      <w:r>
        <w:instrText xml:space="preserve"> REF _Ref170032710 \h </w:instrText>
      </w:r>
      <w:r>
        <w:fldChar w:fldCharType="separate"/>
      </w:r>
      <w:r w:rsidR="00A2102A">
        <w:t xml:space="preserve">Table </w:t>
      </w:r>
      <w:r w:rsidR="00A2102A">
        <w:rPr>
          <w:noProof/>
        </w:rPr>
        <w:t>4</w:t>
      </w:r>
      <w:r>
        <w:fldChar w:fldCharType="end"/>
      </w:r>
      <w:r>
        <w:t xml:space="preserve"> shows the results from a placebo difference-in-differences regression. I pick the 20 trading days before the periods studied above (60 trading days in total across three phases). I create a “placebo” difference-in-differences, as if there was a transition to clearing mandate on the 11</w:t>
      </w:r>
      <w:r w:rsidRPr="00EE0253">
        <w:rPr>
          <w:vertAlign w:val="superscript"/>
        </w:rPr>
        <w:t>th</w:t>
      </w:r>
      <w:r>
        <w:t xml:space="preserve"> trading day (i.e. Feb 11, May 13 and Aug 12). The results do not show any effect from this placebo DiD, further strengthening our belief that the increase in premia seen in the actual DiD is real.</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7"/>
          <w:pgSz w:w="12240" w:h="15840"/>
          <w:pgMar w:top="1440" w:right="1440" w:bottom="1440" w:left="1440" w:header="720" w:footer="720" w:gutter="0"/>
          <w:cols w:space="720"/>
          <w:docGrid w:linePitch="360"/>
        </w:sectPr>
      </w:pPr>
    </w:p>
    <w:p w14:paraId="655B9119" w14:textId="4EC144A0" w:rsidR="00C07EA6" w:rsidRDefault="00C07EA6" w:rsidP="00A94C0E">
      <w:pPr>
        <w:pStyle w:val="Caption"/>
        <w:keepNext/>
      </w:pPr>
      <w:bookmarkStart w:id="18" w:name="_Ref169917013"/>
      <w:r>
        <w:lastRenderedPageBreak/>
        <w:t xml:space="preserve">Figure </w:t>
      </w:r>
      <w:fldSimple w:instr=" SEQ Figure \* ARABIC ">
        <w:r w:rsidR="00A2102A">
          <w:rPr>
            <w:noProof/>
          </w:rPr>
          <w:t>4</w:t>
        </w:r>
      </w:fldSimple>
      <w:bookmarkEnd w:id="18"/>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dashed veritcal</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06AB8ADC" w:rsidR="004079FB" w:rsidRDefault="004079FB" w:rsidP="004079FB">
      <w:pPr>
        <w:pStyle w:val="Caption"/>
        <w:keepNext/>
        <w:jc w:val="left"/>
      </w:pPr>
      <w:bookmarkStart w:id="19" w:name="_Ref170032710"/>
      <w:r>
        <w:lastRenderedPageBreak/>
        <w:t xml:space="preserve">Table </w:t>
      </w:r>
      <w:r>
        <w:fldChar w:fldCharType="begin"/>
      </w:r>
      <w:r>
        <w:instrText xml:space="preserve"> SEQ Table \* ARABIC </w:instrText>
      </w:r>
      <w:r>
        <w:fldChar w:fldCharType="separate"/>
      </w:r>
      <w:r w:rsidR="00A2102A">
        <w:rPr>
          <w:noProof/>
        </w:rPr>
        <w:t>4</w:t>
      </w:r>
      <w:r>
        <w:fldChar w:fldCharType="end"/>
      </w:r>
      <w:bookmarkEnd w:id="19"/>
      <w:r>
        <w:rPr>
          <w:noProof/>
        </w:rPr>
        <w:t xml:space="preserve"> Placebo DiD </w:t>
      </w:r>
      <w:r w:rsidR="00184C80">
        <w:rPr>
          <w:noProof/>
        </w:rPr>
        <w:t>r</w:t>
      </w:r>
      <w:r>
        <w:rPr>
          <w:noProof/>
        </w:rPr>
        <w:t>esults</w:t>
      </w:r>
      <w:r w:rsidR="00184C80">
        <w:rPr>
          <w:noProof/>
        </w:rPr>
        <w:t xml:space="preserve">. The placebo DiD </w:t>
      </w:r>
      <w:r w:rsidR="001544D7">
        <w:rPr>
          <w:noProof/>
        </w:rPr>
        <w:t xml:space="preserve">is </w:t>
      </w:r>
      <w:r w:rsidR="00632BC9">
        <w:rPr>
          <w:noProof/>
        </w:rPr>
        <w:t xml:space="preserve"> </w:t>
      </w:r>
      <w:r w:rsidR="00FC6143">
        <w:rPr>
          <w:noProof/>
        </w:rPr>
        <w:t xml:space="preserve">the same type of </w:t>
      </w:r>
      <w:r w:rsidR="001544D7">
        <w:rPr>
          <w:noProof/>
        </w:rPr>
        <w:t xml:space="preserve">DiD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Specifically, this looks at </w:t>
      </w:r>
      <w:r w:rsidR="005F1ECB">
        <w:rPr>
          <w:noProof/>
        </w:rPr>
        <w:t>the 2</w:t>
      </w:r>
      <w:r w:rsidR="00C3688F">
        <w:rPr>
          <w:noProof/>
        </w:rPr>
        <w:t xml:space="preserve">0 </w:t>
      </w:r>
      <w:r w:rsidR="005F1ECB">
        <w:rPr>
          <w:noProof/>
        </w:rPr>
        <w:t xml:space="preserve">trading days before the “study period” of each phase </w:t>
      </w:r>
      <w:r w:rsidR="00B947DD">
        <w:rPr>
          <w:noProof/>
        </w:rPr>
        <w:t xml:space="preserve">and </w:t>
      </w:r>
      <w:r w:rsidR="00057C26">
        <w:rPr>
          <w:noProof/>
        </w:rPr>
        <w:t xml:space="preserve">performs a “placebo” analysis as if the central clearing mandate </w:t>
      </w:r>
      <w:r w:rsidR="00B338A4">
        <w:rPr>
          <w:noProof/>
        </w:rPr>
        <w:t xml:space="preserve">had been implented on the </w:t>
      </w:r>
      <w:r w:rsidR="00057C26">
        <w:rPr>
          <w:noProof/>
        </w:rPr>
        <w:t>the tenth 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77777777" w:rsidR="004079FB" w:rsidRPr="00AD6A41" w:rsidRDefault="004079FB" w:rsidP="00AD290E">
            <w:pPr>
              <w:spacing w:line="240" w:lineRule="auto"/>
              <w:ind w:firstLine="0"/>
              <w:jc w:val="center"/>
              <w:rPr>
                <w:rFonts w:eastAsia="Times New Roman"/>
              </w:rPr>
            </w:pPr>
            <w:r>
              <w:rPr>
                <w:rFonts w:eastAsia="Times New Roman"/>
                <w:b/>
                <w:bCs/>
              </w:rPr>
              <w:t>Placebo Difference-in-Difference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77777777" w:rsidR="004079FB" w:rsidRPr="00AD6A41" w:rsidRDefault="004079FB" w:rsidP="00AD290E">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lastRenderedPageBreak/>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r>
        <w:t>Liquidity</w:t>
      </w:r>
    </w:p>
    <w:p w14:paraId="48955599" w14:textId="0BF0EBFF"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3D6D5E6C"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A2102A">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222D6E59" w:rsidR="00916B59" w:rsidRDefault="00916B59">
            <w:pPr>
              <w:pStyle w:val="Caption"/>
              <w:keepNext/>
              <w:jc w:val="right"/>
            </w:pPr>
            <w:r>
              <w:t>(</w:t>
            </w:r>
            <w:fldSimple w:instr=" SEQ Equation \* ARABIC ">
              <w:r w:rsidR="00A2102A">
                <w:rPr>
                  <w:noProof/>
                </w:rPr>
                <w:t>30</w:t>
              </w:r>
            </w:fldSimple>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0C64A143" w:rsidR="00916B59" w:rsidRDefault="00916B59" w:rsidP="00916B59">
      <w:r>
        <w:t xml:space="preserve">The bid-ask spread measure is “low frequency” </w:t>
      </w:r>
      <w:r w:rsidR="00A436D5">
        <w:t xml:space="preserve">(collected at the end of day) </w:t>
      </w:r>
      <w:r>
        <w:t>and does not necessarily reflect the costs traders may face throughout the trading session. To estimate the intraday liquidity that traders may experience, I use two proxies common in the literature: the Roll measure and the Amihud Illiquidity (price impact) measure.</w:t>
      </w:r>
    </w:p>
    <w:p w14:paraId="17D2B693" w14:textId="0B8B3486" w:rsidR="00916B59" w:rsidRDefault="00916B59" w:rsidP="00916B59">
      <w:r>
        <w:t>The first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39CA5F37" w:rsidR="00916B59" w:rsidRDefault="00916B59">
            <w:pPr>
              <w:pStyle w:val="Caption"/>
              <w:keepNext/>
              <w:jc w:val="right"/>
            </w:pPr>
            <w:r>
              <w:t>(</w:t>
            </w:r>
            <w:fldSimple w:instr=" SEQ Equation \* ARABIC ">
              <w:r w:rsidR="00A2102A">
                <w:rPr>
                  <w:noProof/>
                </w:rPr>
                <w:t>31</w:t>
              </w:r>
            </w:fldSimple>
            <w:r>
              <w:t>)</w:t>
            </w:r>
          </w:p>
        </w:tc>
      </w:tr>
    </w:tbl>
    <w:p w14:paraId="3C0E064A" w14:textId="7B07CFB7" w:rsidR="00916B59" w:rsidRDefault="00916B59" w:rsidP="00916B59">
      <w:pPr>
        <w:ind w:firstLine="0"/>
      </w:pPr>
      <w:r>
        <w:lastRenderedPageBreak/>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w:t>
      </w:r>
      <w:r w:rsidR="00F66971">
        <w:t xml:space="preserve">I group the contracts by tenor and calculate the Roll measure for each trade date. I focus the analysis on 2-year, 5-year and 10-year contracts (the most actively traded contacts). </w:t>
      </w:r>
      <w:r>
        <w:t>For some trading days and tenors, the quantity under the radical is negative. These observations are excluded from the dataset. I also exclude any days where the number of contracts traded is less than five.</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69C7EB9E" w:rsidR="00916B59" w:rsidRDefault="00916B59">
            <w:pPr>
              <w:pStyle w:val="Caption"/>
              <w:keepNext/>
              <w:jc w:val="right"/>
            </w:pPr>
            <w:r>
              <w:t>(</w:t>
            </w:r>
            <w:fldSimple w:instr=" SEQ Equation \* ARABIC ">
              <w:r w:rsidR="00A2102A">
                <w:rPr>
                  <w:noProof/>
                </w:rPr>
                <w:t>32</w:t>
              </w:r>
            </w:fldSimple>
            <w:r>
              <w:t>)</w:t>
            </w:r>
          </w:p>
        </w:tc>
      </w:tr>
    </w:tbl>
    <w:p w14:paraId="5DDE49E6" w14:textId="0B7FB463"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Amihud liquidity measure, which normalizes inter-period price changes by the market size (volume) is a measure of how much prices move, scaled by the trade size. I calculate the daily Amihud 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(calculating average daily returns </w:t>
      </w:r>
      <w:r w:rsidR="00444FE6">
        <w:t xml:space="preserve">using </w:t>
      </w:r>
      <w:r w:rsidR="00FE68A6">
        <w:t>price changes from trade to trade</w:t>
      </w:r>
      <w:r w:rsidR="00444FE6">
        <w:t xml:space="preserve"> within a day</w:t>
      </w:r>
      <w:r w:rsidR="005B2CFB">
        <w:t>. I use the total notional amount on a given day as the volume measure in the denominator</w:t>
      </w:r>
      <w:r w:rsidR="00FE68A6">
        <w:t>)</w:t>
      </w:r>
      <w:r>
        <w:t>.</w:t>
      </w:r>
    </w:p>
    <w:p w14:paraId="33C5D1D3" w14:textId="3D3801E6" w:rsidR="00916B59" w:rsidRDefault="00916B59" w:rsidP="00916B59">
      <w:r>
        <w:t>For each liquidity measure discussed above, I run a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r>
                      <w:rPr>
                        <w:rFonts w:ascii="Cambria Math" w:hAnsi="Cambria Math"/>
                      </w:rPr>
                      <m:t>,</m:t>
                    </m:r>
                    <m:r>
                      <w:rPr>
                        <w:rFonts w:ascii="Cambria Math" w:hAnsi="Cambria Math"/>
                      </w:rPr>
                      <m:t>t</m:t>
                    </m:r>
                  </m:sub>
                </m:sSub>
              </m:oMath>
            </m:oMathPara>
          </w:p>
        </w:tc>
        <w:tc>
          <w:tcPr>
            <w:tcW w:w="350" w:type="pct"/>
          </w:tcPr>
          <w:p w14:paraId="10993735" w14:textId="739C6AF0" w:rsidR="00916B59" w:rsidRDefault="00916B59">
            <w:pPr>
              <w:pStyle w:val="Caption"/>
              <w:keepNext/>
              <w:jc w:val="right"/>
            </w:pPr>
            <w:r>
              <w:t>(</w:t>
            </w:r>
            <w:fldSimple w:instr=" SEQ Equation \* ARABIC ">
              <w:r w:rsidR="00A2102A">
                <w:rPr>
                  <w:noProof/>
                </w:rPr>
                <w:t>33</w:t>
              </w:r>
            </w:fldSimple>
            <w:r>
              <w:t>)</w:t>
            </w:r>
          </w:p>
        </w:tc>
      </w:tr>
    </w:tbl>
    <w:p w14:paraId="323DAB38" w14:textId="0802DAE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6FB3BD7F"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A2102A">
        <w:t xml:space="preserve">Figure </w:t>
      </w:r>
      <w:r w:rsidR="00A2102A">
        <w:rPr>
          <w:noProof/>
        </w:rPr>
        <w:t>5</w:t>
      </w:r>
      <w:r w:rsidR="00DD00F7">
        <w:fldChar w:fldCharType="end"/>
      </w:r>
      <w:r w:rsidR="00DD00F7">
        <w:t xml:space="preserve"> </w:t>
      </w:r>
      <w:r>
        <w:t xml:space="preserve">shows the path of the relative spread measure for 5-year contracts for the USD and CAD denominated markets (other </w:t>
      </w:r>
      <w:r w:rsidR="00F66971">
        <w:t xml:space="preserve">contract </w:t>
      </w:r>
      <w:r>
        <w:t xml:space="preserve">tenors show a similar trend). As in the case for the price </w:t>
      </w:r>
      <w:r>
        <w:lastRenderedPageBreak/>
        <w:t xml:space="preserve">premium, the </w:t>
      </w:r>
      <w:r w:rsidR="000623F9">
        <w:t>relative bid-ask spread measure</w:t>
      </w:r>
      <w:r>
        <w:t xml:space="preserve">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A2102A">
        <w:t xml:space="preserve">Figure </w:t>
      </w:r>
      <w:r w:rsidR="00A2102A">
        <w:rPr>
          <w:noProof/>
        </w:rPr>
        <w:t>6</w:t>
      </w:r>
      <w:r w:rsidR="006B0CE0">
        <w:fldChar w:fldCharType="end"/>
      </w:r>
      <w:r w:rsidR="006B0CE0">
        <w:t xml:space="preserve"> </w:t>
      </w:r>
      <w:r>
        <w:t xml:space="preserve">shows the Roll measure </w:t>
      </w:r>
      <w:r w:rsidR="00FE68A6">
        <w:t xml:space="preserve">for the </w:t>
      </w:r>
      <w:r>
        <w:t xml:space="preserve">5-year USD and CAD interest rate swaps contracts (other tenors show similar trends). Note that due to the limitation 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A2102A">
        <w:t xml:space="preserve">Figure </w:t>
      </w:r>
      <w:r w:rsidR="00A2102A">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the Amihud measure is larger (indicating less liquidity) for the Canadian market, due to its smaller size. As is the case with the Roll measure, there 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6E8D6075" w14:textId="21940C14" w:rsidR="00DD00F7" w:rsidRDefault="00DD00F7" w:rsidP="00DD00F7">
      <w:pPr>
        <w:pStyle w:val="Caption"/>
        <w:keepNext/>
        <w:jc w:val="center"/>
      </w:pPr>
      <w:bookmarkStart w:id="20" w:name="_Ref169958555"/>
      <w:r>
        <w:lastRenderedPageBreak/>
        <w:t xml:space="preserve">Figure </w:t>
      </w:r>
      <w:fldSimple w:instr=" SEQ Figure \* ARABIC ">
        <w:r w:rsidR="00A2102A">
          <w:rPr>
            <w:noProof/>
          </w:rPr>
          <w:t>5</w:t>
        </w:r>
      </w:fldSimple>
      <w:bookmarkEnd w:id="20"/>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7218A86A">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3701ED55">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5FFAB54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4E40D0" w14:textId="77777777" w:rsidR="00EA1936" w:rsidRDefault="00EA1936">
      <w:pPr>
        <w:spacing w:line="240" w:lineRule="auto"/>
        <w:ind w:firstLine="0"/>
        <w:jc w:val="left"/>
      </w:pPr>
      <w:r>
        <w:br w:type="page"/>
      </w:r>
    </w:p>
    <w:p w14:paraId="212C82FB" w14:textId="1AA0233F" w:rsidR="006B0CE0" w:rsidRDefault="006B0CE0" w:rsidP="006B0CE0">
      <w:pPr>
        <w:pStyle w:val="Caption"/>
        <w:keepNext/>
        <w:jc w:val="center"/>
      </w:pPr>
      <w:bookmarkStart w:id="21" w:name="_Ref169960502"/>
      <w:r>
        <w:lastRenderedPageBreak/>
        <w:t xml:space="preserve">Figure </w:t>
      </w:r>
      <w:fldSimple w:instr=" SEQ Figure \* ARABIC ">
        <w:r w:rsidR="00A2102A">
          <w:rPr>
            <w:noProof/>
          </w:rPr>
          <w:t>6</w:t>
        </w:r>
      </w:fldSimple>
      <w:bookmarkEnd w:id="21"/>
      <w:r>
        <w:rPr>
          <w:noProof/>
        </w:rPr>
        <w:t xml:space="preserve"> </w:t>
      </w:r>
      <w:commentRangeStart w:id="22"/>
      <w:r w:rsidR="001723E9">
        <w:rPr>
          <w:noProof/>
        </w:rPr>
        <w:t>Pre-trends for Roll’s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22"/>
      <w:r w:rsidR="00EC20E0">
        <w:rPr>
          <w:rStyle w:val="CommentReference"/>
          <w:i w:val="0"/>
          <w:iCs w:val="0"/>
          <w:color w:val="auto"/>
        </w:rPr>
        <w:commentReference w:id="22"/>
      </w:r>
    </w:p>
    <w:p w14:paraId="2D9E32E3" w14:textId="75C1EBAB" w:rsidR="00EA1936" w:rsidRDefault="00EA1936" w:rsidP="00193119">
      <w:pPr>
        <w:spacing w:line="240" w:lineRule="auto"/>
        <w:ind w:firstLine="0"/>
      </w:pPr>
    </w:p>
    <w:p w14:paraId="5CE55657" w14:textId="6060B9EF" w:rsidR="001723E9" w:rsidRDefault="00787F96" w:rsidP="00787F96">
      <w:pPr>
        <w:spacing w:line="240" w:lineRule="auto"/>
        <w:ind w:firstLine="0"/>
        <w:jc w:val="center"/>
      </w:pPr>
      <w:r>
        <w:rPr>
          <w:noProof/>
          <w14:ligatures w14:val="standardContextual"/>
        </w:rPr>
        <w:drawing>
          <wp:inline distT="0" distB="0" distL="0" distR="0" wp14:anchorId="79C9E9DA" wp14:editId="011F43CA">
            <wp:extent cx="5934710" cy="3538855"/>
            <wp:effectExtent l="0" t="0" r="0" b="4445"/>
            <wp:docPr id="800756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699" name="Picture 1" descr="A graph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BB0F2B6" w14:textId="09FE546A" w:rsidR="00787F96" w:rsidRDefault="00787F96" w:rsidP="00787F96">
      <w:pPr>
        <w:spacing w:line="240" w:lineRule="auto"/>
        <w:ind w:firstLine="0"/>
        <w:jc w:val="center"/>
      </w:pPr>
      <w:r>
        <w:rPr>
          <w:noProof/>
          <w14:ligatures w14:val="standardContextual"/>
        </w:rPr>
        <w:drawing>
          <wp:inline distT="0" distB="0" distL="0" distR="0" wp14:anchorId="7CF9175C" wp14:editId="4B463405">
            <wp:extent cx="5934710" cy="3543935"/>
            <wp:effectExtent l="0" t="0" r="0" b="0"/>
            <wp:docPr id="386563204" name="Picture 2"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3204" name="Picture 2" descr="A graph with blue and green lin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p>
    <w:p w14:paraId="7A1AF404" w14:textId="55F698E4" w:rsidR="00B2363A" w:rsidRDefault="00B2363A" w:rsidP="00DD00F7">
      <w:pPr>
        <w:spacing w:line="240" w:lineRule="auto"/>
        <w:ind w:firstLine="0"/>
        <w:jc w:val="center"/>
      </w:pPr>
      <w:r>
        <w:br w:type="page"/>
      </w:r>
    </w:p>
    <w:p w14:paraId="34F1F347" w14:textId="3C8DC960" w:rsidR="000E35F2" w:rsidRDefault="00302D61" w:rsidP="00E92F48">
      <w:pPr>
        <w:pStyle w:val="Caption"/>
        <w:keepNext/>
      </w:pPr>
      <w:bookmarkStart w:id="23" w:name="_Ref169960521"/>
      <w:r>
        <w:lastRenderedPageBreak/>
        <w:t xml:space="preserve">Figure </w:t>
      </w:r>
      <w:fldSimple w:instr=" SEQ Figure \* ARABIC ">
        <w:r w:rsidR="00A2102A">
          <w:rPr>
            <w:noProof/>
          </w:rPr>
          <w:t>7</w:t>
        </w:r>
      </w:fldSimple>
      <w:bookmarkEnd w:id="23"/>
      <w:r>
        <w:rPr>
          <w:noProof/>
        </w:rPr>
        <w:t xml:space="preserve"> </w:t>
      </w:r>
      <w:commentRangeStart w:id="24"/>
      <w:r w:rsidR="00E92F48">
        <w:rPr>
          <w:noProof/>
        </w:rPr>
        <w:t>Pre-trends for Amihud Illiquidty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24"/>
      <w:r w:rsidR="00EC20E0">
        <w:rPr>
          <w:rStyle w:val="CommentReference"/>
          <w:i w:val="0"/>
          <w:iCs w:val="0"/>
          <w:color w:val="auto"/>
        </w:rPr>
        <w:commentReference w:id="24"/>
      </w:r>
      <w:r w:rsidR="00E92F48">
        <w:rPr>
          <w:noProof/>
        </w:rPr>
        <w:t>.</w:t>
      </w:r>
    </w:p>
    <w:p w14:paraId="6F7D624E" w14:textId="0414F4F0" w:rsidR="000E35F2" w:rsidRDefault="00C83CFF" w:rsidP="00C83CFF">
      <w:pPr>
        <w:spacing w:line="240" w:lineRule="auto"/>
        <w:ind w:firstLine="0"/>
        <w:jc w:val="center"/>
      </w:pPr>
      <w:r>
        <w:rPr>
          <w:noProof/>
          <w14:ligatures w14:val="standardContextual"/>
        </w:rPr>
        <w:drawing>
          <wp:inline distT="0" distB="0" distL="0" distR="0" wp14:anchorId="33055FF9" wp14:editId="76CE0088">
            <wp:extent cx="5934710" cy="3537585"/>
            <wp:effectExtent l="0" t="0" r="8890" b="5715"/>
            <wp:docPr id="1413362224" name="Picture 2" descr="A graph of a tra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62224" name="Picture 2" descr="A graph of a trad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34710" cy="3537585"/>
                    </a:xfrm>
                    <a:prstGeom prst="rect">
                      <a:avLst/>
                    </a:prstGeom>
                  </pic:spPr>
                </pic:pic>
              </a:graphicData>
            </a:graphic>
          </wp:inline>
        </w:drawing>
      </w:r>
    </w:p>
    <w:p w14:paraId="06F162D9" w14:textId="56F66746" w:rsidR="000E35F2" w:rsidRDefault="000E35F2" w:rsidP="000E35F2">
      <w:pPr>
        <w:spacing w:line="240" w:lineRule="auto"/>
        <w:ind w:firstLine="0"/>
        <w:jc w:val="center"/>
      </w:pPr>
    </w:p>
    <w:p w14:paraId="7A119736" w14:textId="77777777" w:rsidR="000E35F2" w:rsidRDefault="000E35F2">
      <w:pPr>
        <w:spacing w:line="240" w:lineRule="auto"/>
        <w:ind w:firstLine="0"/>
        <w:jc w:val="left"/>
      </w:pPr>
    </w:p>
    <w:p w14:paraId="45EEDE35" w14:textId="4EB28AB4" w:rsidR="000E35F2" w:rsidRDefault="00FC7154" w:rsidP="000E35F2">
      <w:pPr>
        <w:spacing w:line="240" w:lineRule="auto"/>
        <w:ind w:firstLine="0"/>
        <w:jc w:val="center"/>
      </w:pPr>
      <w:r>
        <w:rPr>
          <w:noProof/>
          <w14:ligatures w14:val="standardContextual"/>
        </w:rPr>
        <w:drawing>
          <wp:inline distT="0" distB="0" distL="0" distR="0" wp14:anchorId="32800DCF" wp14:editId="3E52E68B">
            <wp:extent cx="5934710" cy="3541395"/>
            <wp:effectExtent l="0" t="0" r="8890" b="1905"/>
            <wp:docPr id="617366282" name="Picture 1" descr="A graph showing different types of sto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66282" name="Picture 1" descr="A graph showing different types of stock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34710" cy="3541395"/>
                    </a:xfrm>
                    <a:prstGeom prst="rect">
                      <a:avLst/>
                    </a:prstGeom>
                  </pic:spPr>
                </pic:pic>
              </a:graphicData>
            </a:graphic>
          </wp:inline>
        </w:drawing>
      </w:r>
      <w:r w:rsidR="000E35F2">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rPr>
                                  <m:t>-</m:t>
                                </m:r>
                                <m:r>
                                  <w:rPr>
                                    <w:rFonts w:ascii="Cambria Math" w:hAnsi="Cambria Math"/>
                                  </w:rPr>
                                  <m:t>1</m:t>
                                </m:r>
                              </m:sub>
                            </m:sSub>
                          </m:den>
                        </m:f>
                      </m:e>
                    </m:d>
                  </m:e>
                </m:func>
              </m:oMath>
            </m:oMathPara>
          </w:p>
        </w:tc>
        <w:tc>
          <w:tcPr>
            <w:tcW w:w="350" w:type="pct"/>
          </w:tcPr>
          <w:p w14:paraId="5BDDFD9B" w14:textId="586AA7F9" w:rsidR="00916B59" w:rsidRDefault="00916B59">
            <w:pPr>
              <w:pStyle w:val="Caption"/>
              <w:keepNext/>
              <w:jc w:val="right"/>
            </w:pPr>
            <w:r>
              <w:t>(</w:t>
            </w:r>
            <w:fldSimple w:instr=" SEQ Equation \* ARABIC ">
              <w:r w:rsidR="00A2102A">
                <w:rPr>
                  <w:noProof/>
                </w:rPr>
                <w:t>34</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77777777" w:rsidR="00916B59" w:rsidRPr="008652DB" w:rsidRDefault="00916B59">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0F927EDD" w:rsidR="00916B59" w:rsidRDefault="00916B59">
            <w:pPr>
              <w:pStyle w:val="Caption"/>
              <w:keepNext/>
              <w:jc w:val="right"/>
            </w:pPr>
            <w:r>
              <w:t>(</w:t>
            </w:r>
            <w:fldSimple w:instr=" SEQ Equation \* ARABIC ">
              <w:r w:rsidR="00A2102A">
                <w:rPr>
                  <w:noProof/>
                </w:rPr>
                <w:t>35</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04D8D76"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w:t>
      </w:r>
      <w:r w:rsidR="006A136B">
        <w:t>studied in the dissertation</w:t>
      </w:r>
      <w:r>
        <w:t>, and I can calculate volatility of several tenors for each trading day</w:t>
      </w:r>
      <w:r>
        <w:rPr>
          <w:rStyle w:val="FootnoteReference"/>
        </w:rPr>
        <w:footnoteReference w:id="4"/>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77777777"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223B5A1D" w:rsidR="00916B59" w:rsidRDefault="00916B59">
            <w:pPr>
              <w:pStyle w:val="Caption"/>
              <w:keepNext/>
              <w:jc w:val="right"/>
            </w:pPr>
            <w:r>
              <w:t>(</w:t>
            </w:r>
            <w:fldSimple w:instr=" SEQ Equation \* ARABIC ">
              <w:r w:rsidR="00A2102A">
                <w:rPr>
                  <w:noProof/>
                </w:rPr>
                <w:t>36</w:t>
              </w:r>
            </w:fldSimple>
            <w:r>
              <w:t>)</w:t>
            </w:r>
          </w:p>
        </w:tc>
      </w:tr>
    </w:tbl>
    <w:p w14:paraId="299DF1B9" w14:textId="3649ED18"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5CA20DBB"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A2102A">
        <w:t xml:space="preserve">Figure </w:t>
      </w:r>
      <w:r w:rsidR="00A2102A">
        <w:rPr>
          <w:noProof/>
        </w:rPr>
        <w:t>8</w:t>
      </w:r>
      <w:r w:rsidR="003D15B5">
        <w:fldChar w:fldCharType="end"/>
      </w:r>
      <w:r>
        <w:t>)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6D0CC273" w:rsidR="003D15B5" w:rsidRDefault="003D15B5" w:rsidP="003D15B5">
      <w:pPr>
        <w:pStyle w:val="Caption"/>
        <w:keepNext/>
        <w:jc w:val="center"/>
      </w:pPr>
      <w:bookmarkStart w:id="25" w:name="_Ref170051212"/>
      <w:r>
        <w:lastRenderedPageBreak/>
        <w:t xml:space="preserve">Figure </w:t>
      </w:r>
      <w:fldSimple w:instr=" SEQ Figure \* ARABIC ">
        <w:r w:rsidR="00A2102A">
          <w:rPr>
            <w:noProof/>
          </w:rPr>
          <w:t>8</w:t>
        </w:r>
      </w:fldSimple>
      <w:bookmarkEnd w:id="25"/>
      <w:r>
        <w:rPr>
          <w:noProof/>
        </w:rPr>
        <w:t xml:space="preserve"> Realized Volatility Pre-Trend</w:t>
      </w:r>
    </w:p>
    <w:p w14:paraId="4C5CFF85" w14:textId="47C0C8C7" w:rsidR="009A4CC2" w:rsidRDefault="00646DB7" w:rsidP="009A4CC2">
      <w:pPr>
        <w:spacing w:line="240" w:lineRule="auto"/>
        <w:ind w:firstLine="0"/>
        <w:jc w:val="left"/>
      </w:pPr>
      <w:r w:rsidRPr="00646DB7">
        <w:rPr>
          <w:noProof/>
        </w:rPr>
        <w:drawing>
          <wp:inline distT="0" distB="0" distL="0" distR="0" wp14:anchorId="49E34705" wp14:editId="09CE13DC">
            <wp:extent cx="5934710" cy="2947670"/>
            <wp:effectExtent l="0" t="0" r="0" b="0"/>
            <wp:docPr id="9048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8936" name=""/>
                    <pic:cNvPicPr/>
                  </pic:nvPicPr>
                  <pic:blipFill>
                    <a:blip r:embed="rId27"/>
                    <a:stretch>
                      <a:fillRect/>
                    </a:stretch>
                  </pic:blipFill>
                  <pic:spPr>
                    <a:xfrm>
                      <a:off x="0" y="0"/>
                      <a:ext cx="5934710" cy="2947670"/>
                    </a:xfrm>
                    <a:prstGeom prst="rect">
                      <a:avLst/>
                    </a:prstGeom>
                  </pic:spPr>
                </pic:pic>
              </a:graphicData>
            </a:graphic>
          </wp:inline>
        </w:drawing>
      </w:r>
      <w:r w:rsidR="009A4CC2">
        <w:br w:type="page"/>
      </w:r>
    </w:p>
    <w:p w14:paraId="7EF2838E" w14:textId="0C99C40C" w:rsidR="00E162B2" w:rsidRPr="00F05299" w:rsidRDefault="00E162B2" w:rsidP="00076D05">
      <w:pPr>
        <w:pStyle w:val="Heading1"/>
      </w:pPr>
      <w:bookmarkStart w:id="26" w:name="_Ref169916057"/>
      <w:r>
        <w:lastRenderedPageBreak/>
        <w:t>Data</w:t>
      </w:r>
      <w:bookmarkEnd w:id="26"/>
    </w:p>
    <w:p w14:paraId="58CF9B57" w14:textId="6910DF84" w:rsidR="00310460" w:rsidRDefault="00916B59" w:rsidP="00916B59">
      <w:commentRangeStart w:id="27"/>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 xml:space="preserve">unless </w:t>
      </w:r>
      <w:r w:rsidR="00BF00D3">
        <w:t xml:space="preserve">specifically </w:t>
      </w:r>
      <w:r w:rsidRPr="00935E65">
        <w:t>exempted</w:t>
      </w:r>
      <w:r>
        <w:t>, for example if the swap user is a non-financial entity that uses swaps to hedge commercial risk)</w:t>
      </w:r>
      <w:r w:rsidRPr="00935E65">
        <w:t xml:space="preserve">. </w:t>
      </w:r>
      <w:r w:rsidR="00310460">
        <w:t xml:space="preserve">I </w:t>
      </w:r>
      <w:r w:rsidR="00310460" w:rsidRPr="0004387C">
        <w:t xml:space="preserve">compare prices, price volatility, and </w:t>
      </w:r>
      <w:r w:rsidR="00310460">
        <w:t xml:space="preserve">liquidity </w:t>
      </w:r>
      <w:r w:rsidR="00310460" w:rsidRPr="0004387C">
        <w:t xml:space="preserve">before </w:t>
      </w:r>
      <w:r w:rsidR="00310460">
        <w:t xml:space="preserve">and after each of the three phases, comparing </w:t>
      </w:r>
      <w:r w:rsidR="00310460" w:rsidRPr="0004387C">
        <w:t xml:space="preserve">USD and CAD denominated swaps – the largest regulated and unregulated markets, respectively. To minimize the impact of interest rate policy and other macroeconomic variables, I analyze </w:t>
      </w:r>
      <w:r w:rsidR="00310460">
        <w:t xml:space="preserve">a small </w:t>
      </w:r>
      <w:r w:rsidR="003B1D0B">
        <w:t>twenty</w:t>
      </w:r>
      <w:r w:rsidR="00310460" w:rsidRPr="0004387C">
        <w:t>-day</w:t>
      </w:r>
      <w:r w:rsidR="00310460">
        <w:t xml:space="preserve"> </w:t>
      </w:r>
      <w:r w:rsidR="00310460" w:rsidRPr="0004387C">
        <w:t xml:space="preserve">trading </w:t>
      </w:r>
      <w:r w:rsidR="00310460">
        <w:t xml:space="preserve">window </w:t>
      </w:r>
      <w:r w:rsidR="003B1D0B">
        <w:t xml:space="preserve">around </w:t>
      </w:r>
      <w:r w:rsidR="00AB72A0">
        <w:t xml:space="preserve">the implementation of </w:t>
      </w:r>
      <w:r w:rsidR="003B1D0B">
        <w:t>each phase</w:t>
      </w:r>
      <w:r w:rsidR="00310460" w:rsidRPr="0004387C">
        <w:t xml:space="preserve"> (Feb 25 – Mar </w:t>
      </w:r>
      <w:r w:rsidR="003B1D0B">
        <w:t>22</w:t>
      </w:r>
      <w:r w:rsidR="008472C0">
        <w:t xml:space="preserve"> for phase 1</w:t>
      </w:r>
      <w:r w:rsidR="00310460">
        <w:t xml:space="preserve">, May 27 – Jun </w:t>
      </w:r>
      <w:r w:rsidR="00AB72A0">
        <w:t>21</w:t>
      </w:r>
      <w:r w:rsidR="00310460">
        <w:t xml:space="preserve"> </w:t>
      </w:r>
      <w:r w:rsidR="008472C0">
        <w:t xml:space="preserve">for phase 2 </w:t>
      </w:r>
      <w:r w:rsidR="00310460">
        <w:t xml:space="preserve">and Aug 26 – Sep </w:t>
      </w:r>
      <w:r w:rsidR="00AB72A0">
        <w:t>20</w:t>
      </w:r>
      <w:r w:rsidR="008472C0">
        <w:t xml:space="preserve"> for phase 3</w:t>
      </w:r>
      <w:commentRangeEnd w:id="27"/>
      <w:r w:rsidR="007D258F">
        <w:rPr>
          <w:rStyle w:val="CommentReference"/>
        </w:rPr>
        <w:commentReference w:id="27"/>
      </w:r>
      <w:r w:rsidR="00310460" w:rsidRPr="0004387C">
        <w:t>).</w:t>
      </w:r>
    </w:p>
    <w:p w14:paraId="53B82FDF" w14:textId="22FB547D" w:rsidR="00916B59" w:rsidRDefault="00916B59" w:rsidP="00916B59">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w:t>
      </w:r>
      <w:r w:rsidR="00B67E6D">
        <w:t xml:space="preserve">for USD, GBP and JPY denominated contracts, </w:t>
      </w:r>
      <w:r>
        <w:t>or EURIBOR</w:t>
      </w:r>
      <w:r w:rsidR="00B67E6D">
        <w:t xml:space="preserve"> for EUD denominated contracts</w:t>
      </w:r>
      <w:r>
        <w:t xml:space="preserve">). It also specified “negative” characteristics, </w:t>
      </w:r>
      <w:r w:rsidR="00A624FE">
        <w:t xml:space="preserve">where </w:t>
      </w:r>
      <w:r>
        <w:t xml:space="preserve">swaps having the </w:t>
      </w:r>
      <w:r w:rsidR="00DC6458">
        <w:t>specified</w:t>
      </w:r>
      <w:r w:rsidR="00A624FE">
        <w:t xml:space="preserve"> </w:t>
      </w:r>
      <w:r>
        <w:t>characteristics do not need to be cleared</w:t>
      </w:r>
      <w:r w:rsidR="00DC6458">
        <w:t>. These characteristics</w:t>
      </w:r>
      <w:r>
        <w:t xml:space="preserve"> </w:t>
      </w:r>
      <w:r w:rsidR="00DC6458">
        <w:t xml:space="preserve">included </w:t>
      </w:r>
      <w:r>
        <w:t xml:space="preserve">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3D1B61CD" w:rsidR="00916B59" w:rsidRDefault="00916B59" w:rsidP="00916B59">
      <w:pPr>
        <w:rPr>
          <w:color w:val="000000" w:themeColor="text1"/>
        </w:rPr>
      </w:pPr>
      <w:r>
        <w:t xml:space="preserve">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w:t>
      </w:r>
      <w:r w:rsidR="00836A0B">
        <w:t>unobserved</w:t>
      </w:r>
      <w:r>
        <w:t xml:space="preserve"> characteristics</w:t>
      </w:r>
      <w:r w:rsidR="00836A0B">
        <w:t xml:space="preserve">, </w:t>
      </w:r>
      <w:r>
        <w:t>such as early termination clauses, conditional notional amounts, etc. In an appendix, I show that my results are robust to including these outliers.</w:t>
      </w:r>
    </w:p>
    <w:p w14:paraId="1EE5C912" w14:textId="32AE419F" w:rsidR="00916B59" w:rsidRPr="00655B55" w:rsidRDefault="006E55D8" w:rsidP="00916B59">
      <w:commentRangeStart w:id="28"/>
      <w:r>
        <w:t xml:space="preserve">As discussed in the background section, clearinghouses </w:t>
      </w:r>
      <w:r w:rsidR="00914187">
        <w:t xml:space="preserve">originated organically </w:t>
      </w:r>
      <w:r w:rsidR="00B2415B">
        <w:t>in equities trading</w:t>
      </w:r>
      <w:r w:rsidR="00980325">
        <w:t xml:space="preserve">. Several clearinghouses were already </w:t>
      </w:r>
      <w:r w:rsidR="00CC33A1">
        <w:t xml:space="preserve">operating in the </w:t>
      </w:r>
      <w:r w:rsidR="00690FF0">
        <w:t xml:space="preserve">interest rate swaps </w:t>
      </w:r>
      <w:r w:rsidR="00CC33A1">
        <w:t xml:space="preserve">space </w:t>
      </w:r>
      <w:r w:rsidR="00D27F39">
        <w:t xml:space="preserve">prior </w:t>
      </w:r>
      <w:r w:rsidR="004F3245">
        <w:t xml:space="preserve">to the </w:t>
      </w:r>
      <w:r w:rsidR="00EF21F0">
        <w:t>implementation of the CFTC mandate (</w:t>
      </w:r>
      <w:r w:rsidR="00690FF0">
        <w:t>for example,</w:t>
      </w:r>
      <w:r w:rsidR="00EF21F0">
        <w:t xml:space="preserve"> </w:t>
      </w:r>
      <w:proofErr w:type="spellStart"/>
      <w:r w:rsidR="00EF21F0">
        <w:t>LCH.Clearnet</w:t>
      </w:r>
      <w:proofErr w:type="spellEnd"/>
      <w:r w:rsidR="00AA0366">
        <w:t xml:space="preserve"> </w:t>
      </w:r>
      <w:proofErr w:type="spellStart"/>
      <w:r w:rsidR="00EF21F0">
        <w:t>SwapClear</w:t>
      </w:r>
      <w:proofErr w:type="spellEnd"/>
      <w:r w:rsidR="00EF21F0">
        <w:t xml:space="preserve"> </w:t>
      </w:r>
      <w:r w:rsidR="00841F34">
        <w:t xml:space="preserve">launched in 1999, </w:t>
      </w:r>
      <w:r w:rsidR="00EF21F0">
        <w:lastRenderedPageBreak/>
        <w:t xml:space="preserve">and </w:t>
      </w:r>
      <w:r w:rsidR="00690FF0">
        <w:t xml:space="preserve">Japan Securities </w:t>
      </w:r>
      <w:r w:rsidR="00841F34">
        <w:t xml:space="preserve">Clearing Corporation offered </w:t>
      </w:r>
      <w:r w:rsidR="00CC33A1">
        <w:t xml:space="preserve">limited </w:t>
      </w:r>
      <w:r w:rsidR="00841F34">
        <w:t xml:space="preserve">interest rate swaps clearing services as well). </w:t>
      </w:r>
      <w:r w:rsidR="00B66829">
        <w:t xml:space="preserve">Prior to the 2008 financial crisis, there was limited use of </w:t>
      </w:r>
      <w:r w:rsidR="008A6507">
        <w:t xml:space="preserve">these </w:t>
      </w:r>
      <w:r w:rsidR="00B66829">
        <w:t xml:space="preserve">clearinghouses, and risks were </w:t>
      </w:r>
      <w:r w:rsidR="008A6507">
        <w:t xml:space="preserve">usually </w:t>
      </w:r>
      <w:r w:rsidR="0035643A">
        <w:t xml:space="preserve">managed bilaterally. Following the 2008 financial crisis, </w:t>
      </w:r>
      <w:r w:rsidR="004E5D89">
        <w:t>many swaps market participants moved to voluntary central clearing</w:t>
      </w:r>
      <w:r w:rsidR="008A6507">
        <w:t xml:space="preserve"> regime</w:t>
      </w:r>
      <w:r w:rsidR="004E5D89">
        <w:t xml:space="preserve">. </w:t>
      </w:r>
      <w:r w:rsidR="00610F5D">
        <w:t>B</w:t>
      </w:r>
      <w:r w:rsidR="00916B59">
        <w:t xml:space="preserve">efore the regulation is passed, voluntary clearing in USD-denominated swaps is a little less than 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w:t>
      </w:r>
      <w:r w:rsidR="003D15B5">
        <w:t>C</w:t>
      </w:r>
      <w:r w:rsidR="00916B59">
        <w:t xml:space="preserve">learing </w:t>
      </w:r>
      <w:r w:rsidR="003D15B5">
        <w:t xml:space="preserve">for </w:t>
      </w:r>
      <w:r w:rsidR="00916B59">
        <w:t>CAD denominated swaps is voluntary.</w:t>
      </w:r>
      <w:commentRangeEnd w:id="28"/>
      <w:r w:rsidR="0083247D">
        <w:rPr>
          <w:rStyle w:val="CommentReference"/>
        </w:rPr>
        <w:commentReference w:id="28"/>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08C76796" w:rsidR="00916B59" w:rsidRDefault="00667B32" w:rsidP="00916B59">
      <w:r>
        <w:fldChar w:fldCharType="begin"/>
      </w:r>
      <w:r>
        <w:instrText xml:space="preserve"> REF _Ref169917152 \h </w:instrText>
      </w:r>
      <w:r>
        <w:fldChar w:fldCharType="separate"/>
      </w:r>
      <w:r w:rsidR="00A2102A">
        <w:t xml:space="preserve">Table </w:t>
      </w:r>
      <w:r w:rsidR="00A2102A">
        <w:rPr>
          <w:noProof/>
        </w:rPr>
        <w:t>5</w:t>
      </w:r>
      <w:r>
        <w:fldChar w:fldCharType="end"/>
      </w:r>
      <w:r>
        <w:t xml:space="preserve"> </w:t>
      </w:r>
      <w:r w:rsidR="00916B59">
        <w:t>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w:t>
      </w:r>
      <w:r w:rsidR="0063624E">
        <w:t xml:space="preserve">observed </w:t>
      </w:r>
      <w:r w:rsidR="00916B59">
        <w:t>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6149A9CF" w14:textId="77777777" w:rsidR="002126BB" w:rsidRDefault="002126BB" w:rsidP="00916B59"/>
    <w:p w14:paraId="5B53A70B" w14:textId="77777777" w:rsidR="002126BB" w:rsidRDefault="002126BB" w:rsidP="00916B59"/>
    <w:p w14:paraId="6274BD35" w14:textId="651E30E5" w:rsidR="002126BB" w:rsidRDefault="002126BB" w:rsidP="002126BB">
      <w:pPr>
        <w:pStyle w:val="Caption"/>
        <w:keepNext/>
      </w:pPr>
      <w:bookmarkStart w:id="29" w:name="_Ref169917152"/>
      <w:r>
        <w:lastRenderedPageBreak/>
        <w:t xml:space="preserve">Table </w:t>
      </w:r>
      <w:r>
        <w:fldChar w:fldCharType="begin"/>
      </w:r>
      <w:r>
        <w:instrText xml:space="preserve"> SEQ Table \* ARABIC </w:instrText>
      </w:r>
      <w:r>
        <w:fldChar w:fldCharType="separate"/>
      </w:r>
      <w:r w:rsidR="00A2102A">
        <w:rPr>
          <w:noProof/>
        </w:rPr>
        <w:t>5</w:t>
      </w:r>
      <w:r>
        <w:fldChar w:fldCharType="end"/>
      </w:r>
      <w:bookmarkEnd w:id="29"/>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interest rate swaps.</w:t>
      </w:r>
    </w:p>
    <w:tbl>
      <w:tblPr>
        <w:tblStyle w:val="PlainTable2"/>
        <w:tblW w:w="8411" w:type="dxa"/>
        <w:tblLook w:val="06A0" w:firstRow="1" w:lastRow="0" w:firstColumn="1" w:lastColumn="0" w:noHBand="1" w:noVBand="1"/>
      </w:tblPr>
      <w:tblGrid>
        <w:gridCol w:w="1100"/>
        <w:gridCol w:w="2151"/>
        <w:gridCol w:w="1720"/>
        <w:gridCol w:w="1720"/>
        <w:gridCol w:w="1720"/>
      </w:tblGrid>
      <w:tr w:rsidR="002126BB" w:rsidRPr="001D0E7E" w14:paraId="7DDAEC3E" w14:textId="77777777" w:rsidTr="00AD2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38B725F" w14:textId="77777777" w:rsidR="002126BB" w:rsidRPr="001D0E7E" w:rsidRDefault="002126BB" w:rsidP="00AD290E">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07AF715E"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709CE83B" w14:textId="77777777" w:rsidR="002126BB" w:rsidRPr="001D0E7E" w:rsidRDefault="002126BB" w:rsidP="00AD290E">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4E860B68"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077064E2"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2126BB" w:rsidRPr="001D0E7E" w14:paraId="577758D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A604E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4617E26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1D56196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0B19924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F0CC1E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5FC606C"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970FB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76418A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4B6C7B1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1BBA182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D3DC6B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96F0F7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0BED3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A97687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5D8F53C7"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5E8DDC1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42818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2A13AD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B0839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22B566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2433388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C0D55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6973A3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BABF83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AB19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685C520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38C31A9A"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FE053C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BFB886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4C9FA2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F5D021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0E25C5C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5A206D0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29049A2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09AFC3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D4E4A0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38FA5C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08D6BE4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314F33A4"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467CDF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FA0223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AE6038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F7C21B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1826B53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2002ADE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21D5AC1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36D06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DCC36C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21C1B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3B11260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1BECBC4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63FEB7B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DD9F65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CA98D7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5F567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3A845CE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02ED160A"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5C73245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84726D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D7AF431"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FA446F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1C43A25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69B79BF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43E6A9E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10904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5162D01"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0F6C8D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683535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27221BA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628AF1A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764E79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1ED81A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EC9575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0D2814C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55B2A38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4137A46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AB6FD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F00EF68"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F9511D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44D9EA8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77060D55"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3E3A781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41E71C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152AD38B"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ED677C"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6BA7DFE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244A0C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3DD94E5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49FE54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C21F26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0248A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DAACBC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3C5823E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1C65240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F23668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DBE7F1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5E639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29206F5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5C5BB59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4551638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64027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918C8A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01D9D1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1B208D7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DFEFB6"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0BFBFF0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D733D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116CDF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6D5D30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440DAE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5BDDE1C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A2AAB0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1F0772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C1A25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2E806D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7A5B914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25E272AC"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7B55E46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928654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141A14E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87EC09F"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11B070C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38E2393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59B8AC3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CB2D8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47A17EA5" w14:textId="77777777" w:rsidR="002126BB" w:rsidRDefault="002126BB" w:rsidP="002126BB">
      <w:pPr>
        <w:ind w:firstLine="0"/>
      </w:pPr>
    </w:p>
    <w:p w14:paraId="198462C6" w14:textId="77777777" w:rsidR="002126BB" w:rsidRDefault="002126BB" w:rsidP="002126BB">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2126BB" w:rsidRPr="001D0E7E" w14:paraId="69545F4F" w14:textId="77777777" w:rsidTr="00AD2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CE0FD0" w14:textId="77777777" w:rsidR="002126BB" w:rsidRPr="001D0E7E" w:rsidRDefault="002126BB" w:rsidP="00AD290E">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2A4155C9"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2784D4D7" w14:textId="77777777" w:rsidR="002126BB" w:rsidRPr="001D0E7E" w:rsidRDefault="002126BB" w:rsidP="00AD290E">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2DE60743"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6CB14FEE"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2126BB" w:rsidRPr="001D0E7E" w14:paraId="00D2FB5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D951A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001E92D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2FF32E46"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1F42FED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836291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8BC95F9"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0059D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5D82AFB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799D0B4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18C580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BDC97E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3F407B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D21A2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841C91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7ECD6F44"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2A328F1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0A779A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71BA319"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D9BD5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341B11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3A3363D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608A40F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2EC1C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5F8056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A4CCFFE"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1FD4424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2CFF731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EEDFB6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AD2D9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26078B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F3D687"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3799C8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7B77F78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4460179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575C70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1106C5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02AD1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3B6105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5A9D95B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6A84C1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1FD64C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75F98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18AF4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3409229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5D81C97C"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571B7BD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46A4F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BE9513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F20C8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3DD76D2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C82A63F"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0B3070C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C63CE2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458268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0DC8B2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67D36CF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350783F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7C5D69F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6B762D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1704F7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CAE10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1626ED0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6E5F330D"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553664F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2CB6F0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1F3E79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CA47657"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4C5CF52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5356AE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0D53E1D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60AA8A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03F8B4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07F05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C9CB9D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03930ED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3BADAA8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0747F2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95CF68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0D024C1"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4C1EA5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4EBD31F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4B32E79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EA4B7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35E2C9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69A59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4601FC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55323DE7"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037D9E7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33E82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E2BAB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EE1391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15886A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1C32268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4AFC166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F44AB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D0EE02C"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2140A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6CBA993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4D94BC8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5E126AE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9B04A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8D0590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EBADFD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1229E52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6C486C2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316AA28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2E93C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15B92A7"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F52A1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675D143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78DE5E7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5DB1A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1958D5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A18135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115E0E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F625F7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0BF4B4F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45CE462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567619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500A0F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AA7B2C"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F4411E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01700A1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423EC94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BD5F5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BE7F4B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2D164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30BB774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22DAE8EF"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326D70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413852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B7B95F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CA32E1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2B2C625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60C503E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0133E1D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C4AB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F3411B9" w14:textId="77777777" w:rsidR="002126BB" w:rsidRDefault="002126BB" w:rsidP="002126BB">
      <w:pPr>
        <w:spacing w:line="240" w:lineRule="auto"/>
        <w:ind w:firstLine="0"/>
        <w:jc w:val="left"/>
      </w:pPr>
    </w:p>
    <w:p w14:paraId="2569AF3F" w14:textId="77777777" w:rsidR="002126BB" w:rsidRDefault="002126BB" w:rsidP="00916B59"/>
    <w:p w14:paraId="2BDEB71F" w14:textId="77777777" w:rsidR="002126BB" w:rsidRDefault="002126BB" w:rsidP="00916B59"/>
    <w:p w14:paraId="7041947F" w14:textId="77777777" w:rsidR="002126BB" w:rsidRPr="0004387C" w:rsidRDefault="002126BB" w:rsidP="00916B59"/>
    <w:p w14:paraId="09F0B26C" w14:textId="2EA78A5A" w:rsidR="00916B59" w:rsidRDefault="00916B59" w:rsidP="00916B59">
      <w:r w:rsidRPr="0004387C">
        <w:lastRenderedPageBreak/>
        <w:t xml:space="preserve">The </w:t>
      </w:r>
      <w:r>
        <w:t xml:space="preserve">contract characteristics reported in the DTCC SDR </w:t>
      </w:r>
      <w:r w:rsidRPr="0004387C">
        <w:t>include swap currency, trade date and time, effective date, maturity date, fixed rate, payment frequencies, clearing status, notional value, and capped notional indicator. For USD swaps, USD LIBOR is the floating rate index for 98% of swaps</w:t>
      </w:r>
      <w:r w:rsidR="00C13230">
        <w:t xml:space="preserve"> (other reference rate indexes included the Federal Funds Rate </w:t>
      </w:r>
      <w:r w:rsidR="00C219A2">
        <w:t>T-Bill Rate, and FIFMA rate)</w:t>
      </w:r>
      <w:r w:rsidRPr="0004387C">
        <w:t xml:space="preserve">, while for CAD swaps, CDOR is the index for 99% of swaps. I exclude </w:t>
      </w:r>
      <w:r>
        <w:t xml:space="preserve">certain </w:t>
      </w:r>
      <w:r w:rsidRPr="0004387C">
        <w:t>swaps that make a single payment at maturity (i.e., payment frequency is 1T</w:t>
      </w:r>
      <w:r>
        <w:t>), which</w:t>
      </w:r>
      <w:r w:rsidRPr="0004387C">
        <w:t xml:space="preserve">. </w:t>
      </w:r>
      <w:r w:rsidR="00667B32">
        <w:fldChar w:fldCharType="begin"/>
      </w:r>
      <w:r w:rsidR="00667B32">
        <w:instrText xml:space="preserve"> REF _Ref169917203 \h </w:instrText>
      </w:r>
      <w:r w:rsidR="00667B32">
        <w:fldChar w:fldCharType="separate"/>
      </w:r>
      <w:r w:rsidR="00A2102A">
        <w:t xml:space="preserve">Table </w:t>
      </w:r>
      <w:r w:rsidR="00A2102A">
        <w:rPr>
          <w:noProof/>
        </w:rPr>
        <w:t>6</w:t>
      </w:r>
      <w:r w:rsidR="00667B32">
        <w:fldChar w:fldCharType="end"/>
      </w:r>
      <w:r w:rsidR="00472EC4">
        <w:t xml:space="preserve"> </w:t>
      </w:r>
      <w:r w:rsidRPr="0004387C">
        <w:t>shows the notional value and number of trades captured in my data</w:t>
      </w:r>
      <w:r>
        <w:t>, by clearing status and reference floating leg rate</w:t>
      </w:r>
      <w:r w:rsidRPr="0004387C">
        <w:t>.</w:t>
      </w:r>
    </w:p>
    <w:p w14:paraId="71F995EC" w14:textId="408D96CE" w:rsidR="00916B59" w:rsidRDefault="00667B32" w:rsidP="00916B59">
      <w:r>
        <w:fldChar w:fldCharType="begin"/>
      </w:r>
      <w:r>
        <w:instrText xml:space="preserve"> REF _Ref169917219 \h </w:instrText>
      </w:r>
      <w:r>
        <w:fldChar w:fldCharType="separate"/>
      </w:r>
      <w:r w:rsidR="00A2102A">
        <w:t xml:space="preserve">Table </w:t>
      </w:r>
      <w:r w:rsidR="00A2102A">
        <w:rPr>
          <w:noProof/>
        </w:rPr>
        <w:t>7</w:t>
      </w:r>
      <w:r>
        <w:fldChar w:fldCharType="end"/>
      </w:r>
      <w:r>
        <w:t xml:space="preserve"> </w:t>
      </w:r>
      <w:r w:rsidR="00916B59">
        <w:t>shows summary statistics of the control variables used in the regression. Only contracts using LIBOR as the floating reference leg are included. Additionally, contracts that were “voluntarily cleared” prior to the mandate or “exempt from clearing” after the mandate are excluded</w:t>
      </w:r>
      <w:r w:rsidR="008507D9">
        <w:t xml:space="preserve"> (this is ~39% of </w:t>
      </w:r>
      <w:r w:rsidR="00603CC8">
        <w:t xml:space="preserve">USD </w:t>
      </w:r>
      <w:r w:rsidR="008507D9">
        <w:t>contracts in phase 1,</w:t>
      </w:r>
      <w:r w:rsidR="00FA56B7">
        <w:t xml:space="preserve"> 22% of </w:t>
      </w:r>
      <w:r w:rsidR="00603CC8">
        <w:t xml:space="preserve">USD </w:t>
      </w:r>
      <w:r w:rsidR="00FA56B7">
        <w:t xml:space="preserve">contracts in phase 2, and </w:t>
      </w:r>
      <w:r w:rsidR="00603CC8">
        <w:t xml:space="preserve">11% of contracts in phase 3; it is also </w:t>
      </w:r>
      <w:r w:rsidR="00422C48">
        <w:t>52% of CAD contracts in phase 1 and 3 and 44% of CAD contracts in phase 2</w:t>
      </w:r>
      <w:r w:rsidR="00603CC8">
        <w:t>)</w:t>
      </w:r>
      <w:r w:rsidR="00916B59">
        <w:t xml:space="preserve">. The leftmost column shows the statistics </w:t>
      </w:r>
      <w:r w:rsidR="003639B3">
        <w:t>of</w:t>
      </w:r>
      <w:r w:rsidR="00916B59">
        <w:t xml:space="preserve"> this dataset. For the main part of the </w:t>
      </w:r>
      <w:r w:rsidR="00BD0C23">
        <w:t>dissertation</w:t>
      </w:r>
      <w:r w:rsidR="00916B59">
        <w:t>, I further filter this data to swaps whose fixed rate is within 50 bps of the Bloomberg calculated fixed rate</w:t>
      </w:r>
      <w:r w:rsidR="00B74D7D">
        <w:t xml:space="preserve"> (as described earlier)</w:t>
      </w:r>
      <w:r w:rsidR="00916B59">
        <w:t xml:space="preserv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3ADE49A0" w:rsidR="00916B59" w:rsidRDefault="00916B59" w:rsidP="00916B59">
      <w:r>
        <w:t xml:space="preserve">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w:t>
      </w:r>
      <w:r w:rsidR="00971608">
        <w:t>fixed</w:t>
      </w:r>
      <w:r>
        <w:t xml:space="preserve"> rate). When receiving the fixed rate (and paying the floating leg), the dealer is likely to require a premium over the fair price. When paying the fixed rate, the dealer is likely to </w:t>
      </w:r>
      <w:r w:rsidR="004838E9">
        <w:t>require</w:t>
      </w:r>
      <w:r>
        <w:t xml:space="preserve"> a discount </w:t>
      </w:r>
      <w:r>
        <w:lastRenderedPageBreak/>
        <w:t>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17465AE" w14:textId="3063D6A2" w:rsidR="00565535" w:rsidRDefault="00565535">
      <w:pPr>
        <w:spacing w:line="240" w:lineRule="auto"/>
        <w:ind w:firstLine="0"/>
        <w:jc w:val="left"/>
      </w:pPr>
      <w:r>
        <w:br w:type="page"/>
      </w:r>
    </w:p>
    <w:p w14:paraId="67EA1842" w14:textId="0AA65E54" w:rsidR="009F16B5" w:rsidRDefault="009F16B5" w:rsidP="009F16B5">
      <w:pPr>
        <w:pStyle w:val="Caption"/>
        <w:keepNext/>
        <w:rPr>
          <w:noProof/>
        </w:rPr>
      </w:pPr>
      <w:bookmarkStart w:id="30" w:name="_Ref169917203"/>
      <w:r>
        <w:lastRenderedPageBreak/>
        <w:t xml:space="preserve">Table </w:t>
      </w:r>
      <w:fldSimple w:instr=" SEQ Table \* ARABIC ">
        <w:r w:rsidR="00A2102A">
          <w:rPr>
            <w:noProof/>
          </w:rPr>
          <w:t>6</w:t>
        </w:r>
      </w:fldSimple>
      <w:bookmarkEnd w:id="30"/>
      <w:r>
        <w:rPr>
          <w:noProof/>
        </w:rPr>
        <w:t xml:space="preserve"> </w:t>
      </w:r>
      <w:r w:rsidR="00C83A7E">
        <w:rPr>
          <w:noProof/>
        </w:rPr>
        <w:t xml:space="preserve">Number of contracts and notional values by </w:t>
      </w:r>
      <w:r w:rsidR="00E551E0">
        <w:rPr>
          <w:noProof/>
        </w:rPr>
        <w:t>c</w:t>
      </w:r>
      <w:r w:rsidR="00C83A7E">
        <w:rPr>
          <w:noProof/>
        </w:rPr>
        <w:t xml:space="preserve">learing </w:t>
      </w:r>
      <w:r w:rsidR="00E551E0">
        <w:rPr>
          <w:noProof/>
        </w:rPr>
        <w:t>s</w:t>
      </w:r>
      <w:r w:rsidR="00C83A7E">
        <w:rPr>
          <w:noProof/>
        </w:rPr>
        <w:t>tatus and reference rate for USD and CAD IR swaps contracts</w:t>
      </w:r>
      <w:r w:rsidR="00E551E0">
        <w:rPr>
          <w:noProof/>
        </w:rPr>
        <w:t xml:space="preserve"> </w:t>
      </w:r>
      <w:r w:rsidR="0070106C">
        <w:rPr>
          <w:noProof/>
        </w:rPr>
        <w:t>(</w:t>
      </w:r>
      <w:r w:rsidR="00E551E0">
        <w:rPr>
          <w:noProof/>
        </w:rPr>
        <w:t>for entire dataset prior to any filtering</w:t>
      </w:r>
      <w:r w:rsidR="0070106C">
        <w:rPr>
          <w:noProof/>
        </w:rPr>
        <w:t>). Data are presented for each phase and pre- and post- period separately.</w:t>
      </w:r>
      <w:r w:rsidR="002C4EA4">
        <w:rPr>
          <w:noProof/>
        </w:rPr>
        <w:t xml:space="preserve"> Note the increase in </w:t>
      </w:r>
      <w:r w:rsidR="00F22283">
        <w:rPr>
          <w:noProof/>
        </w:rPr>
        <w:t>clearing for USD contracts after the implementation of phase 1 (from 61% to 77%) and phase 2 (from78% to 90%).</w:t>
      </w:r>
    </w:p>
    <w:p w14:paraId="2AC7E2B6" w14:textId="0C017D0A" w:rsidR="00C83A7E" w:rsidRPr="00C83A7E" w:rsidRDefault="00C83A7E" w:rsidP="00C83A7E">
      <w:pPr>
        <w:jc w:val="center"/>
      </w:pPr>
      <w:proofErr w:type="gramStart"/>
      <w:r>
        <w:t>Pre Phase</w:t>
      </w:r>
      <w:proofErr w:type="gramEnd"/>
      <w:r>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trPr>
          <w:trHeight w:val="56"/>
        </w:trPr>
        <w:tc>
          <w:tcPr>
            <w:tcW w:w="0" w:type="auto"/>
            <w:shd w:val="clear" w:color="auto" w:fill="auto"/>
            <w:noWrap/>
            <w:vAlign w:val="bottom"/>
            <w:hideMark/>
          </w:tcPr>
          <w:p w14:paraId="6244BD9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39F3C301" w:rsidR="00565535" w:rsidRDefault="00565535">
      <w:pPr>
        <w:spacing w:line="240" w:lineRule="auto"/>
        <w:ind w:firstLine="0"/>
        <w:jc w:val="left"/>
      </w:pPr>
    </w:p>
    <w:p w14:paraId="6CD70B90" w14:textId="1091EDA9" w:rsidR="00C83A7E" w:rsidRDefault="00C83A7E" w:rsidP="00C83A7E">
      <w:pPr>
        <w:spacing w:line="240" w:lineRule="auto"/>
        <w:ind w:firstLine="0"/>
        <w:jc w:val="center"/>
      </w:pPr>
      <w:proofErr w:type="gramStart"/>
      <w:r>
        <w:t>Pre Phase</w:t>
      </w:r>
      <w:proofErr w:type="gramEnd"/>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3758B5A8" w:rsidR="00C83A7E" w:rsidRDefault="00C83A7E" w:rsidP="00C83A7E">
      <w:pPr>
        <w:spacing w:line="240" w:lineRule="auto"/>
        <w:ind w:firstLine="0"/>
        <w:jc w:val="center"/>
      </w:pPr>
      <w:proofErr w:type="gramStart"/>
      <w:r>
        <w:lastRenderedPageBreak/>
        <w:t>Pre Phase</w:t>
      </w:r>
      <w:proofErr w:type="gramEnd"/>
      <w:r>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1A136572" w:rsidR="009F16B5" w:rsidRDefault="009F16B5" w:rsidP="009F16B5">
      <w:pPr>
        <w:pStyle w:val="Caption"/>
        <w:keepNext/>
      </w:pPr>
      <w:bookmarkStart w:id="31" w:name="_Ref169917219"/>
      <w:r>
        <w:lastRenderedPageBreak/>
        <w:t xml:space="preserve">Table </w:t>
      </w:r>
      <w:fldSimple w:instr=" SEQ Table \* ARABIC ">
        <w:r w:rsidR="00A2102A">
          <w:rPr>
            <w:noProof/>
          </w:rPr>
          <w:t>7</w:t>
        </w:r>
      </w:fldSimple>
      <w:bookmarkEnd w:id="31"/>
      <w:r>
        <w:rPr>
          <w:noProof/>
        </w:rPr>
        <w:t xml:space="preserve"> </w:t>
      </w:r>
      <w:r w:rsidR="00C83A7E">
        <w:rPr>
          <w:noProof/>
        </w:rPr>
        <w:t xml:space="preserve">Selected </w:t>
      </w:r>
      <w:r w:rsidR="00C415A8">
        <w:rPr>
          <w:noProof/>
        </w:rPr>
        <w:t>c</w:t>
      </w:r>
      <w:r w:rsidR="00C83A7E">
        <w:rPr>
          <w:noProof/>
        </w:rPr>
        <w:t xml:space="preserve">haractersitics of </w:t>
      </w:r>
      <w:r w:rsidR="005116D2">
        <w:rPr>
          <w:noProof/>
        </w:rPr>
        <w:t>the c</w:t>
      </w:r>
      <w:r w:rsidR="00C83A7E">
        <w:rPr>
          <w:noProof/>
        </w:rPr>
        <w:t xml:space="preserve">ontrol </w:t>
      </w:r>
      <w:r w:rsidR="005116D2">
        <w:rPr>
          <w:noProof/>
        </w:rPr>
        <w:t>v</w:t>
      </w:r>
      <w:r w:rsidR="00C83A7E">
        <w:rPr>
          <w:noProof/>
        </w:rPr>
        <w:t>ariables</w:t>
      </w:r>
      <w:r w:rsidR="005116D2">
        <w:rPr>
          <w:noProof/>
        </w:rPr>
        <w:t xml:space="preserve">. The “Main Dataset” </w:t>
      </w:r>
      <w:r w:rsidR="00C415A8">
        <w:rPr>
          <w:noProof/>
        </w:rPr>
        <w:t xml:space="preserve">reported in column 1 </w:t>
      </w:r>
      <w:r w:rsidR="00F14EBA">
        <w:rPr>
          <w:noProof/>
        </w:rPr>
        <w:t>is the dataset used in the main body of the dissertation.</w:t>
      </w:r>
      <w:r w:rsidR="0085449D">
        <w:rPr>
          <w:noProof/>
        </w:rPr>
        <w:t xml:space="preserve"> This dataset </w:t>
      </w:r>
      <w:r w:rsidR="00B11F4B">
        <w:rPr>
          <w:noProof/>
        </w:rPr>
        <w:t>is</w:t>
      </w:r>
      <w:r w:rsidR="0085449D">
        <w:rPr>
          <w:noProof/>
        </w:rPr>
        <w:t xml:space="preserve"> filtered to only include observations that use USD LIBOR or </w:t>
      </w:r>
      <w:r w:rsidR="00C415A8">
        <w:rPr>
          <w:noProof/>
        </w:rPr>
        <w:t>CAD CDOR as the reference rate, are not voluntarily cleared</w:t>
      </w:r>
      <w:r w:rsidR="00B11F4B">
        <w:rPr>
          <w:noProof/>
        </w:rPr>
        <w:t xml:space="preserve">, </w:t>
      </w:r>
      <w:r w:rsidR="00B24F57">
        <w:rPr>
          <w:noProof/>
        </w:rPr>
        <w:t>are not</w:t>
      </w:r>
      <w:r w:rsidR="00CE14BA">
        <w:rPr>
          <w:noProof/>
        </w:rPr>
        <w:t xml:space="preserve"> zero-coupon swaps</w:t>
      </w:r>
      <w:r w:rsidR="00B11F4B">
        <w:rPr>
          <w:noProof/>
        </w:rPr>
        <w:t xml:space="preserve"> and are within 50-bps of </w:t>
      </w:r>
      <w:r w:rsidR="0043272A">
        <w:rPr>
          <w:noProof/>
        </w:rPr>
        <w:t>“fair rate” for the swap reported by Bloomberg</w:t>
      </w:r>
      <w:r w:rsidR="00B24F57">
        <w:rPr>
          <w:noProof/>
        </w:rPr>
        <w:t>.</w:t>
      </w:r>
      <w:r w:rsidR="00B11F4B">
        <w:rPr>
          <w:noProof/>
        </w:rPr>
        <w:t xml:space="preserve"> Column 2 shows </w:t>
      </w:r>
      <w:r w:rsidR="0043272A">
        <w:rPr>
          <w:noProof/>
        </w:rPr>
        <w:t xml:space="preserve">the same dataset except the 50-bps </w:t>
      </w:r>
      <w:r w:rsidR="00465CB6">
        <w:rPr>
          <w:noProof/>
        </w:rPr>
        <w:t>within Bloomberg reported fair-value is removed.</w:t>
      </w:r>
    </w:p>
    <w:tbl>
      <w:tblPr>
        <w:tblW w:w="4978" w:type="dxa"/>
        <w:jc w:val="center"/>
        <w:tblLook w:val="04A0" w:firstRow="1" w:lastRow="0" w:firstColumn="1" w:lastColumn="0" w:noHBand="0" w:noVBand="1"/>
      </w:tblPr>
      <w:tblGrid>
        <w:gridCol w:w="1378"/>
        <w:gridCol w:w="1800"/>
        <w:gridCol w:w="1800"/>
      </w:tblGrid>
      <w:tr w:rsidR="005116D2" w:rsidRPr="00C61057" w14:paraId="2EAA49D8" w14:textId="7155CA6C" w:rsidTr="001C6B4F">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4EE7D384" w14:textId="77777777" w:rsidR="005116D2" w:rsidRPr="00780E79" w:rsidRDefault="005116D2" w:rsidP="005116D2">
            <w:pPr>
              <w:spacing w:line="240" w:lineRule="auto"/>
              <w:ind w:firstLine="0"/>
              <w:jc w:val="left"/>
              <w:rPr>
                <w:rFonts w:ascii="Aptos Narrow" w:eastAsia="Times New Roman" w:hAnsi="Aptos Narrow"/>
                <w:b/>
                <w:bCs/>
                <w:color w:val="000000"/>
              </w:rPr>
            </w:pPr>
            <w:r w:rsidRPr="00780E79">
              <w:rPr>
                <w:rFonts w:ascii="Aptos Narrow" w:eastAsia="Times New Roman" w:hAnsi="Aptos Narrow"/>
                <w:b/>
                <w:bCs/>
                <w:color w:val="000000"/>
              </w:rPr>
              <w:t>Main Dataset</w:t>
            </w:r>
          </w:p>
        </w:tc>
        <w:tc>
          <w:tcPr>
            <w:tcW w:w="1800" w:type="dxa"/>
            <w:tcBorders>
              <w:top w:val="nil"/>
              <w:left w:val="nil"/>
              <w:bottom w:val="nil"/>
              <w:right w:val="nil"/>
            </w:tcBorders>
            <w:shd w:val="clear" w:color="000000" w:fill="FFFFFF"/>
            <w:vAlign w:val="bottom"/>
          </w:tcPr>
          <w:p w14:paraId="03437D23" w14:textId="00739A58" w:rsidR="005116D2" w:rsidRPr="00780E79" w:rsidRDefault="005116D2" w:rsidP="005116D2">
            <w:pPr>
              <w:spacing w:line="240" w:lineRule="auto"/>
              <w:ind w:firstLine="0"/>
              <w:jc w:val="left"/>
              <w:rPr>
                <w:rFonts w:ascii="Aptos Narrow" w:eastAsia="Times New Roman" w:hAnsi="Aptos Narrow"/>
                <w:b/>
                <w:bCs/>
                <w:color w:val="000000"/>
              </w:rPr>
            </w:pPr>
            <w:r>
              <w:rPr>
                <w:rFonts w:ascii="Aptos Narrow" w:eastAsia="Times New Roman" w:hAnsi="Aptos Narrow"/>
                <w:b/>
                <w:bCs/>
                <w:color w:val="000000"/>
              </w:rPr>
              <w:t>No 50</w:t>
            </w:r>
            <w:r w:rsidR="00F14EBA">
              <w:rPr>
                <w:rFonts w:ascii="Aptos Narrow" w:eastAsia="Times New Roman" w:hAnsi="Aptos Narrow"/>
                <w:b/>
                <w:bCs/>
                <w:color w:val="000000"/>
              </w:rPr>
              <w:t>-</w:t>
            </w:r>
            <w:r>
              <w:rPr>
                <w:rFonts w:ascii="Aptos Narrow" w:eastAsia="Times New Roman" w:hAnsi="Aptos Narrow"/>
                <w:b/>
                <w:bCs/>
                <w:color w:val="000000"/>
              </w:rPr>
              <w:t>bps filter</w:t>
            </w:r>
          </w:p>
        </w:tc>
      </w:tr>
      <w:tr w:rsidR="005116D2" w:rsidRPr="00C61057" w14:paraId="204F3099" w14:textId="51A5C2D7" w:rsidTr="001C6B4F">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vAlign w:val="bottom"/>
          </w:tcPr>
          <w:p w14:paraId="5F30966F" w14:textId="625289B5"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116D2" w:rsidRPr="00C61057" w14:paraId="3081B577" w14:textId="1DA6E3B7" w:rsidTr="001C6B4F">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800" w:type="dxa"/>
            <w:tcBorders>
              <w:top w:val="nil"/>
              <w:left w:val="nil"/>
              <w:bottom w:val="nil"/>
              <w:right w:val="nil"/>
            </w:tcBorders>
            <w:shd w:val="clear" w:color="000000" w:fill="FFFFFF"/>
            <w:noWrap/>
            <w:vAlign w:val="bottom"/>
            <w:hideMark/>
          </w:tcPr>
          <w:p w14:paraId="2C00A9E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c>
          <w:tcPr>
            <w:tcW w:w="1800" w:type="dxa"/>
            <w:tcBorders>
              <w:top w:val="nil"/>
              <w:left w:val="nil"/>
              <w:bottom w:val="nil"/>
              <w:right w:val="nil"/>
            </w:tcBorders>
            <w:shd w:val="clear" w:color="000000" w:fill="FFFFFF"/>
            <w:vAlign w:val="bottom"/>
          </w:tcPr>
          <w:p w14:paraId="267AB4EE" w14:textId="1379DB5E"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r>
      <w:tr w:rsidR="005116D2" w:rsidRPr="00C61057" w14:paraId="012915DF" w14:textId="6BADE77D" w:rsidTr="001C6B4F">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800" w:type="dxa"/>
            <w:tcBorders>
              <w:top w:val="nil"/>
              <w:left w:val="nil"/>
              <w:bottom w:val="nil"/>
              <w:right w:val="nil"/>
            </w:tcBorders>
            <w:shd w:val="clear" w:color="000000" w:fill="FFFFFF"/>
            <w:noWrap/>
            <w:vAlign w:val="bottom"/>
            <w:hideMark/>
          </w:tcPr>
          <w:p w14:paraId="4B4A6C49"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c>
          <w:tcPr>
            <w:tcW w:w="1800" w:type="dxa"/>
            <w:tcBorders>
              <w:top w:val="nil"/>
              <w:left w:val="nil"/>
              <w:bottom w:val="nil"/>
              <w:right w:val="nil"/>
            </w:tcBorders>
            <w:shd w:val="clear" w:color="000000" w:fill="FFFFFF"/>
            <w:vAlign w:val="bottom"/>
          </w:tcPr>
          <w:p w14:paraId="0996A352" w14:textId="44E16D3B"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r>
      <w:tr w:rsidR="005116D2" w:rsidRPr="00C61057" w14:paraId="0BA8E561" w14:textId="44D8C5A3" w:rsidTr="001C6B4F">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800" w:type="dxa"/>
            <w:tcBorders>
              <w:top w:val="nil"/>
              <w:left w:val="nil"/>
              <w:bottom w:val="nil"/>
              <w:right w:val="nil"/>
            </w:tcBorders>
            <w:shd w:val="clear" w:color="000000" w:fill="FFFFFF"/>
            <w:noWrap/>
            <w:vAlign w:val="bottom"/>
            <w:hideMark/>
          </w:tcPr>
          <w:p w14:paraId="217B20E0" w14:textId="7777777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c>
          <w:tcPr>
            <w:tcW w:w="1800" w:type="dxa"/>
            <w:tcBorders>
              <w:top w:val="nil"/>
              <w:left w:val="nil"/>
              <w:bottom w:val="nil"/>
              <w:right w:val="nil"/>
            </w:tcBorders>
            <w:shd w:val="clear" w:color="000000" w:fill="FFFFFF"/>
            <w:vAlign w:val="bottom"/>
          </w:tcPr>
          <w:p w14:paraId="4B22CBD8" w14:textId="1728403C"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r>
      <w:tr w:rsidR="005116D2" w:rsidRPr="00C61057" w14:paraId="3FF0BE42" w14:textId="670A4F41" w:rsidTr="001C6B4F">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800" w:type="dxa"/>
            <w:tcBorders>
              <w:top w:val="nil"/>
              <w:left w:val="nil"/>
              <w:bottom w:val="nil"/>
              <w:right w:val="nil"/>
            </w:tcBorders>
            <w:shd w:val="clear" w:color="000000" w:fill="FFFFFF"/>
            <w:noWrap/>
            <w:vAlign w:val="bottom"/>
            <w:hideMark/>
          </w:tcPr>
          <w:p w14:paraId="72083546"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c>
          <w:tcPr>
            <w:tcW w:w="1800" w:type="dxa"/>
            <w:tcBorders>
              <w:top w:val="nil"/>
              <w:left w:val="nil"/>
              <w:bottom w:val="nil"/>
              <w:right w:val="nil"/>
            </w:tcBorders>
            <w:shd w:val="clear" w:color="000000" w:fill="FFFFFF"/>
            <w:vAlign w:val="bottom"/>
          </w:tcPr>
          <w:p w14:paraId="118F613C" w14:textId="7E35026D"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r>
      <w:tr w:rsidR="005116D2" w:rsidRPr="00C61057" w14:paraId="64AEEA1C" w14:textId="585F8D81" w:rsidTr="001C6B4F">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800" w:type="dxa"/>
            <w:tcBorders>
              <w:top w:val="nil"/>
              <w:left w:val="nil"/>
              <w:bottom w:val="nil"/>
              <w:right w:val="nil"/>
            </w:tcBorders>
            <w:shd w:val="clear" w:color="000000" w:fill="FFFFFF"/>
            <w:noWrap/>
            <w:vAlign w:val="bottom"/>
            <w:hideMark/>
          </w:tcPr>
          <w:p w14:paraId="51D7F3C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c>
          <w:tcPr>
            <w:tcW w:w="1800" w:type="dxa"/>
            <w:tcBorders>
              <w:top w:val="nil"/>
              <w:left w:val="nil"/>
              <w:bottom w:val="nil"/>
              <w:right w:val="nil"/>
            </w:tcBorders>
            <w:shd w:val="clear" w:color="000000" w:fill="FFFFFF"/>
            <w:vAlign w:val="bottom"/>
          </w:tcPr>
          <w:p w14:paraId="64C48393" w14:textId="52AB1E7C"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r>
      <w:tr w:rsidR="005116D2" w:rsidRPr="00C61057" w14:paraId="2FCCDB52" w14:textId="73486D8B" w:rsidTr="001C6B4F">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3C9F59EB" w14:textId="09BD63E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3F2661E3" w14:textId="691AEC74" w:rsidTr="001C6B4F">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vAlign w:val="bottom"/>
            <w:hideMark/>
          </w:tcPr>
          <w:p w14:paraId="57D2702D"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tcPr>
          <w:p w14:paraId="48EE199F" w14:textId="41AD4046"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116D2" w:rsidRPr="00C61057" w14:paraId="15211D74" w14:textId="1D48D68C" w:rsidTr="001C6B4F">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800" w:type="dxa"/>
            <w:tcBorders>
              <w:top w:val="nil"/>
              <w:left w:val="nil"/>
              <w:bottom w:val="nil"/>
              <w:right w:val="nil"/>
            </w:tcBorders>
            <w:shd w:val="clear" w:color="000000" w:fill="FFFFFF"/>
            <w:noWrap/>
            <w:vAlign w:val="bottom"/>
            <w:hideMark/>
          </w:tcPr>
          <w:p w14:paraId="25219A17"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c>
          <w:tcPr>
            <w:tcW w:w="1800" w:type="dxa"/>
            <w:tcBorders>
              <w:top w:val="nil"/>
              <w:left w:val="nil"/>
              <w:bottom w:val="nil"/>
              <w:right w:val="nil"/>
            </w:tcBorders>
            <w:shd w:val="clear" w:color="000000" w:fill="FFFFFF"/>
            <w:vAlign w:val="bottom"/>
          </w:tcPr>
          <w:p w14:paraId="0E5B7C4C" w14:textId="2E87843D"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r>
      <w:tr w:rsidR="005116D2" w:rsidRPr="00C61057" w14:paraId="7F2E8F43" w14:textId="1BFA4479" w:rsidTr="001C6B4F">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800" w:type="dxa"/>
            <w:tcBorders>
              <w:top w:val="nil"/>
              <w:left w:val="nil"/>
              <w:bottom w:val="nil"/>
              <w:right w:val="nil"/>
            </w:tcBorders>
            <w:shd w:val="clear" w:color="000000" w:fill="FFFFFF"/>
            <w:noWrap/>
            <w:vAlign w:val="bottom"/>
            <w:hideMark/>
          </w:tcPr>
          <w:p w14:paraId="325B99F8" w14:textId="7777777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c>
          <w:tcPr>
            <w:tcW w:w="1800" w:type="dxa"/>
            <w:tcBorders>
              <w:top w:val="nil"/>
              <w:left w:val="nil"/>
              <w:bottom w:val="nil"/>
              <w:right w:val="nil"/>
            </w:tcBorders>
            <w:shd w:val="clear" w:color="000000" w:fill="FFFFFF"/>
            <w:vAlign w:val="bottom"/>
          </w:tcPr>
          <w:p w14:paraId="6B218C81" w14:textId="1FE8E49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r>
      <w:tr w:rsidR="005116D2" w:rsidRPr="00C61057" w14:paraId="4981361C" w14:textId="22EC5AF5" w:rsidTr="001C6B4F">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800" w:type="dxa"/>
            <w:tcBorders>
              <w:top w:val="nil"/>
              <w:left w:val="nil"/>
              <w:bottom w:val="nil"/>
              <w:right w:val="nil"/>
            </w:tcBorders>
            <w:shd w:val="clear" w:color="000000" w:fill="FFFFFF"/>
            <w:noWrap/>
            <w:vAlign w:val="bottom"/>
            <w:hideMark/>
          </w:tcPr>
          <w:p w14:paraId="511C65FB"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c>
          <w:tcPr>
            <w:tcW w:w="1800" w:type="dxa"/>
            <w:tcBorders>
              <w:top w:val="nil"/>
              <w:left w:val="nil"/>
              <w:bottom w:val="nil"/>
              <w:right w:val="nil"/>
            </w:tcBorders>
            <w:shd w:val="clear" w:color="000000" w:fill="FFFFFF"/>
            <w:vAlign w:val="bottom"/>
          </w:tcPr>
          <w:p w14:paraId="606A1ED7" w14:textId="449632D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r>
      <w:tr w:rsidR="005116D2" w:rsidRPr="00C61057" w14:paraId="0BC16ED7" w14:textId="03C63054" w:rsidTr="001C6B4F">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800" w:type="dxa"/>
            <w:tcBorders>
              <w:top w:val="nil"/>
              <w:left w:val="nil"/>
              <w:bottom w:val="nil"/>
              <w:right w:val="nil"/>
            </w:tcBorders>
            <w:shd w:val="clear" w:color="000000" w:fill="FFFFFF"/>
            <w:noWrap/>
            <w:vAlign w:val="bottom"/>
            <w:hideMark/>
          </w:tcPr>
          <w:p w14:paraId="5DF499E9"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c>
          <w:tcPr>
            <w:tcW w:w="1800" w:type="dxa"/>
            <w:tcBorders>
              <w:top w:val="nil"/>
              <w:left w:val="nil"/>
              <w:bottom w:val="nil"/>
              <w:right w:val="nil"/>
            </w:tcBorders>
            <w:shd w:val="clear" w:color="000000" w:fill="FFFFFF"/>
            <w:vAlign w:val="bottom"/>
          </w:tcPr>
          <w:p w14:paraId="6538C12F" w14:textId="5128847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r>
      <w:tr w:rsidR="005116D2" w:rsidRPr="00C61057" w14:paraId="72BF0518" w14:textId="128F6108" w:rsidTr="001C6B4F">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218A1C7E" w14:textId="1A6DE14F"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23F2E9AF" w14:textId="7BDDA9DB" w:rsidTr="001C6B4F">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vAlign w:val="bottom"/>
          </w:tcPr>
          <w:p w14:paraId="01CA39C3" w14:textId="046949A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116D2" w:rsidRPr="00C61057" w14:paraId="54352325" w14:textId="12D4AE6B" w:rsidTr="001C6B4F">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800" w:type="dxa"/>
            <w:tcBorders>
              <w:top w:val="nil"/>
              <w:left w:val="nil"/>
              <w:bottom w:val="nil"/>
              <w:right w:val="nil"/>
            </w:tcBorders>
            <w:shd w:val="clear" w:color="000000" w:fill="FFFFFF"/>
            <w:noWrap/>
            <w:vAlign w:val="bottom"/>
            <w:hideMark/>
          </w:tcPr>
          <w:p w14:paraId="41C2409A"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c>
          <w:tcPr>
            <w:tcW w:w="1800" w:type="dxa"/>
            <w:tcBorders>
              <w:top w:val="nil"/>
              <w:left w:val="nil"/>
              <w:bottom w:val="nil"/>
              <w:right w:val="nil"/>
            </w:tcBorders>
            <w:shd w:val="clear" w:color="000000" w:fill="FFFFFF"/>
            <w:vAlign w:val="bottom"/>
          </w:tcPr>
          <w:p w14:paraId="0433E829" w14:textId="563B36C0"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r>
      <w:tr w:rsidR="005116D2" w:rsidRPr="00C61057" w14:paraId="0D931867" w14:textId="2B56E3C4" w:rsidTr="001C6B4F">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800" w:type="dxa"/>
            <w:tcBorders>
              <w:top w:val="nil"/>
              <w:left w:val="nil"/>
              <w:bottom w:val="nil"/>
              <w:right w:val="nil"/>
            </w:tcBorders>
            <w:shd w:val="clear" w:color="000000" w:fill="FFFFFF"/>
            <w:noWrap/>
            <w:vAlign w:val="bottom"/>
            <w:hideMark/>
          </w:tcPr>
          <w:p w14:paraId="5B52ABBB"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c>
          <w:tcPr>
            <w:tcW w:w="1800" w:type="dxa"/>
            <w:tcBorders>
              <w:top w:val="nil"/>
              <w:left w:val="nil"/>
              <w:bottom w:val="nil"/>
              <w:right w:val="nil"/>
            </w:tcBorders>
            <w:shd w:val="clear" w:color="000000" w:fill="FFFFFF"/>
            <w:vAlign w:val="bottom"/>
          </w:tcPr>
          <w:p w14:paraId="3F6C8E2D" w14:textId="38B04E99"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r>
      <w:tr w:rsidR="005116D2" w:rsidRPr="00C61057" w14:paraId="0077B08C" w14:textId="4728A82A" w:rsidTr="001C6B4F">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7DC831E4" w14:textId="5EC41E2B"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191E49F5" w14:textId="5900B210" w:rsidTr="001C6B4F">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vAlign w:val="bottom"/>
          </w:tcPr>
          <w:p w14:paraId="0ABC06BA" w14:textId="24C6489D"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116D2" w:rsidRPr="00C61057" w14:paraId="1A31ACCD" w14:textId="42B1D289" w:rsidTr="001C6B4F">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800" w:type="dxa"/>
            <w:tcBorders>
              <w:top w:val="nil"/>
              <w:left w:val="nil"/>
              <w:bottom w:val="nil"/>
              <w:right w:val="nil"/>
            </w:tcBorders>
            <w:shd w:val="clear" w:color="000000" w:fill="FFFFFF"/>
            <w:noWrap/>
            <w:vAlign w:val="bottom"/>
            <w:hideMark/>
          </w:tcPr>
          <w:p w14:paraId="610BBBD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vAlign w:val="bottom"/>
          </w:tcPr>
          <w:p w14:paraId="3AE6AC35" w14:textId="65DC8593"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116D2" w:rsidRPr="00C61057" w14:paraId="5537AEE3" w14:textId="0EB6F746" w:rsidTr="001C6B4F">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800" w:type="dxa"/>
            <w:tcBorders>
              <w:top w:val="nil"/>
              <w:left w:val="nil"/>
              <w:bottom w:val="nil"/>
              <w:right w:val="nil"/>
            </w:tcBorders>
            <w:shd w:val="clear" w:color="000000" w:fill="FFFFFF"/>
            <w:noWrap/>
            <w:vAlign w:val="bottom"/>
            <w:hideMark/>
          </w:tcPr>
          <w:p w14:paraId="11967CA0"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vAlign w:val="bottom"/>
          </w:tcPr>
          <w:p w14:paraId="1C38E803" w14:textId="57FD50BC"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116D2" w:rsidRPr="00C61057" w14:paraId="4C4CC9BA" w14:textId="004ECC97" w:rsidTr="001C6B4F">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800" w:type="dxa"/>
            <w:tcBorders>
              <w:top w:val="nil"/>
              <w:left w:val="nil"/>
              <w:bottom w:val="nil"/>
              <w:right w:val="nil"/>
            </w:tcBorders>
            <w:shd w:val="clear" w:color="000000" w:fill="FFFFFF"/>
            <w:noWrap/>
            <w:vAlign w:val="bottom"/>
            <w:hideMark/>
          </w:tcPr>
          <w:p w14:paraId="02CB4CC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vAlign w:val="bottom"/>
          </w:tcPr>
          <w:p w14:paraId="6A0B7FEA" w14:textId="2C0F319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116D2" w:rsidRPr="00C61057" w14:paraId="59379D64" w14:textId="1A60E69C" w:rsidTr="001C6B4F">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800" w:type="dxa"/>
            <w:tcBorders>
              <w:top w:val="nil"/>
              <w:left w:val="nil"/>
              <w:bottom w:val="nil"/>
              <w:right w:val="nil"/>
            </w:tcBorders>
            <w:shd w:val="clear" w:color="000000" w:fill="FFFFFF"/>
            <w:noWrap/>
            <w:vAlign w:val="bottom"/>
            <w:hideMark/>
          </w:tcPr>
          <w:p w14:paraId="079E267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vAlign w:val="bottom"/>
          </w:tcPr>
          <w:p w14:paraId="127B9EDB" w14:textId="5DED1F0D"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116D2" w:rsidRPr="00C61057" w14:paraId="5F07EC49" w14:textId="25794D6C" w:rsidTr="001C6B4F">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800" w:type="dxa"/>
            <w:tcBorders>
              <w:top w:val="nil"/>
              <w:left w:val="nil"/>
              <w:bottom w:val="nil"/>
              <w:right w:val="nil"/>
            </w:tcBorders>
            <w:shd w:val="clear" w:color="000000" w:fill="FFFFFF"/>
            <w:noWrap/>
            <w:vAlign w:val="bottom"/>
            <w:hideMark/>
          </w:tcPr>
          <w:p w14:paraId="26DF493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vAlign w:val="bottom"/>
          </w:tcPr>
          <w:p w14:paraId="399BF57C" w14:textId="6CCD2956"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116D2" w:rsidRPr="00C61057" w14:paraId="6076C2CA" w14:textId="476C7BE8" w:rsidTr="001C6B4F">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800" w:type="dxa"/>
            <w:tcBorders>
              <w:top w:val="nil"/>
              <w:left w:val="nil"/>
              <w:bottom w:val="nil"/>
              <w:right w:val="nil"/>
            </w:tcBorders>
            <w:shd w:val="clear" w:color="000000" w:fill="FFFFFF"/>
            <w:noWrap/>
            <w:vAlign w:val="bottom"/>
            <w:hideMark/>
          </w:tcPr>
          <w:p w14:paraId="2AA03DF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vAlign w:val="bottom"/>
          </w:tcPr>
          <w:p w14:paraId="27DA4F38" w14:textId="15B7AC8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116D2" w:rsidRPr="00C61057" w14:paraId="32D5B8D0" w14:textId="0A96BAF6" w:rsidTr="001C6B4F">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538F2C48" w14:textId="42615F53"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3420FA64" w14:textId="42C9235E" w:rsidTr="001C6B4F">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vAlign w:val="bottom"/>
          </w:tcPr>
          <w:p w14:paraId="395EA989" w14:textId="2C92CF2A"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116D2" w:rsidRPr="00C61057" w14:paraId="0B336191" w14:textId="5625CD82" w:rsidTr="001C6B4F">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800" w:type="dxa"/>
            <w:tcBorders>
              <w:top w:val="nil"/>
              <w:left w:val="nil"/>
              <w:bottom w:val="nil"/>
              <w:right w:val="nil"/>
            </w:tcBorders>
            <w:shd w:val="clear" w:color="000000" w:fill="FFFFFF"/>
            <w:noWrap/>
            <w:vAlign w:val="bottom"/>
            <w:hideMark/>
          </w:tcPr>
          <w:p w14:paraId="4E436981"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vAlign w:val="bottom"/>
          </w:tcPr>
          <w:p w14:paraId="0349E8BE" w14:textId="17225A33"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116D2" w:rsidRPr="00C61057" w14:paraId="66A4B3EA" w14:textId="49BE291F" w:rsidTr="001C6B4F">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800" w:type="dxa"/>
            <w:tcBorders>
              <w:top w:val="nil"/>
              <w:left w:val="nil"/>
              <w:bottom w:val="nil"/>
              <w:right w:val="nil"/>
            </w:tcBorders>
            <w:shd w:val="clear" w:color="000000" w:fill="FFFFFF"/>
            <w:noWrap/>
            <w:vAlign w:val="bottom"/>
            <w:hideMark/>
          </w:tcPr>
          <w:p w14:paraId="771473A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c>
          <w:tcPr>
            <w:tcW w:w="1800" w:type="dxa"/>
            <w:tcBorders>
              <w:top w:val="nil"/>
              <w:left w:val="nil"/>
              <w:bottom w:val="nil"/>
              <w:right w:val="nil"/>
            </w:tcBorders>
            <w:shd w:val="clear" w:color="000000" w:fill="FFFFFF"/>
            <w:vAlign w:val="bottom"/>
          </w:tcPr>
          <w:p w14:paraId="1F3C593D" w14:textId="1BEB0523"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r>
      <w:tr w:rsidR="005116D2" w:rsidRPr="00C61057" w14:paraId="48A8593A" w14:textId="7BC412B4" w:rsidTr="001C6B4F">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800" w:type="dxa"/>
            <w:tcBorders>
              <w:top w:val="nil"/>
              <w:left w:val="nil"/>
              <w:bottom w:val="nil"/>
              <w:right w:val="nil"/>
            </w:tcBorders>
            <w:shd w:val="clear" w:color="000000" w:fill="FFFFFF"/>
            <w:noWrap/>
            <w:vAlign w:val="bottom"/>
            <w:hideMark/>
          </w:tcPr>
          <w:p w14:paraId="084E8DF3"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vAlign w:val="bottom"/>
          </w:tcPr>
          <w:p w14:paraId="2C0E816C" w14:textId="2230C27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116D2" w:rsidRPr="00C61057" w14:paraId="58068C71" w14:textId="3FE777B0" w:rsidTr="001C6B4F">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800" w:type="dxa"/>
            <w:tcBorders>
              <w:top w:val="nil"/>
              <w:left w:val="nil"/>
              <w:bottom w:val="nil"/>
              <w:right w:val="nil"/>
            </w:tcBorders>
            <w:shd w:val="clear" w:color="000000" w:fill="FFFFFF"/>
            <w:noWrap/>
            <w:vAlign w:val="bottom"/>
            <w:hideMark/>
          </w:tcPr>
          <w:p w14:paraId="3F270C1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vAlign w:val="bottom"/>
          </w:tcPr>
          <w:p w14:paraId="2DE78018" w14:textId="43A041C4"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116D2" w:rsidRPr="00C61057" w14:paraId="552ECB21" w14:textId="14F64A1C" w:rsidTr="001C6B4F">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800" w:type="dxa"/>
            <w:tcBorders>
              <w:top w:val="nil"/>
              <w:left w:val="nil"/>
              <w:bottom w:val="nil"/>
              <w:right w:val="nil"/>
            </w:tcBorders>
            <w:shd w:val="clear" w:color="000000" w:fill="FFFFFF"/>
            <w:noWrap/>
            <w:vAlign w:val="bottom"/>
            <w:hideMark/>
          </w:tcPr>
          <w:p w14:paraId="390A24B3"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vAlign w:val="bottom"/>
          </w:tcPr>
          <w:p w14:paraId="4785BEE2" w14:textId="7607D870"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116D2" w:rsidRPr="00C61057" w14:paraId="61EC5791" w14:textId="13B52A1F" w:rsidTr="001C6B4F">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800" w:type="dxa"/>
            <w:tcBorders>
              <w:top w:val="nil"/>
              <w:left w:val="nil"/>
              <w:bottom w:val="nil"/>
              <w:right w:val="nil"/>
            </w:tcBorders>
            <w:shd w:val="clear" w:color="000000" w:fill="FFFFFF"/>
            <w:noWrap/>
            <w:vAlign w:val="bottom"/>
            <w:hideMark/>
          </w:tcPr>
          <w:p w14:paraId="29955BB7"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c>
          <w:tcPr>
            <w:tcW w:w="1800" w:type="dxa"/>
            <w:tcBorders>
              <w:top w:val="nil"/>
              <w:left w:val="nil"/>
              <w:bottom w:val="nil"/>
              <w:right w:val="nil"/>
            </w:tcBorders>
            <w:shd w:val="clear" w:color="000000" w:fill="FFFFFF"/>
            <w:vAlign w:val="bottom"/>
          </w:tcPr>
          <w:p w14:paraId="281DA90D" w14:textId="26073188"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r>
    </w:tbl>
    <w:p w14:paraId="16E08273" w14:textId="2557605D" w:rsidR="00565535" w:rsidRDefault="00565535">
      <w:pPr>
        <w:spacing w:line="240" w:lineRule="auto"/>
        <w:ind w:firstLine="0"/>
        <w:jc w:val="left"/>
        <w:rPr>
          <w:rFonts w:asciiTheme="majorHAnsi" w:eastAsiaTheme="majorEastAsia" w:hAnsiTheme="majorHAnsi" w:cstheme="majorBidi"/>
          <w:color w:val="0F4761" w:themeColor="accent1" w:themeShade="BF"/>
          <w:sz w:val="40"/>
          <w:szCs w:val="40"/>
        </w:rPr>
      </w:pPr>
    </w:p>
    <w:p w14:paraId="3E607767" w14:textId="07E92942" w:rsidR="00E162B2" w:rsidRDefault="00E162B2" w:rsidP="00076D05">
      <w:pPr>
        <w:pStyle w:val="Heading1"/>
      </w:pPr>
      <w:bookmarkStart w:id="32" w:name="_Ref169916076"/>
      <w:r>
        <w:t>Results</w:t>
      </w:r>
      <w:bookmarkEnd w:id="32"/>
    </w:p>
    <w:p w14:paraId="4624B044" w14:textId="385C6449" w:rsidR="00565535" w:rsidRPr="00565535" w:rsidRDefault="00565535" w:rsidP="00076D05">
      <w:pPr>
        <w:pStyle w:val="Heading2"/>
      </w:pPr>
      <w:r>
        <w:t>Prices</w:t>
      </w:r>
    </w:p>
    <w:p w14:paraId="7CE97D71" w14:textId="6A53D514" w:rsidR="00916B59" w:rsidRDefault="00916B59" w:rsidP="00916B59">
      <w:r>
        <w:t xml:space="preserve">For analyzing the impact of the clearing mandate on prices, I compare USD LIBOR denominated contracts against </w:t>
      </w:r>
      <w:r w:rsidR="00036F9C">
        <w:t>CAD</w:t>
      </w:r>
      <w:r>
        <w:t xml:space="preserve"> CDOR contracts. USD LIBOR contracts are subject to the CFTC clearing mandate (note that USD denominated contracts using another floating rate index such as the Federal Funds Rate </w:t>
      </w:r>
      <w:r w:rsidR="00036F9C">
        <w:t>are</w:t>
      </w:r>
      <w:r>
        <w:t xml:space="preserve"> not subject to the clearing mandate, but these contracts can be voluntarily cleared.</w:t>
      </w:r>
      <w:r w:rsidR="00163864">
        <w:t xml:space="preserve"> Contracts using reference rates other than CDOR or USD LIBOR are excluded in this analysis).</w:t>
      </w:r>
    </w:p>
    <w:p w14:paraId="7EE9C1FE" w14:textId="09CF88CB" w:rsidR="00916B59" w:rsidRDefault="00667B32" w:rsidP="00916B59">
      <w:r>
        <w:fldChar w:fldCharType="begin"/>
      </w:r>
      <w:r>
        <w:instrText xml:space="preserve"> REF _Ref169917265 \h </w:instrText>
      </w:r>
      <w:r>
        <w:fldChar w:fldCharType="separate"/>
      </w:r>
      <w:r w:rsidR="00A2102A">
        <w:t xml:space="preserve">Table </w:t>
      </w:r>
      <w:r w:rsidR="00A2102A">
        <w:rPr>
          <w:noProof/>
        </w:rPr>
        <w:t>8</w:t>
      </w:r>
      <w:r>
        <w:fldChar w:fldCharType="end"/>
      </w:r>
      <w:r>
        <w:t xml:space="preserve"> </w:t>
      </w:r>
      <w:r w:rsidR="00916B59">
        <w:t>lists the DiD results for the swap premium</w:t>
      </w:r>
      <w:r w:rsidR="009358B9">
        <w:t xml:space="preserve"> pooling data from all phases</w:t>
      </w:r>
      <w:r w:rsidR="00916B59">
        <w:t>. Column 1 shows a basic model without any controls for contract characteristics. The clearing mandate causes a ~14 bps rise in premia</w:t>
      </w:r>
      <w:r w:rsidR="00DE0A4C">
        <w:t xml:space="preserve"> across the three phases</w:t>
      </w:r>
      <w:r w:rsidR="00916B59">
        <w:t>. As expected, reducing the riskiness of the contract increases its price. Column 2 shows the effects additional controls, such as the (log) notional value of the contract, day and period of trading and whether the notional value was “capped” (i.e. the exact value was not reported to the trade repo). In this model, premia rise by ~ 13 bps. Thus, the results are robust to such controls.</w:t>
      </w:r>
    </w:p>
    <w:p w14:paraId="4663F5CF" w14:textId="61EAD79D" w:rsidR="00916B59" w:rsidRDefault="00916B59" w:rsidP="00916B59">
      <w:r>
        <w:t>Using Wednesday as the reference level, I note that there is a 1</w:t>
      </w:r>
      <w:r w:rsidR="00167482">
        <w:t>.0</w:t>
      </w:r>
      <w:r>
        <w:t>-3</w:t>
      </w:r>
      <w:r w:rsidR="00167482">
        <w:t>.0</w:t>
      </w:r>
      <w:r>
        <w:t xml:space="preserve"> bps increase in the premium depending on the trading day. There is also a 1.0-1.3 bps decrease in the premium for trading in morning, afternoon or off hours trading sessions (as compared to mid-day). Note that both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Although statistically significant, the magnitude</w:t>
      </w:r>
      <w:r w:rsidR="00273AE0">
        <w:t>s</w:t>
      </w:r>
      <w:r>
        <w:t xml:space="preserve"> of the effects are small, ranging from 0.03 to 3 bps.</w:t>
      </w:r>
    </w:p>
    <w:commentRangeStart w:id="33"/>
    <w:p w14:paraId="0C30AB93" w14:textId="4803F38C" w:rsidR="00565535" w:rsidRDefault="00337EDA" w:rsidP="00A712D2">
      <w:r>
        <w:fldChar w:fldCharType="begin"/>
      </w:r>
      <w:r>
        <w:instrText xml:space="preserve"> REF _Ref169917329 \h </w:instrText>
      </w:r>
      <w:r>
        <w:fldChar w:fldCharType="separate"/>
      </w:r>
      <w:r w:rsidR="00A2102A">
        <w:t xml:space="preserve">Table </w:t>
      </w:r>
      <w:r w:rsidR="00A2102A">
        <w:rPr>
          <w:noProof/>
        </w:rPr>
        <w:t>9</w:t>
      </w:r>
      <w:r>
        <w:fldChar w:fldCharType="end"/>
      </w:r>
      <w:r>
        <w:t xml:space="preserve"> </w:t>
      </w:r>
      <w:r w:rsidR="00916B59">
        <w:t xml:space="preserve">shows the result of </w:t>
      </w:r>
      <w:r w:rsidR="00075277">
        <w:t xml:space="preserve">a DiD </w:t>
      </w:r>
      <w:r w:rsidR="00BB2726">
        <w:t xml:space="preserve">analysis </w:t>
      </w:r>
      <w:r w:rsidR="00916B59">
        <w:t xml:space="preserve">on each phase separately. In phase 1, there is </w:t>
      </w:r>
      <w:r w:rsidR="00E203C9">
        <w:t>a ~5</w:t>
      </w:r>
      <w:r w:rsidR="007D76ED">
        <w:t>.3</w:t>
      </w:r>
      <w:r w:rsidR="00E203C9">
        <w:t xml:space="preserve"> bps </w:t>
      </w:r>
      <w:proofErr w:type="gramStart"/>
      <w:r w:rsidR="00E203C9">
        <w:t>increase</w:t>
      </w:r>
      <w:proofErr w:type="gramEnd"/>
      <w:r w:rsidR="00E203C9">
        <w:t xml:space="preserv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previously, </w:t>
      </w:r>
      <w:r w:rsidR="00E203C9">
        <w:t xml:space="preserve">there was a </w:t>
      </w:r>
      <w:r w:rsidR="00E203C9">
        <w:lastRenderedPageBreak/>
        <w:t>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w:t>
      </w:r>
      <w:proofErr w:type="gramStart"/>
      <w:r w:rsidR="00870477">
        <w:t>increase</w:t>
      </w:r>
      <w:proofErr w:type="gramEnd"/>
      <w:r w:rsidR="00870477">
        <w:t xml:space="preserve"> in premia associated with an additional </w:t>
      </w:r>
      <w:r w:rsidR="00590C7A">
        <w:t>12% increase in the cleared volume</w:t>
      </w:r>
      <w:r w:rsidR="00916B59">
        <w:t>. In phase 3, a larger set of market participants fell under the mandate</w:t>
      </w:r>
      <w:r w:rsidR="00590C7A">
        <w:t xml:space="preserve"> (although the cleared volume did not change)</w:t>
      </w:r>
      <w:r w:rsidR="00916B59">
        <w:t>, and 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commentRangeEnd w:id="33"/>
      <w:r w:rsidR="00A047F1">
        <w:rPr>
          <w:rStyle w:val="CommentReference"/>
        </w:rPr>
        <w:commentReference w:id="33"/>
      </w:r>
    </w:p>
    <w:p w14:paraId="5BEFE85B" w14:textId="2E93B388" w:rsidR="000A0237" w:rsidRDefault="000A0237" w:rsidP="000A0237">
      <w:r>
        <w:fldChar w:fldCharType="begin"/>
      </w:r>
      <w:r>
        <w:instrText xml:space="preserve"> REF _Ref170030812 \h </w:instrText>
      </w:r>
      <w:r>
        <w:fldChar w:fldCharType="separate"/>
      </w:r>
      <w:r w:rsidR="00A2102A">
        <w:t xml:space="preserve">Table </w:t>
      </w:r>
      <w:r w:rsidR="00A2102A">
        <w:rPr>
          <w:noProof/>
        </w:rPr>
        <w:t>10</w:t>
      </w:r>
      <w:r>
        <w:fldChar w:fldCharType="end"/>
      </w:r>
      <w:r>
        <w:t xml:space="preserve"> shows the results of a similar regression using an alternative currency pair. The CFTC clearing mandate also affected contracts denominated in GBP using the LIBOR as the reference rate (with implementation dates the same as the USD LIBOR clearing mandate). These contracts serve as the treatment group. The clearing mandate did not apply to </w:t>
      </w:r>
      <w:r w:rsidR="00F211BF">
        <w:t>Swiss Franc (</w:t>
      </w:r>
      <w:r>
        <w:t>CHF</w:t>
      </w:r>
      <w:r w:rsidR="00F211BF">
        <w:t>)</w:t>
      </w:r>
      <w:r>
        <w:t xml:space="preserve"> denominated contracts, and this serves as the control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3B9FA413" w:rsidR="009F16B5" w:rsidRDefault="009F16B5" w:rsidP="009F16B5">
      <w:pPr>
        <w:pStyle w:val="Caption"/>
        <w:keepNext/>
        <w:jc w:val="left"/>
      </w:pPr>
      <w:bookmarkStart w:id="34" w:name="_Ref169917265"/>
      <w:r>
        <w:lastRenderedPageBreak/>
        <w:t xml:space="preserve">Table </w:t>
      </w:r>
      <w:fldSimple w:instr=" SEQ Table \* ARABIC ">
        <w:r w:rsidR="00A2102A">
          <w:rPr>
            <w:noProof/>
          </w:rPr>
          <w:t>8</w:t>
        </w:r>
      </w:fldSimple>
      <w:bookmarkEnd w:id="34"/>
      <w:r>
        <w:rPr>
          <w:noProof/>
        </w:rPr>
        <w:t xml:space="preserve"> </w:t>
      </w:r>
      <w:r w:rsidR="005C7134">
        <w:rPr>
          <w:noProof/>
        </w:rPr>
        <w:t>DiD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DiD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77777777" w:rsidR="00E203C9" w:rsidRDefault="00E203C9">
            <w:pPr>
              <w:jc w:val="center"/>
              <w:rPr>
                <w:rFonts w:eastAsia="Times New Roman"/>
              </w:rPr>
            </w:pPr>
            <w:r>
              <w:rPr>
                <w:rStyle w:val="Strong"/>
              </w:rPr>
              <w:t>Difference-in-Differences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32EAB5DA" w:rsidR="009F16B5" w:rsidRDefault="009F16B5" w:rsidP="00337EDA">
      <w:pPr>
        <w:pStyle w:val="Caption"/>
        <w:rPr>
          <w:noProof/>
        </w:rPr>
      </w:pPr>
      <w:r>
        <w:br w:type="page"/>
      </w:r>
      <w:bookmarkStart w:id="35" w:name="_Ref169917329"/>
      <w:r>
        <w:lastRenderedPageBreak/>
        <w:t xml:space="preserve">Table </w:t>
      </w:r>
      <w:fldSimple w:instr=" SEQ Table \* ARABIC ">
        <w:r w:rsidR="00A2102A">
          <w:rPr>
            <w:noProof/>
          </w:rPr>
          <w:t>9</w:t>
        </w:r>
      </w:fldSimple>
      <w:bookmarkEnd w:id="35"/>
      <w:r>
        <w:rPr>
          <w:noProof/>
        </w:rPr>
        <w:t xml:space="preserve"> </w:t>
      </w:r>
      <w:r w:rsidR="00C7357E">
        <w:rPr>
          <w:noProof/>
        </w:rPr>
        <w:t xml:space="preserve">Difference-in-Dfferences results for prices by </w:t>
      </w:r>
      <w:r w:rsidR="00CF46DD">
        <w:rPr>
          <w:noProof/>
        </w:rPr>
        <w:t xml:space="preserve">each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lastRenderedPageBreak/>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17AE3A3A" w:rsidR="008F3A03" w:rsidRDefault="008F3A03" w:rsidP="008F3A03">
      <w:pPr>
        <w:pStyle w:val="Caption"/>
        <w:keepNext/>
        <w:jc w:val="left"/>
      </w:pPr>
      <w:bookmarkStart w:id="36" w:name="_Ref170030812"/>
      <w:r>
        <w:t xml:space="preserve">Table </w:t>
      </w:r>
      <w:fldSimple w:instr=" SEQ Table \* ARABIC ">
        <w:r w:rsidR="00A2102A">
          <w:rPr>
            <w:noProof/>
          </w:rPr>
          <w:t>10</w:t>
        </w:r>
      </w:fldSimple>
      <w:bookmarkEnd w:id="36"/>
      <w:r>
        <w:rPr>
          <w:noProof/>
        </w:rPr>
        <w:t xml:space="preserve"> Alternative Currency Pair</w:t>
      </w:r>
      <w:r w:rsidR="00EE0253">
        <w:rPr>
          <w:noProof/>
        </w:rPr>
        <w:t xml:space="preserve"> (GBP denominated contracts serve as the treatment group and CHF denominated contracts serve as the control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54"/>
        <w:gridCol w:w="2655"/>
        <w:gridCol w:w="2799"/>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6300D57B"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AD6A41" w:rsidRPr="00AD6A41">
              <w:rPr>
                <w:rFonts w:eastAsia="Times New Roman"/>
                <w:b/>
                <w:bCs/>
              </w:rPr>
              <w:t>Difference-in-Differences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5938652C" w:rsidR="00AF5C18" w:rsidRDefault="00765A98" w:rsidP="00AF5C18">
      <w:r>
        <w:t xml:space="preserve">As noted previously, </w:t>
      </w:r>
      <w:r w:rsidR="00D1247B">
        <w:t xml:space="preserve">liquidity is a broad concept with several measures. I begin by examining the impact </w:t>
      </w:r>
      <w:r w:rsidR="00951EB8">
        <w:t xml:space="preserve">of the central clearing mandate on the relative bid-ask spread prevalent at the end of the trading day. </w:t>
      </w:r>
      <w:r w:rsidR="005C32AB">
        <w:t xml:space="preserve">This could be a proxy for the relative trading cost (at least at the closing). </w:t>
      </w:r>
      <w:r w:rsidR="000E7A31">
        <w:fldChar w:fldCharType="begin"/>
      </w:r>
      <w:r w:rsidR="000E7A31">
        <w:instrText xml:space="preserve"> REF _Ref170051638 \h </w:instrText>
      </w:r>
      <w:r w:rsidR="000E7A31">
        <w:fldChar w:fldCharType="separate"/>
      </w:r>
      <w:r w:rsidR="00A2102A">
        <w:t xml:space="preserve">Table </w:t>
      </w:r>
      <w:r w:rsidR="00A2102A">
        <w:rPr>
          <w:noProof/>
        </w:rPr>
        <w:t>11</w:t>
      </w:r>
      <w:r w:rsidR="000E7A31">
        <w:fldChar w:fldCharType="end"/>
      </w:r>
      <w:r w:rsidR="00337EDA">
        <w:t xml:space="preserve"> </w:t>
      </w:r>
      <w:r w:rsidR="00AF5C18">
        <w:t xml:space="preserve">shows the results of </w:t>
      </w:r>
      <w:r w:rsidR="005C32AB">
        <w:t xml:space="preserve">a </w:t>
      </w:r>
      <w:r w:rsidR="00AF5C18">
        <w:t>difference-in-difference</w:t>
      </w:r>
      <w:r w:rsidR="005C32AB">
        <w:t>s</w:t>
      </w:r>
      <w:r w:rsidR="00AF5C18">
        <w:t xml:space="preserve"> regression for </w:t>
      </w:r>
      <w:r w:rsidR="0000051E">
        <w:t>this measure</w:t>
      </w:r>
      <w:r w:rsidR="00AF5C18">
        <w:t xml:space="preserve">. Note that since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since these variables do not vary during the short period studied, they cannot be controlled for. Two control variables that proxy financial market conditions are added to the </w:t>
      </w:r>
      <w:r w:rsidR="00EA3B26">
        <w:t xml:space="preserve">“full” </w:t>
      </w:r>
      <w:r w:rsidR="00AF5C18">
        <w:t xml:space="preserve">model: a measure of equity market volatility and a measure for equity market return. For the volatility measure, I use the </w:t>
      </w:r>
      <w:r w:rsidR="00D63C6D">
        <w:t xml:space="preserve">CBOE </w:t>
      </w:r>
      <w:r w:rsidR="00A80598">
        <w:t>VIX inde</w:t>
      </w:r>
      <w:r w:rsidR="00F74116">
        <w:t>x and the</w:t>
      </w:r>
      <w:r w:rsidR="009262F1">
        <w:t xml:space="preserve"> TSP 60 VIX</w:t>
      </w:r>
      <w:r w:rsidR="00AF5C18">
        <w:t xml:space="preserve">, which measures the 30-day expected realized variance of the S&amp;P 500 index and its Canadian equivalent </w:t>
      </w:r>
      <w:r w:rsidR="00F74116">
        <w:t>respectively</w:t>
      </w:r>
      <w:r w:rsidR="00AF5C18">
        <w:t>.</w:t>
      </w:r>
      <w:r w:rsidR="00EA3B26">
        <w:t xml:space="preserve"> For equity market returns, I </w:t>
      </w:r>
      <w:r w:rsidR="009262F1">
        <w:t xml:space="preserve">use the returns of the S&amp;P 500 and </w:t>
      </w:r>
      <w:r w:rsidR="002E6BD5">
        <w:t>the S&amp;P/TSX Composite.</w:t>
      </w:r>
    </w:p>
    <w:p w14:paraId="1DDD2C1C" w14:textId="7BE1E897" w:rsidR="0086424C" w:rsidRDefault="00AF5C18" w:rsidP="005D2017">
      <w:r>
        <w:t xml:space="preserve">The clearing mandate does not impact the liquidity as measured by </w:t>
      </w:r>
      <w:r w:rsidR="000E7A31">
        <w:t xml:space="preserve">relative </w:t>
      </w:r>
      <w:r>
        <w:t>bid-ask spreads. As noted in the theory section, we should expect reductions in counterparty risk of interest rate swaps to cause a narrowing of the bid-ask spread (the spread is charged by dealers to offset their expected losses from holding inventory). However, the spread is also driven by supply and demand conditions in the market. As explored in the pricing section, a reduction in riskiness of IRS increases their demand. If the swaps market is monopolistic (that is, new swaps dealers face barriers to entry), then incumbent dealers can choose not to lower their bid-ask spreads and pocket the additional profits from the high demand.</w:t>
      </w:r>
    </w:p>
    <w:p w14:paraId="14112B47" w14:textId="2919B83F" w:rsidR="000E7A31" w:rsidRDefault="000E7A31" w:rsidP="005D2017">
      <w:r>
        <w:fldChar w:fldCharType="begin"/>
      </w:r>
      <w:r>
        <w:instrText xml:space="preserve"> REF _Ref170051781 \h </w:instrText>
      </w:r>
      <w:r>
        <w:fldChar w:fldCharType="separate"/>
      </w:r>
      <w:r w:rsidR="00A2102A">
        <w:t xml:space="preserve">Table </w:t>
      </w:r>
      <w:r w:rsidR="00A2102A">
        <w:rPr>
          <w:noProof/>
        </w:rPr>
        <w:t>12</w:t>
      </w:r>
      <w:r>
        <w:fldChar w:fldCharType="end"/>
      </w:r>
      <w:r>
        <w:t xml:space="preserve"> and </w:t>
      </w:r>
      <w:r>
        <w:fldChar w:fldCharType="begin"/>
      </w:r>
      <w:r>
        <w:instrText xml:space="preserve"> REF _Ref170051786 \h </w:instrText>
      </w:r>
      <w:r>
        <w:fldChar w:fldCharType="separate"/>
      </w:r>
      <w:r w:rsidR="00A2102A">
        <w:t xml:space="preserve">Table </w:t>
      </w:r>
      <w:r w:rsidR="00A2102A">
        <w:rPr>
          <w:noProof/>
        </w:rPr>
        <w:t>13</w:t>
      </w:r>
      <w:r>
        <w:fldChar w:fldCharType="end"/>
      </w:r>
      <w:r>
        <w:t xml:space="preserve"> show the results for the Roll and Amihud measure respectively. These measures also do not </w:t>
      </w:r>
      <w:r w:rsidR="00840D4C">
        <w:t xml:space="preserve">show any impact of the clearing mandate on liquidity. As described earlier, in monopolistic markets, increase in demand due to </w:t>
      </w:r>
      <w:r w:rsidR="00930217">
        <w:t xml:space="preserve">less counterparty risk can be captured as increases in premia by the dealers, without improving liquidity. The relative bid-ask spread, </w:t>
      </w:r>
      <w:proofErr w:type="gramStart"/>
      <w:r w:rsidR="00930217">
        <w:t>Roll</w:t>
      </w:r>
      <w:proofErr w:type="gramEnd"/>
      <w:r w:rsidR="00930217">
        <w:t xml:space="preserve"> </w:t>
      </w:r>
      <w:r w:rsidR="00930217">
        <w:lastRenderedPageBreak/>
        <w:t>measure and Amihud measures all consistently show no change in market liquidity due to the clearing mandate.</w:t>
      </w:r>
    </w:p>
    <w:p w14:paraId="2B2CE8F7" w14:textId="74F205B9" w:rsidR="005D2017" w:rsidRDefault="005D2017">
      <w:pPr>
        <w:spacing w:line="240" w:lineRule="auto"/>
        <w:ind w:firstLine="0"/>
        <w:jc w:val="left"/>
      </w:pPr>
      <w:r>
        <w:br w:type="page"/>
      </w:r>
    </w:p>
    <w:p w14:paraId="3B854751" w14:textId="4DFEBDCD" w:rsidR="000E7A31" w:rsidRDefault="000E7A31" w:rsidP="00714654">
      <w:pPr>
        <w:pStyle w:val="Caption"/>
        <w:keepNext/>
        <w:jc w:val="center"/>
      </w:pPr>
      <w:bookmarkStart w:id="37" w:name="_Ref170051638"/>
      <w:r>
        <w:lastRenderedPageBreak/>
        <w:t xml:space="preserve">Table </w:t>
      </w:r>
      <w:fldSimple w:instr=" SEQ Table \* ARABIC ">
        <w:r w:rsidR="00A2102A">
          <w:rPr>
            <w:noProof/>
          </w:rPr>
          <w:t>11</w:t>
        </w:r>
      </w:fldSimple>
      <w:bookmarkEnd w:id="37"/>
      <w:r>
        <w:rPr>
          <w:noProof/>
        </w:rPr>
        <w:t xml:space="preserve"> Relative Bid-Ask Spread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59"/>
      </w:tblGrid>
      <w:tr w:rsidR="00B5286A" w14:paraId="4BE55D8F" w14:textId="77777777" w:rsidTr="00714654">
        <w:trPr>
          <w:tblCellSpacing w:w="15" w:type="dxa"/>
          <w:jc w:val="center"/>
        </w:trPr>
        <w:tc>
          <w:tcPr>
            <w:tcW w:w="0" w:type="auto"/>
            <w:gridSpan w:val="2"/>
            <w:tcBorders>
              <w:top w:val="nil"/>
              <w:left w:val="nil"/>
              <w:bottom w:val="nil"/>
              <w:right w:val="nil"/>
            </w:tcBorders>
            <w:vAlign w:val="center"/>
            <w:hideMark/>
          </w:tcPr>
          <w:p w14:paraId="3E7FE79E" w14:textId="77777777" w:rsidR="00B5286A" w:rsidRDefault="00B5286A">
            <w:pPr>
              <w:jc w:val="center"/>
              <w:rPr>
                <w:rFonts w:eastAsia="Times New Roman"/>
              </w:rPr>
            </w:pPr>
            <w:r>
              <w:rPr>
                <w:rStyle w:val="Strong"/>
              </w:rPr>
              <w:t>Relative Bid-Ask Spread DiD Analysis</w:t>
            </w:r>
          </w:p>
        </w:tc>
      </w:tr>
      <w:tr w:rsidR="00B5286A" w14:paraId="5AEB1DF2" w14:textId="77777777" w:rsidTr="00714654">
        <w:trPr>
          <w:tblCellSpacing w:w="15" w:type="dxa"/>
          <w:jc w:val="center"/>
        </w:trPr>
        <w:tc>
          <w:tcPr>
            <w:tcW w:w="0" w:type="auto"/>
            <w:gridSpan w:val="2"/>
            <w:tcBorders>
              <w:bottom w:val="single" w:sz="6" w:space="0" w:color="000000"/>
            </w:tcBorders>
            <w:vAlign w:val="center"/>
            <w:hideMark/>
          </w:tcPr>
          <w:p w14:paraId="39430387" w14:textId="77777777" w:rsidR="00B5286A" w:rsidRDefault="00B5286A">
            <w:pPr>
              <w:jc w:val="center"/>
              <w:rPr>
                <w:rFonts w:eastAsia="Times New Roman"/>
              </w:rPr>
            </w:pPr>
          </w:p>
        </w:tc>
      </w:tr>
      <w:tr w:rsidR="00B5286A" w14:paraId="34E1614D" w14:textId="77777777" w:rsidTr="00714654">
        <w:trPr>
          <w:tblCellSpacing w:w="15" w:type="dxa"/>
          <w:jc w:val="center"/>
        </w:trPr>
        <w:tc>
          <w:tcPr>
            <w:tcW w:w="0" w:type="auto"/>
            <w:vAlign w:val="center"/>
            <w:hideMark/>
          </w:tcPr>
          <w:p w14:paraId="08E8A6D5" w14:textId="77777777" w:rsidR="00B5286A" w:rsidRDefault="00B5286A">
            <w:pPr>
              <w:jc w:val="center"/>
              <w:rPr>
                <w:rFonts w:eastAsia="Times New Roman"/>
                <w:sz w:val="20"/>
                <w:szCs w:val="20"/>
              </w:rPr>
            </w:pPr>
          </w:p>
        </w:tc>
        <w:tc>
          <w:tcPr>
            <w:tcW w:w="0" w:type="auto"/>
            <w:vAlign w:val="center"/>
            <w:hideMark/>
          </w:tcPr>
          <w:p w14:paraId="6054EBA7" w14:textId="77777777" w:rsidR="00B5286A" w:rsidRDefault="00B5286A">
            <w:pPr>
              <w:jc w:val="center"/>
              <w:rPr>
                <w:rFonts w:eastAsia="Times New Roman"/>
              </w:rPr>
            </w:pPr>
            <w:r>
              <w:rPr>
                <w:rStyle w:val="Emphasis"/>
              </w:rPr>
              <w:t>Dependent variable:</w:t>
            </w:r>
          </w:p>
        </w:tc>
      </w:tr>
      <w:tr w:rsidR="00B5286A" w14:paraId="17C85497" w14:textId="77777777" w:rsidTr="00714654">
        <w:trPr>
          <w:tblCellSpacing w:w="15" w:type="dxa"/>
          <w:jc w:val="center"/>
        </w:trPr>
        <w:tc>
          <w:tcPr>
            <w:tcW w:w="0" w:type="auto"/>
            <w:vAlign w:val="center"/>
            <w:hideMark/>
          </w:tcPr>
          <w:p w14:paraId="455E9593" w14:textId="77777777" w:rsidR="00B5286A" w:rsidRDefault="00B5286A">
            <w:pPr>
              <w:jc w:val="center"/>
              <w:rPr>
                <w:rFonts w:eastAsia="Times New Roman"/>
              </w:rPr>
            </w:pPr>
          </w:p>
        </w:tc>
        <w:tc>
          <w:tcPr>
            <w:tcW w:w="0" w:type="auto"/>
            <w:tcBorders>
              <w:bottom w:val="single" w:sz="6" w:space="0" w:color="000000"/>
            </w:tcBorders>
            <w:vAlign w:val="center"/>
            <w:hideMark/>
          </w:tcPr>
          <w:p w14:paraId="589CF0A2" w14:textId="77777777" w:rsidR="00B5286A" w:rsidRDefault="00B5286A">
            <w:pPr>
              <w:jc w:val="center"/>
              <w:rPr>
                <w:rFonts w:eastAsia="Times New Roman"/>
                <w:sz w:val="20"/>
                <w:szCs w:val="20"/>
              </w:rPr>
            </w:pPr>
          </w:p>
        </w:tc>
      </w:tr>
      <w:tr w:rsidR="00B5286A" w14:paraId="458461AD" w14:textId="77777777" w:rsidTr="00714654">
        <w:trPr>
          <w:tblCellSpacing w:w="15" w:type="dxa"/>
          <w:jc w:val="center"/>
        </w:trPr>
        <w:tc>
          <w:tcPr>
            <w:tcW w:w="0" w:type="auto"/>
            <w:vAlign w:val="center"/>
            <w:hideMark/>
          </w:tcPr>
          <w:p w14:paraId="7B61E13F" w14:textId="77777777" w:rsidR="00B5286A" w:rsidRDefault="00B5286A">
            <w:pPr>
              <w:jc w:val="center"/>
              <w:rPr>
                <w:rFonts w:eastAsia="Times New Roman"/>
                <w:sz w:val="20"/>
                <w:szCs w:val="20"/>
              </w:rPr>
            </w:pPr>
          </w:p>
        </w:tc>
        <w:tc>
          <w:tcPr>
            <w:tcW w:w="0" w:type="auto"/>
            <w:vAlign w:val="center"/>
            <w:hideMark/>
          </w:tcPr>
          <w:p w14:paraId="750B1728" w14:textId="77777777" w:rsidR="00B5286A" w:rsidRDefault="00B5286A">
            <w:pPr>
              <w:jc w:val="center"/>
              <w:rPr>
                <w:rFonts w:eastAsia="Times New Roman"/>
              </w:rPr>
            </w:pPr>
            <w:r>
              <w:rPr>
                <w:rFonts w:eastAsia="Times New Roman"/>
              </w:rPr>
              <w:t>Relative Spread</w:t>
            </w:r>
          </w:p>
        </w:tc>
      </w:tr>
      <w:tr w:rsidR="00B5286A" w14:paraId="696D85C3" w14:textId="77777777" w:rsidTr="00714654">
        <w:trPr>
          <w:tblCellSpacing w:w="15" w:type="dxa"/>
          <w:jc w:val="center"/>
        </w:trPr>
        <w:tc>
          <w:tcPr>
            <w:tcW w:w="0" w:type="auto"/>
            <w:gridSpan w:val="2"/>
            <w:tcBorders>
              <w:bottom w:val="single" w:sz="6" w:space="0" w:color="000000"/>
            </w:tcBorders>
            <w:vAlign w:val="center"/>
            <w:hideMark/>
          </w:tcPr>
          <w:p w14:paraId="02A40557" w14:textId="77777777" w:rsidR="00B5286A" w:rsidRDefault="00B5286A">
            <w:pPr>
              <w:jc w:val="center"/>
              <w:rPr>
                <w:rFonts w:eastAsia="Times New Roman"/>
              </w:rPr>
            </w:pPr>
          </w:p>
        </w:tc>
      </w:tr>
      <w:tr w:rsidR="00B5286A" w14:paraId="28FC1BCD" w14:textId="77777777" w:rsidTr="00714654">
        <w:trPr>
          <w:tblCellSpacing w:w="15" w:type="dxa"/>
          <w:jc w:val="center"/>
        </w:trPr>
        <w:tc>
          <w:tcPr>
            <w:tcW w:w="0" w:type="auto"/>
            <w:vAlign w:val="center"/>
            <w:hideMark/>
          </w:tcPr>
          <w:p w14:paraId="29B17BA9" w14:textId="77777777" w:rsidR="00B5286A" w:rsidRDefault="00B5286A">
            <w:pPr>
              <w:jc w:val="left"/>
              <w:rPr>
                <w:rFonts w:eastAsia="Times New Roman"/>
              </w:rPr>
            </w:pPr>
            <w:r>
              <w:rPr>
                <w:rFonts w:eastAsia="Times New Roman"/>
              </w:rPr>
              <w:t>Group</w:t>
            </w:r>
          </w:p>
        </w:tc>
        <w:tc>
          <w:tcPr>
            <w:tcW w:w="0" w:type="auto"/>
            <w:vAlign w:val="center"/>
            <w:hideMark/>
          </w:tcPr>
          <w:p w14:paraId="18E1C981" w14:textId="77777777" w:rsidR="00B5286A" w:rsidRDefault="00B5286A">
            <w:pPr>
              <w:jc w:val="center"/>
              <w:rPr>
                <w:rFonts w:eastAsia="Times New Roman"/>
              </w:rPr>
            </w:pPr>
            <w:r>
              <w:rPr>
                <w:rFonts w:eastAsia="Times New Roman"/>
              </w:rPr>
              <w:t>-0.005</w:t>
            </w:r>
            <w:r>
              <w:rPr>
                <w:rFonts w:eastAsia="Times New Roman"/>
                <w:vertAlign w:val="superscript"/>
              </w:rPr>
              <w:t>***</w:t>
            </w:r>
          </w:p>
        </w:tc>
      </w:tr>
      <w:tr w:rsidR="00B5286A" w14:paraId="1CC2ED70" w14:textId="77777777" w:rsidTr="00714654">
        <w:trPr>
          <w:tblCellSpacing w:w="15" w:type="dxa"/>
          <w:jc w:val="center"/>
        </w:trPr>
        <w:tc>
          <w:tcPr>
            <w:tcW w:w="0" w:type="auto"/>
            <w:vAlign w:val="center"/>
            <w:hideMark/>
          </w:tcPr>
          <w:p w14:paraId="6AC35B51" w14:textId="77777777" w:rsidR="00B5286A" w:rsidRDefault="00B5286A">
            <w:pPr>
              <w:jc w:val="center"/>
              <w:rPr>
                <w:rFonts w:eastAsia="Times New Roman"/>
              </w:rPr>
            </w:pPr>
          </w:p>
        </w:tc>
        <w:tc>
          <w:tcPr>
            <w:tcW w:w="0" w:type="auto"/>
            <w:vAlign w:val="center"/>
            <w:hideMark/>
          </w:tcPr>
          <w:p w14:paraId="63931614" w14:textId="77777777" w:rsidR="00B5286A" w:rsidRDefault="00B5286A">
            <w:pPr>
              <w:jc w:val="center"/>
              <w:rPr>
                <w:rFonts w:eastAsia="Times New Roman"/>
              </w:rPr>
            </w:pPr>
            <w:r>
              <w:rPr>
                <w:rFonts w:eastAsia="Times New Roman"/>
              </w:rPr>
              <w:t>(0.001)</w:t>
            </w:r>
          </w:p>
        </w:tc>
      </w:tr>
      <w:tr w:rsidR="00B5286A" w14:paraId="041EE3A1" w14:textId="77777777" w:rsidTr="00714654">
        <w:trPr>
          <w:tblCellSpacing w:w="15" w:type="dxa"/>
          <w:jc w:val="center"/>
        </w:trPr>
        <w:tc>
          <w:tcPr>
            <w:tcW w:w="0" w:type="auto"/>
            <w:vAlign w:val="center"/>
            <w:hideMark/>
          </w:tcPr>
          <w:p w14:paraId="7D1B91F0" w14:textId="77777777" w:rsidR="00B5286A" w:rsidRDefault="00B5286A">
            <w:pPr>
              <w:jc w:val="center"/>
              <w:rPr>
                <w:rFonts w:eastAsia="Times New Roman"/>
              </w:rPr>
            </w:pPr>
          </w:p>
        </w:tc>
        <w:tc>
          <w:tcPr>
            <w:tcW w:w="0" w:type="auto"/>
            <w:vAlign w:val="center"/>
            <w:hideMark/>
          </w:tcPr>
          <w:p w14:paraId="25BAA37E" w14:textId="77777777" w:rsidR="00B5286A" w:rsidRDefault="00B5286A">
            <w:pPr>
              <w:rPr>
                <w:rFonts w:eastAsia="Times New Roman"/>
                <w:sz w:val="20"/>
                <w:szCs w:val="20"/>
              </w:rPr>
            </w:pPr>
          </w:p>
        </w:tc>
      </w:tr>
      <w:tr w:rsidR="00B5286A" w14:paraId="581AF81D" w14:textId="77777777" w:rsidTr="00714654">
        <w:trPr>
          <w:tblCellSpacing w:w="15" w:type="dxa"/>
          <w:jc w:val="center"/>
        </w:trPr>
        <w:tc>
          <w:tcPr>
            <w:tcW w:w="0" w:type="auto"/>
            <w:vAlign w:val="center"/>
            <w:hideMark/>
          </w:tcPr>
          <w:p w14:paraId="300F5C93" w14:textId="77777777" w:rsidR="00B5286A" w:rsidRDefault="00B5286A">
            <w:pPr>
              <w:jc w:val="left"/>
              <w:rPr>
                <w:rFonts w:eastAsia="Times New Roman"/>
              </w:rPr>
            </w:pPr>
            <w:r>
              <w:rPr>
                <w:rFonts w:eastAsia="Times New Roman"/>
              </w:rPr>
              <w:t>Period</w:t>
            </w:r>
          </w:p>
        </w:tc>
        <w:tc>
          <w:tcPr>
            <w:tcW w:w="0" w:type="auto"/>
            <w:vAlign w:val="center"/>
            <w:hideMark/>
          </w:tcPr>
          <w:p w14:paraId="585F3902" w14:textId="77777777" w:rsidR="00B5286A" w:rsidRDefault="00B5286A">
            <w:pPr>
              <w:jc w:val="center"/>
              <w:rPr>
                <w:rFonts w:eastAsia="Times New Roman"/>
              </w:rPr>
            </w:pPr>
            <w:r>
              <w:rPr>
                <w:rFonts w:eastAsia="Times New Roman"/>
              </w:rPr>
              <w:t>0.0001</w:t>
            </w:r>
          </w:p>
        </w:tc>
      </w:tr>
      <w:tr w:rsidR="00B5286A" w14:paraId="37532AB0" w14:textId="77777777" w:rsidTr="00714654">
        <w:trPr>
          <w:tblCellSpacing w:w="15" w:type="dxa"/>
          <w:jc w:val="center"/>
        </w:trPr>
        <w:tc>
          <w:tcPr>
            <w:tcW w:w="0" w:type="auto"/>
            <w:vAlign w:val="center"/>
            <w:hideMark/>
          </w:tcPr>
          <w:p w14:paraId="1DAD4A14" w14:textId="77777777" w:rsidR="00B5286A" w:rsidRDefault="00B5286A">
            <w:pPr>
              <w:jc w:val="center"/>
              <w:rPr>
                <w:rFonts w:eastAsia="Times New Roman"/>
              </w:rPr>
            </w:pPr>
          </w:p>
        </w:tc>
        <w:tc>
          <w:tcPr>
            <w:tcW w:w="0" w:type="auto"/>
            <w:vAlign w:val="center"/>
            <w:hideMark/>
          </w:tcPr>
          <w:p w14:paraId="1BFF9711" w14:textId="77777777" w:rsidR="00B5286A" w:rsidRDefault="00B5286A">
            <w:pPr>
              <w:jc w:val="center"/>
              <w:rPr>
                <w:rFonts w:eastAsia="Times New Roman"/>
              </w:rPr>
            </w:pPr>
            <w:r>
              <w:rPr>
                <w:rFonts w:eastAsia="Times New Roman"/>
              </w:rPr>
              <w:t>(0.001)</w:t>
            </w:r>
          </w:p>
        </w:tc>
      </w:tr>
      <w:tr w:rsidR="00B5286A" w14:paraId="650F4440" w14:textId="77777777" w:rsidTr="00714654">
        <w:trPr>
          <w:tblCellSpacing w:w="15" w:type="dxa"/>
          <w:jc w:val="center"/>
        </w:trPr>
        <w:tc>
          <w:tcPr>
            <w:tcW w:w="0" w:type="auto"/>
            <w:vAlign w:val="center"/>
            <w:hideMark/>
          </w:tcPr>
          <w:p w14:paraId="0C996EAB" w14:textId="77777777" w:rsidR="00B5286A" w:rsidRDefault="00B5286A">
            <w:pPr>
              <w:jc w:val="center"/>
              <w:rPr>
                <w:rFonts w:eastAsia="Times New Roman"/>
              </w:rPr>
            </w:pPr>
          </w:p>
        </w:tc>
        <w:tc>
          <w:tcPr>
            <w:tcW w:w="0" w:type="auto"/>
            <w:vAlign w:val="center"/>
            <w:hideMark/>
          </w:tcPr>
          <w:p w14:paraId="75374998" w14:textId="77777777" w:rsidR="00B5286A" w:rsidRDefault="00B5286A">
            <w:pPr>
              <w:rPr>
                <w:rFonts w:eastAsia="Times New Roman"/>
                <w:sz w:val="20"/>
                <w:szCs w:val="20"/>
              </w:rPr>
            </w:pPr>
          </w:p>
        </w:tc>
      </w:tr>
      <w:tr w:rsidR="00B5286A" w14:paraId="68B3F39B" w14:textId="77777777" w:rsidTr="00714654">
        <w:trPr>
          <w:tblCellSpacing w:w="15" w:type="dxa"/>
          <w:jc w:val="center"/>
        </w:trPr>
        <w:tc>
          <w:tcPr>
            <w:tcW w:w="0" w:type="auto"/>
            <w:vAlign w:val="center"/>
            <w:hideMark/>
          </w:tcPr>
          <w:p w14:paraId="15BA4B01" w14:textId="77777777" w:rsidR="00B5286A" w:rsidRDefault="00B5286A">
            <w:pPr>
              <w:jc w:val="left"/>
              <w:rPr>
                <w:rFonts w:eastAsia="Times New Roman"/>
              </w:rPr>
            </w:pPr>
            <w:r>
              <w:rPr>
                <w:rFonts w:eastAsia="Times New Roman"/>
              </w:rPr>
              <w:t>Tenor (2Y)</w:t>
            </w:r>
          </w:p>
        </w:tc>
        <w:tc>
          <w:tcPr>
            <w:tcW w:w="0" w:type="auto"/>
            <w:vAlign w:val="center"/>
            <w:hideMark/>
          </w:tcPr>
          <w:p w14:paraId="26DC3397" w14:textId="77777777" w:rsidR="00B5286A" w:rsidRDefault="00B5286A">
            <w:pPr>
              <w:jc w:val="center"/>
              <w:rPr>
                <w:rFonts w:eastAsia="Times New Roman"/>
              </w:rPr>
            </w:pPr>
            <w:r>
              <w:rPr>
                <w:rFonts w:eastAsia="Times New Roman"/>
              </w:rPr>
              <w:t>0.007</w:t>
            </w:r>
            <w:r>
              <w:rPr>
                <w:rFonts w:eastAsia="Times New Roman"/>
                <w:vertAlign w:val="superscript"/>
              </w:rPr>
              <w:t>***</w:t>
            </w:r>
          </w:p>
        </w:tc>
      </w:tr>
      <w:tr w:rsidR="00B5286A" w14:paraId="54AF6DF5" w14:textId="77777777" w:rsidTr="00714654">
        <w:trPr>
          <w:tblCellSpacing w:w="15" w:type="dxa"/>
          <w:jc w:val="center"/>
        </w:trPr>
        <w:tc>
          <w:tcPr>
            <w:tcW w:w="0" w:type="auto"/>
            <w:vAlign w:val="center"/>
            <w:hideMark/>
          </w:tcPr>
          <w:p w14:paraId="5A9573A6" w14:textId="77777777" w:rsidR="00B5286A" w:rsidRDefault="00B5286A">
            <w:pPr>
              <w:jc w:val="center"/>
              <w:rPr>
                <w:rFonts w:eastAsia="Times New Roman"/>
              </w:rPr>
            </w:pPr>
          </w:p>
        </w:tc>
        <w:tc>
          <w:tcPr>
            <w:tcW w:w="0" w:type="auto"/>
            <w:vAlign w:val="center"/>
            <w:hideMark/>
          </w:tcPr>
          <w:p w14:paraId="32828830" w14:textId="77777777" w:rsidR="00B5286A" w:rsidRDefault="00B5286A">
            <w:pPr>
              <w:jc w:val="center"/>
              <w:rPr>
                <w:rFonts w:eastAsia="Times New Roman"/>
              </w:rPr>
            </w:pPr>
            <w:r>
              <w:rPr>
                <w:rFonts w:eastAsia="Times New Roman"/>
              </w:rPr>
              <w:t>(0.001)</w:t>
            </w:r>
          </w:p>
        </w:tc>
      </w:tr>
      <w:tr w:rsidR="00B5286A" w14:paraId="7D04B596" w14:textId="77777777" w:rsidTr="00714654">
        <w:trPr>
          <w:tblCellSpacing w:w="15" w:type="dxa"/>
          <w:jc w:val="center"/>
        </w:trPr>
        <w:tc>
          <w:tcPr>
            <w:tcW w:w="0" w:type="auto"/>
            <w:vAlign w:val="center"/>
            <w:hideMark/>
          </w:tcPr>
          <w:p w14:paraId="691A25A5" w14:textId="77777777" w:rsidR="00B5286A" w:rsidRDefault="00B5286A">
            <w:pPr>
              <w:jc w:val="center"/>
              <w:rPr>
                <w:rFonts w:eastAsia="Times New Roman"/>
              </w:rPr>
            </w:pPr>
          </w:p>
        </w:tc>
        <w:tc>
          <w:tcPr>
            <w:tcW w:w="0" w:type="auto"/>
            <w:vAlign w:val="center"/>
            <w:hideMark/>
          </w:tcPr>
          <w:p w14:paraId="2B231C62" w14:textId="77777777" w:rsidR="00B5286A" w:rsidRDefault="00B5286A">
            <w:pPr>
              <w:rPr>
                <w:rFonts w:eastAsia="Times New Roman"/>
                <w:sz w:val="20"/>
                <w:szCs w:val="20"/>
              </w:rPr>
            </w:pPr>
          </w:p>
        </w:tc>
      </w:tr>
      <w:tr w:rsidR="00B5286A" w14:paraId="53C0AF36" w14:textId="77777777" w:rsidTr="00714654">
        <w:trPr>
          <w:tblCellSpacing w:w="15" w:type="dxa"/>
          <w:jc w:val="center"/>
        </w:trPr>
        <w:tc>
          <w:tcPr>
            <w:tcW w:w="0" w:type="auto"/>
            <w:vAlign w:val="center"/>
            <w:hideMark/>
          </w:tcPr>
          <w:p w14:paraId="38B74177" w14:textId="77777777" w:rsidR="00B5286A" w:rsidRDefault="00B5286A">
            <w:pPr>
              <w:jc w:val="left"/>
              <w:rPr>
                <w:rFonts w:eastAsia="Times New Roman"/>
              </w:rPr>
            </w:pPr>
            <w:r>
              <w:rPr>
                <w:rFonts w:eastAsia="Times New Roman"/>
              </w:rPr>
              <w:t>Tenor (5Y)</w:t>
            </w:r>
          </w:p>
        </w:tc>
        <w:tc>
          <w:tcPr>
            <w:tcW w:w="0" w:type="auto"/>
            <w:vAlign w:val="center"/>
            <w:hideMark/>
          </w:tcPr>
          <w:p w14:paraId="69574360" w14:textId="77777777" w:rsidR="00B5286A" w:rsidRDefault="00B5286A">
            <w:pPr>
              <w:jc w:val="center"/>
              <w:rPr>
                <w:rFonts w:eastAsia="Times New Roman"/>
              </w:rPr>
            </w:pPr>
            <w:r>
              <w:rPr>
                <w:rFonts w:eastAsia="Times New Roman"/>
              </w:rPr>
              <w:t>0.003</w:t>
            </w:r>
            <w:r>
              <w:rPr>
                <w:rFonts w:eastAsia="Times New Roman"/>
                <w:vertAlign w:val="superscript"/>
              </w:rPr>
              <w:t>***</w:t>
            </w:r>
          </w:p>
        </w:tc>
      </w:tr>
      <w:tr w:rsidR="00B5286A" w14:paraId="7A931096" w14:textId="77777777" w:rsidTr="00714654">
        <w:trPr>
          <w:tblCellSpacing w:w="15" w:type="dxa"/>
          <w:jc w:val="center"/>
        </w:trPr>
        <w:tc>
          <w:tcPr>
            <w:tcW w:w="0" w:type="auto"/>
            <w:vAlign w:val="center"/>
            <w:hideMark/>
          </w:tcPr>
          <w:p w14:paraId="220E95B1" w14:textId="77777777" w:rsidR="00B5286A" w:rsidRDefault="00B5286A">
            <w:pPr>
              <w:jc w:val="center"/>
              <w:rPr>
                <w:rFonts w:eastAsia="Times New Roman"/>
              </w:rPr>
            </w:pPr>
          </w:p>
        </w:tc>
        <w:tc>
          <w:tcPr>
            <w:tcW w:w="0" w:type="auto"/>
            <w:vAlign w:val="center"/>
            <w:hideMark/>
          </w:tcPr>
          <w:p w14:paraId="2491706F" w14:textId="77777777" w:rsidR="00B5286A" w:rsidRDefault="00B5286A">
            <w:pPr>
              <w:jc w:val="center"/>
              <w:rPr>
                <w:rFonts w:eastAsia="Times New Roman"/>
              </w:rPr>
            </w:pPr>
            <w:r>
              <w:rPr>
                <w:rFonts w:eastAsia="Times New Roman"/>
              </w:rPr>
              <w:t>(0.001)</w:t>
            </w:r>
          </w:p>
        </w:tc>
      </w:tr>
      <w:tr w:rsidR="00B5286A" w14:paraId="56789DE0" w14:textId="77777777" w:rsidTr="00714654">
        <w:trPr>
          <w:tblCellSpacing w:w="15" w:type="dxa"/>
          <w:jc w:val="center"/>
        </w:trPr>
        <w:tc>
          <w:tcPr>
            <w:tcW w:w="0" w:type="auto"/>
            <w:vAlign w:val="center"/>
            <w:hideMark/>
          </w:tcPr>
          <w:p w14:paraId="76F04885" w14:textId="77777777" w:rsidR="00B5286A" w:rsidRDefault="00B5286A">
            <w:pPr>
              <w:jc w:val="center"/>
              <w:rPr>
                <w:rFonts w:eastAsia="Times New Roman"/>
              </w:rPr>
            </w:pPr>
          </w:p>
        </w:tc>
        <w:tc>
          <w:tcPr>
            <w:tcW w:w="0" w:type="auto"/>
            <w:vAlign w:val="center"/>
            <w:hideMark/>
          </w:tcPr>
          <w:p w14:paraId="7B1B0415" w14:textId="77777777" w:rsidR="00B5286A" w:rsidRDefault="00B5286A">
            <w:pPr>
              <w:rPr>
                <w:rFonts w:eastAsia="Times New Roman"/>
                <w:sz w:val="20"/>
                <w:szCs w:val="20"/>
              </w:rPr>
            </w:pPr>
          </w:p>
        </w:tc>
      </w:tr>
      <w:tr w:rsidR="00B5286A" w14:paraId="25A4F99A" w14:textId="77777777" w:rsidTr="00714654">
        <w:trPr>
          <w:tblCellSpacing w:w="15" w:type="dxa"/>
          <w:jc w:val="center"/>
        </w:trPr>
        <w:tc>
          <w:tcPr>
            <w:tcW w:w="0" w:type="auto"/>
            <w:vAlign w:val="center"/>
            <w:hideMark/>
          </w:tcPr>
          <w:p w14:paraId="6C4D8B24" w14:textId="77777777" w:rsidR="00B5286A" w:rsidRDefault="00B5286A">
            <w:pPr>
              <w:jc w:val="left"/>
              <w:rPr>
                <w:rFonts w:eastAsia="Times New Roman"/>
              </w:rPr>
            </w:pPr>
            <w:r>
              <w:rPr>
                <w:rFonts w:eastAsia="Times New Roman"/>
              </w:rPr>
              <w:t>Group*Period</w:t>
            </w:r>
          </w:p>
        </w:tc>
        <w:tc>
          <w:tcPr>
            <w:tcW w:w="0" w:type="auto"/>
            <w:vAlign w:val="center"/>
            <w:hideMark/>
          </w:tcPr>
          <w:p w14:paraId="75DFCC13" w14:textId="77777777" w:rsidR="00B5286A" w:rsidRDefault="00B5286A">
            <w:pPr>
              <w:jc w:val="center"/>
              <w:rPr>
                <w:rFonts w:eastAsia="Times New Roman"/>
              </w:rPr>
            </w:pPr>
            <w:r>
              <w:rPr>
                <w:rFonts w:eastAsia="Times New Roman"/>
              </w:rPr>
              <w:t>-0.001</w:t>
            </w:r>
          </w:p>
        </w:tc>
      </w:tr>
      <w:tr w:rsidR="00B5286A" w14:paraId="6F4D532E" w14:textId="77777777" w:rsidTr="00714654">
        <w:trPr>
          <w:tblCellSpacing w:w="15" w:type="dxa"/>
          <w:jc w:val="center"/>
        </w:trPr>
        <w:tc>
          <w:tcPr>
            <w:tcW w:w="0" w:type="auto"/>
            <w:vAlign w:val="center"/>
            <w:hideMark/>
          </w:tcPr>
          <w:p w14:paraId="450856CC" w14:textId="77777777" w:rsidR="00B5286A" w:rsidRDefault="00B5286A">
            <w:pPr>
              <w:jc w:val="center"/>
              <w:rPr>
                <w:rFonts w:eastAsia="Times New Roman"/>
              </w:rPr>
            </w:pPr>
          </w:p>
        </w:tc>
        <w:tc>
          <w:tcPr>
            <w:tcW w:w="0" w:type="auto"/>
            <w:vAlign w:val="center"/>
            <w:hideMark/>
          </w:tcPr>
          <w:p w14:paraId="6BF69F62" w14:textId="77777777" w:rsidR="00B5286A" w:rsidRDefault="00B5286A">
            <w:pPr>
              <w:jc w:val="center"/>
              <w:rPr>
                <w:rFonts w:eastAsia="Times New Roman"/>
              </w:rPr>
            </w:pPr>
            <w:r>
              <w:rPr>
                <w:rFonts w:eastAsia="Times New Roman"/>
              </w:rPr>
              <w:t>(0.001)</w:t>
            </w:r>
          </w:p>
        </w:tc>
      </w:tr>
      <w:tr w:rsidR="00B5286A" w14:paraId="4AA87DD1" w14:textId="77777777" w:rsidTr="00714654">
        <w:trPr>
          <w:tblCellSpacing w:w="15" w:type="dxa"/>
          <w:jc w:val="center"/>
        </w:trPr>
        <w:tc>
          <w:tcPr>
            <w:tcW w:w="0" w:type="auto"/>
            <w:vAlign w:val="center"/>
            <w:hideMark/>
          </w:tcPr>
          <w:p w14:paraId="047D112A" w14:textId="77777777" w:rsidR="00B5286A" w:rsidRDefault="00B5286A">
            <w:pPr>
              <w:jc w:val="center"/>
              <w:rPr>
                <w:rFonts w:eastAsia="Times New Roman"/>
              </w:rPr>
            </w:pPr>
          </w:p>
        </w:tc>
        <w:tc>
          <w:tcPr>
            <w:tcW w:w="0" w:type="auto"/>
            <w:vAlign w:val="center"/>
            <w:hideMark/>
          </w:tcPr>
          <w:p w14:paraId="4D0818B4" w14:textId="77777777" w:rsidR="00B5286A" w:rsidRDefault="00B5286A">
            <w:pPr>
              <w:rPr>
                <w:rFonts w:eastAsia="Times New Roman"/>
                <w:sz w:val="20"/>
                <w:szCs w:val="20"/>
              </w:rPr>
            </w:pPr>
          </w:p>
        </w:tc>
      </w:tr>
      <w:tr w:rsidR="00B5286A" w14:paraId="2F82F775" w14:textId="77777777" w:rsidTr="00714654">
        <w:trPr>
          <w:tblCellSpacing w:w="15" w:type="dxa"/>
          <w:jc w:val="center"/>
        </w:trPr>
        <w:tc>
          <w:tcPr>
            <w:tcW w:w="0" w:type="auto"/>
            <w:vAlign w:val="center"/>
            <w:hideMark/>
          </w:tcPr>
          <w:p w14:paraId="3CEF9F41" w14:textId="77777777" w:rsidR="00B5286A" w:rsidRDefault="00B5286A">
            <w:pPr>
              <w:jc w:val="left"/>
              <w:rPr>
                <w:rFonts w:eastAsia="Times New Roman"/>
              </w:rPr>
            </w:pPr>
            <w:r>
              <w:rPr>
                <w:rFonts w:eastAsia="Times New Roman"/>
              </w:rPr>
              <w:t>Constant</w:t>
            </w:r>
          </w:p>
        </w:tc>
        <w:tc>
          <w:tcPr>
            <w:tcW w:w="0" w:type="auto"/>
            <w:vAlign w:val="center"/>
            <w:hideMark/>
          </w:tcPr>
          <w:p w14:paraId="4FBD62C5" w14:textId="77777777" w:rsidR="00B5286A" w:rsidRDefault="00B5286A">
            <w:pPr>
              <w:jc w:val="center"/>
              <w:rPr>
                <w:rFonts w:eastAsia="Times New Roman"/>
              </w:rPr>
            </w:pPr>
            <w:r>
              <w:rPr>
                <w:rFonts w:eastAsia="Times New Roman"/>
              </w:rPr>
              <w:t>0.011</w:t>
            </w:r>
            <w:r>
              <w:rPr>
                <w:rFonts w:eastAsia="Times New Roman"/>
                <w:vertAlign w:val="superscript"/>
              </w:rPr>
              <w:t>***</w:t>
            </w:r>
          </w:p>
        </w:tc>
      </w:tr>
      <w:tr w:rsidR="00B5286A" w14:paraId="318D355C" w14:textId="77777777" w:rsidTr="00714654">
        <w:trPr>
          <w:tblCellSpacing w:w="15" w:type="dxa"/>
          <w:jc w:val="center"/>
        </w:trPr>
        <w:tc>
          <w:tcPr>
            <w:tcW w:w="0" w:type="auto"/>
            <w:vAlign w:val="center"/>
            <w:hideMark/>
          </w:tcPr>
          <w:p w14:paraId="4E5C1FD1" w14:textId="77777777" w:rsidR="00B5286A" w:rsidRDefault="00B5286A">
            <w:pPr>
              <w:jc w:val="center"/>
              <w:rPr>
                <w:rFonts w:eastAsia="Times New Roman"/>
              </w:rPr>
            </w:pPr>
          </w:p>
        </w:tc>
        <w:tc>
          <w:tcPr>
            <w:tcW w:w="0" w:type="auto"/>
            <w:vAlign w:val="center"/>
            <w:hideMark/>
          </w:tcPr>
          <w:p w14:paraId="3F3D6660" w14:textId="77777777" w:rsidR="00B5286A" w:rsidRDefault="00B5286A">
            <w:pPr>
              <w:jc w:val="center"/>
              <w:rPr>
                <w:rFonts w:eastAsia="Times New Roman"/>
              </w:rPr>
            </w:pPr>
            <w:r>
              <w:rPr>
                <w:rFonts w:eastAsia="Times New Roman"/>
              </w:rPr>
              <w:t>(0.001)</w:t>
            </w:r>
          </w:p>
        </w:tc>
      </w:tr>
      <w:tr w:rsidR="00B5286A" w14:paraId="2D2E5F63" w14:textId="77777777" w:rsidTr="00714654">
        <w:trPr>
          <w:tblCellSpacing w:w="15" w:type="dxa"/>
          <w:jc w:val="center"/>
        </w:trPr>
        <w:tc>
          <w:tcPr>
            <w:tcW w:w="0" w:type="auto"/>
            <w:vAlign w:val="center"/>
            <w:hideMark/>
          </w:tcPr>
          <w:p w14:paraId="1144E503" w14:textId="77777777" w:rsidR="00B5286A" w:rsidRDefault="00B5286A">
            <w:pPr>
              <w:jc w:val="center"/>
              <w:rPr>
                <w:rFonts w:eastAsia="Times New Roman"/>
              </w:rPr>
            </w:pPr>
          </w:p>
        </w:tc>
        <w:tc>
          <w:tcPr>
            <w:tcW w:w="0" w:type="auto"/>
            <w:vAlign w:val="center"/>
            <w:hideMark/>
          </w:tcPr>
          <w:p w14:paraId="1B126EB9" w14:textId="77777777" w:rsidR="00B5286A" w:rsidRDefault="00B5286A">
            <w:pPr>
              <w:rPr>
                <w:rFonts w:eastAsia="Times New Roman"/>
                <w:sz w:val="20"/>
                <w:szCs w:val="20"/>
              </w:rPr>
            </w:pPr>
          </w:p>
        </w:tc>
      </w:tr>
      <w:tr w:rsidR="00B5286A" w14:paraId="25920817" w14:textId="77777777" w:rsidTr="00714654">
        <w:trPr>
          <w:tblCellSpacing w:w="15" w:type="dxa"/>
          <w:jc w:val="center"/>
        </w:trPr>
        <w:tc>
          <w:tcPr>
            <w:tcW w:w="0" w:type="auto"/>
            <w:gridSpan w:val="2"/>
            <w:tcBorders>
              <w:bottom w:val="single" w:sz="6" w:space="0" w:color="000000"/>
            </w:tcBorders>
            <w:vAlign w:val="center"/>
            <w:hideMark/>
          </w:tcPr>
          <w:p w14:paraId="670E2AEF" w14:textId="77777777" w:rsidR="00B5286A" w:rsidRDefault="00B5286A">
            <w:pPr>
              <w:jc w:val="center"/>
              <w:rPr>
                <w:rFonts w:eastAsia="Times New Roman"/>
                <w:sz w:val="20"/>
                <w:szCs w:val="20"/>
              </w:rPr>
            </w:pPr>
          </w:p>
        </w:tc>
      </w:tr>
      <w:tr w:rsidR="00B5286A" w14:paraId="52245535" w14:textId="77777777" w:rsidTr="00714654">
        <w:trPr>
          <w:tblCellSpacing w:w="15" w:type="dxa"/>
          <w:jc w:val="center"/>
        </w:trPr>
        <w:tc>
          <w:tcPr>
            <w:tcW w:w="0" w:type="auto"/>
            <w:vAlign w:val="center"/>
            <w:hideMark/>
          </w:tcPr>
          <w:p w14:paraId="6E4D1818" w14:textId="77777777" w:rsidR="00B5286A" w:rsidRDefault="00B5286A">
            <w:pPr>
              <w:jc w:val="left"/>
              <w:rPr>
                <w:rFonts w:eastAsia="Times New Roman"/>
              </w:rPr>
            </w:pPr>
            <w:r>
              <w:rPr>
                <w:rFonts w:eastAsia="Times New Roman"/>
              </w:rPr>
              <w:t>Observations</w:t>
            </w:r>
          </w:p>
        </w:tc>
        <w:tc>
          <w:tcPr>
            <w:tcW w:w="0" w:type="auto"/>
            <w:vAlign w:val="center"/>
            <w:hideMark/>
          </w:tcPr>
          <w:p w14:paraId="1EA24456" w14:textId="77777777" w:rsidR="00B5286A" w:rsidRDefault="00B5286A">
            <w:pPr>
              <w:jc w:val="center"/>
              <w:rPr>
                <w:rFonts w:eastAsia="Times New Roman"/>
              </w:rPr>
            </w:pPr>
            <w:r>
              <w:rPr>
                <w:rFonts w:eastAsia="Times New Roman"/>
              </w:rPr>
              <w:t>360</w:t>
            </w:r>
          </w:p>
        </w:tc>
      </w:tr>
      <w:tr w:rsidR="00B5286A" w14:paraId="4EA64D95" w14:textId="77777777" w:rsidTr="00714654">
        <w:trPr>
          <w:tblCellSpacing w:w="15" w:type="dxa"/>
          <w:jc w:val="center"/>
        </w:trPr>
        <w:tc>
          <w:tcPr>
            <w:tcW w:w="0" w:type="auto"/>
            <w:vAlign w:val="center"/>
            <w:hideMark/>
          </w:tcPr>
          <w:p w14:paraId="56E5B469" w14:textId="77777777" w:rsidR="00B5286A" w:rsidRDefault="00B5286A">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546F809" w14:textId="77777777" w:rsidR="00B5286A" w:rsidRDefault="00B5286A">
            <w:pPr>
              <w:jc w:val="center"/>
              <w:rPr>
                <w:rFonts w:eastAsia="Times New Roman"/>
              </w:rPr>
            </w:pPr>
            <w:r>
              <w:rPr>
                <w:rFonts w:eastAsia="Times New Roman"/>
              </w:rPr>
              <w:t>0.406</w:t>
            </w:r>
          </w:p>
        </w:tc>
      </w:tr>
      <w:tr w:rsidR="00B5286A" w14:paraId="6F04E9D6" w14:textId="77777777" w:rsidTr="00714654">
        <w:trPr>
          <w:tblCellSpacing w:w="15" w:type="dxa"/>
          <w:jc w:val="center"/>
        </w:trPr>
        <w:tc>
          <w:tcPr>
            <w:tcW w:w="0" w:type="auto"/>
            <w:vAlign w:val="center"/>
            <w:hideMark/>
          </w:tcPr>
          <w:p w14:paraId="5CFB1E93" w14:textId="77777777" w:rsidR="00B5286A" w:rsidRDefault="00B5286A">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28D0D840" w14:textId="77777777" w:rsidR="00B5286A" w:rsidRDefault="00B5286A">
            <w:pPr>
              <w:jc w:val="center"/>
              <w:rPr>
                <w:rFonts w:eastAsia="Times New Roman"/>
              </w:rPr>
            </w:pPr>
            <w:r>
              <w:rPr>
                <w:rFonts w:eastAsia="Times New Roman"/>
              </w:rPr>
              <w:t>0.398</w:t>
            </w:r>
          </w:p>
        </w:tc>
      </w:tr>
      <w:tr w:rsidR="00B5286A" w14:paraId="2A4FE314" w14:textId="77777777" w:rsidTr="00714654">
        <w:trPr>
          <w:tblCellSpacing w:w="15" w:type="dxa"/>
          <w:jc w:val="center"/>
        </w:trPr>
        <w:tc>
          <w:tcPr>
            <w:tcW w:w="0" w:type="auto"/>
            <w:vAlign w:val="center"/>
            <w:hideMark/>
          </w:tcPr>
          <w:p w14:paraId="2A8BA7BC" w14:textId="77777777" w:rsidR="00B5286A" w:rsidRDefault="00B5286A">
            <w:pPr>
              <w:jc w:val="left"/>
              <w:rPr>
                <w:rFonts w:eastAsia="Times New Roman"/>
              </w:rPr>
            </w:pPr>
            <w:r>
              <w:rPr>
                <w:rFonts w:eastAsia="Times New Roman"/>
              </w:rPr>
              <w:t>Residual Std. Error</w:t>
            </w:r>
          </w:p>
        </w:tc>
        <w:tc>
          <w:tcPr>
            <w:tcW w:w="0" w:type="auto"/>
            <w:vAlign w:val="center"/>
            <w:hideMark/>
          </w:tcPr>
          <w:p w14:paraId="4AAEADD7" w14:textId="77777777" w:rsidR="00B5286A" w:rsidRDefault="00B5286A">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354)</w:t>
            </w:r>
          </w:p>
        </w:tc>
      </w:tr>
      <w:tr w:rsidR="00B5286A" w14:paraId="3C72FD09" w14:textId="77777777" w:rsidTr="00714654">
        <w:trPr>
          <w:tblCellSpacing w:w="15" w:type="dxa"/>
          <w:jc w:val="center"/>
        </w:trPr>
        <w:tc>
          <w:tcPr>
            <w:tcW w:w="0" w:type="auto"/>
            <w:vAlign w:val="center"/>
            <w:hideMark/>
          </w:tcPr>
          <w:p w14:paraId="55C7452A" w14:textId="77777777" w:rsidR="00B5286A" w:rsidRDefault="00B5286A">
            <w:pPr>
              <w:jc w:val="left"/>
              <w:rPr>
                <w:rFonts w:eastAsia="Times New Roman"/>
              </w:rPr>
            </w:pPr>
            <w:r>
              <w:rPr>
                <w:rFonts w:eastAsia="Times New Roman"/>
              </w:rPr>
              <w:t>F Statistic</w:t>
            </w:r>
          </w:p>
        </w:tc>
        <w:tc>
          <w:tcPr>
            <w:tcW w:w="0" w:type="auto"/>
            <w:vAlign w:val="center"/>
            <w:hideMark/>
          </w:tcPr>
          <w:p w14:paraId="58B5405C" w14:textId="77777777" w:rsidR="00B5286A" w:rsidRDefault="00B5286A">
            <w:pPr>
              <w:jc w:val="center"/>
              <w:rPr>
                <w:rFonts w:eastAsia="Times New Roman"/>
              </w:rPr>
            </w:pPr>
            <w:r>
              <w:rPr>
                <w:rFonts w:eastAsia="Times New Roman"/>
              </w:rPr>
              <w:t>48.406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5; 354)</w:t>
            </w:r>
          </w:p>
        </w:tc>
      </w:tr>
      <w:tr w:rsidR="00B5286A" w14:paraId="2A6CBDDE" w14:textId="77777777" w:rsidTr="00714654">
        <w:trPr>
          <w:tblCellSpacing w:w="15" w:type="dxa"/>
          <w:jc w:val="center"/>
        </w:trPr>
        <w:tc>
          <w:tcPr>
            <w:tcW w:w="0" w:type="auto"/>
            <w:gridSpan w:val="2"/>
            <w:tcBorders>
              <w:bottom w:val="single" w:sz="6" w:space="0" w:color="000000"/>
            </w:tcBorders>
            <w:vAlign w:val="center"/>
            <w:hideMark/>
          </w:tcPr>
          <w:p w14:paraId="22622687" w14:textId="77777777" w:rsidR="00B5286A" w:rsidRDefault="00B5286A">
            <w:pPr>
              <w:jc w:val="center"/>
              <w:rPr>
                <w:rFonts w:eastAsia="Times New Roman"/>
              </w:rPr>
            </w:pPr>
          </w:p>
        </w:tc>
      </w:tr>
      <w:tr w:rsidR="00B5286A" w14:paraId="769175D8" w14:textId="77777777" w:rsidTr="00714654">
        <w:trPr>
          <w:tblCellSpacing w:w="15" w:type="dxa"/>
          <w:jc w:val="center"/>
        </w:trPr>
        <w:tc>
          <w:tcPr>
            <w:tcW w:w="0" w:type="auto"/>
            <w:vAlign w:val="center"/>
            <w:hideMark/>
          </w:tcPr>
          <w:p w14:paraId="28BCC9AA" w14:textId="77777777" w:rsidR="00B5286A" w:rsidRDefault="00B5286A">
            <w:pPr>
              <w:jc w:val="left"/>
              <w:rPr>
                <w:rFonts w:eastAsia="Times New Roman"/>
              </w:rPr>
            </w:pPr>
            <w:r>
              <w:rPr>
                <w:rStyle w:val="Emphasis"/>
              </w:rPr>
              <w:t>Note:</w:t>
            </w:r>
          </w:p>
        </w:tc>
        <w:tc>
          <w:tcPr>
            <w:tcW w:w="0" w:type="auto"/>
            <w:vAlign w:val="center"/>
            <w:hideMark/>
          </w:tcPr>
          <w:p w14:paraId="6D913454" w14:textId="77777777" w:rsidR="00B5286A" w:rsidRDefault="00B5286A">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51093C92" w:rsidR="000E7A31" w:rsidRDefault="000E7A31" w:rsidP="00714654">
      <w:pPr>
        <w:pStyle w:val="Caption"/>
        <w:keepNext/>
        <w:jc w:val="center"/>
      </w:pPr>
      <w:bookmarkStart w:id="38" w:name="_Ref170051781"/>
      <w:r>
        <w:lastRenderedPageBreak/>
        <w:t xml:space="preserve">Table </w:t>
      </w:r>
      <w:fldSimple w:instr=" SEQ Table \* ARABIC ">
        <w:r w:rsidR="00A2102A">
          <w:rPr>
            <w:noProof/>
          </w:rPr>
          <w:t>12</w:t>
        </w:r>
      </w:fldSimple>
      <w:bookmarkEnd w:id="38"/>
      <w:r>
        <w:rPr>
          <w:noProof/>
        </w:rPr>
        <w:t xml:space="preserve"> Roll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70067B55" w14:textId="77777777" w:rsidTr="009C0FEC">
        <w:trPr>
          <w:tblCellSpacing w:w="15" w:type="dxa"/>
          <w:jc w:val="center"/>
        </w:trPr>
        <w:tc>
          <w:tcPr>
            <w:tcW w:w="0" w:type="auto"/>
            <w:gridSpan w:val="2"/>
            <w:tcBorders>
              <w:bottom w:val="single" w:sz="6" w:space="0" w:color="000000"/>
            </w:tcBorders>
            <w:vAlign w:val="center"/>
            <w:hideMark/>
          </w:tcPr>
          <w:p w14:paraId="14327D88" w14:textId="77777777" w:rsidR="009C0FEC" w:rsidRDefault="009C0FEC">
            <w:pPr>
              <w:rPr>
                <w:sz w:val="20"/>
                <w:szCs w:val="20"/>
              </w:rPr>
            </w:pPr>
          </w:p>
        </w:tc>
      </w:tr>
      <w:tr w:rsidR="009C0FEC" w14:paraId="01C99A20" w14:textId="77777777" w:rsidTr="009C0FEC">
        <w:trPr>
          <w:tblCellSpacing w:w="15" w:type="dxa"/>
          <w:jc w:val="center"/>
        </w:trPr>
        <w:tc>
          <w:tcPr>
            <w:tcW w:w="0" w:type="auto"/>
            <w:vAlign w:val="center"/>
            <w:hideMark/>
          </w:tcPr>
          <w:p w14:paraId="43B65D2C" w14:textId="77777777" w:rsidR="009C0FEC" w:rsidRDefault="009C0FEC">
            <w:pPr>
              <w:jc w:val="center"/>
              <w:rPr>
                <w:rFonts w:eastAsia="Times New Roman"/>
                <w:sz w:val="20"/>
                <w:szCs w:val="20"/>
              </w:rPr>
            </w:pPr>
          </w:p>
        </w:tc>
        <w:tc>
          <w:tcPr>
            <w:tcW w:w="0" w:type="auto"/>
            <w:vAlign w:val="center"/>
            <w:hideMark/>
          </w:tcPr>
          <w:p w14:paraId="46212D09" w14:textId="77777777" w:rsidR="009C0FEC" w:rsidRDefault="009C0FEC">
            <w:pPr>
              <w:jc w:val="center"/>
              <w:rPr>
                <w:rFonts w:eastAsia="Times New Roman"/>
              </w:rPr>
            </w:pPr>
            <w:r>
              <w:rPr>
                <w:rStyle w:val="Emphasis"/>
              </w:rPr>
              <w:t>Dependent variable:</w:t>
            </w:r>
          </w:p>
        </w:tc>
      </w:tr>
      <w:tr w:rsidR="009C0FEC" w14:paraId="08658512" w14:textId="77777777" w:rsidTr="009C0FEC">
        <w:trPr>
          <w:tblCellSpacing w:w="15" w:type="dxa"/>
          <w:jc w:val="center"/>
        </w:trPr>
        <w:tc>
          <w:tcPr>
            <w:tcW w:w="0" w:type="auto"/>
            <w:vAlign w:val="center"/>
            <w:hideMark/>
          </w:tcPr>
          <w:p w14:paraId="2E2A67A9" w14:textId="77777777" w:rsidR="009C0FEC" w:rsidRDefault="009C0FEC">
            <w:pPr>
              <w:jc w:val="center"/>
              <w:rPr>
                <w:rFonts w:eastAsia="Times New Roman"/>
              </w:rPr>
            </w:pPr>
          </w:p>
        </w:tc>
        <w:tc>
          <w:tcPr>
            <w:tcW w:w="0" w:type="auto"/>
            <w:tcBorders>
              <w:bottom w:val="single" w:sz="6" w:space="0" w:color="000000"/>
            </w:tcBorders>
            <w:vAlign w:val="center"/>
            <w:hideMark/>
          </w:tcPr>
          <w:p w14:paraId="2BD7946B" w14:textId="77777777" w:rsidR="009C0FEC" w:rsidRDefault="009C0FEC">
            <w:pPr>
              <w:jc w:val="center"/>
              <w:rPr>
                <w:rFonts w:eastAsia="Times New Roman"/>
                <w:sz w:val="20"/>
                <w:szCs w:val="20"/>
              </w:rPr>
            </w:pPr>
          </w:p>
        </w:tc>
      </w:tr>
      <w:tr w:rsidR="009C0FEC" w14:paraId="1191021E" w14:textId="77777777" w:rsidTr="009C0FEC">
        <w:trPr>
          <w:tblCellSpacing w:w="15" w:type="dxa"/>
          <w:jc w:val="center"/>
        </w:trPr>
        <w:tc>
          <w:tcPr>
            <w:tcW w:w="0" w:type="auto"/>
            <w:vAlign w:val="center"/>
            <w:hideMark/>
          </w:tcPr>
          <w:p w14:paraId="39AEBFDB" w14:textId="77777777" w:rsidR="009C0FEC" w:rsidRDefault="009C0FEC">
            <w:pPr>
              <w:jc w:val="center"/>
              <w:rPr>
                <w:rFonts w:eastAsia="Times New Roman"/>
                <w:sz w:val="20"/>
                <w:szCs w:val="20"/>
              </w:rPr>
            </w:pPr>
          </w:p>
        </w:tc>
        <w:tc>
          <w:tcPr>
            <w:tcW w:w="0" w:type="auto"/>
            <w:vAlign w:val="center"/>
            <w:hideMark/>
          </w:tcPr>
          <w:p w14:paraId="000316DE" w14:textId="77777777" w:rsidR="009C0FEC" w:rsidRDefault="009C0FEC">
            <w:pPr>
              <w:jc w:val="center"/>
              <w:rPr>
                <w:rFonts w:eastAsia="Times New Roman"/>
              </w:rPr>
            </w:pPr>
            <w:r>
              <w:rPr>
                <w:rFonts w:eastAsia="Times New Roman"/>
              </w:rPr>
              <w:t>`Roll Measure`</w:t>
            </w:r>
          </w:p>
        </w:tc>
      </w:tr>
      <w:tr w:rsidR="009C0FEC" w14:paraId="543DA859" w14:textId="77777777" w:rsidTr="009C0FEC">
        <w:trPr>
          <w:tblCellSpacing w:w="15" w:type="dxa"/>
          <w:jc w:val="center"/>
        </w:trPr>
        <w:tc>
          <w:tcPr>
            <w:tcW w:w="0" w:type="auto"/>
            <w:gridSpan w:val="2"/>
            <w:tcBorders>
              <w:bottom w:val="single" w:sz="6" w:space="0" w:color="000000"/>
            </w:tcBorders>
            <w:vAlign w:val="center"/>
            <w:hideMark/>
          </w:tcPr>
          <w:p w14:paraId="030AE69C" w14:textId="77777777" w:rsidR="009C0FEC" w:rsidRDefault="009C0FEC">
            <w:pPr>
              <w:jc w:val="center"/>
              <w:rPr>
                <w:rFonts w:eastAsia="Times New Roman"/>
              </w:rPr>
            </w:pPr>
          </w:p>
        </w:tc>
      </w:tr>
      <w:tr w:rsidR="009C0FEC" w14:paraId="03BF3364" w14:textId="77777777" w:rsidTr="009C0FEC">
        <w:trPr>
          <w:tblCellSpacing w:w="15" w:type="dxa"/>
          <w:jc w:val="center"/>
        </w:trPr>
        <w:tc>
          <w:tcPr>
            <w:tcW w:w="0" w:type="auto"/>
            <w:vAlign w:val="center"/>
            <w:hideMark/>
          </w:tcPr>
          <w:p w14:paraId="5C703AC7" w14:textId="77777777" w:rsidR="009C0FEC" w:rsidRDefault="009C0FEC">
            <w:pPr>
              <w:jc w:val="left"/>
              <w:rPr>
                <w:rFonts w:eastAsia="Times New Roman"/>
              </w:rPr>
            </w:pPr>
            <w:r>
              <w:rPr>
                <w:rFonts w:eastAsia="Times New Roman"/>
              </w:rPr>
              <w:t>Group</w:t>
            </w:r>
          </w:p>
        </w:tc>
        <w:tc>
          <w:tcPr>
            <w:tcW w:w="0" w:type="auto"/>
            <w:vAlign w:val="center"/>
            <w:hideMark/>
          </w:tcPr>
          <w:p w14:paraId="588BBC2F" w14:textId="77777777" w:rsidR="009C0FEC" w:rsidRDefault="009C0FEC">
            <w:pPr>
              <w:jc w:val="center"/>
              <w:rPr>
                <w:rFonts w:eastAsia="Times New Roman"/>
              </w:rPr>
            </w:pPr>
            <w:r>
              <w:rPr>
                <w:rFonts w:eastAsia="Times New Roman"/>
              </w:rPr>
              <w:t>0.363</w:t>
            </w:r>
            <w:r>
              <w:rPr>
                <w:rFonts w:eastAsia="Times New Roman"/>
                <w:vertAlign w:val="superscript"/>
              </w:rPr>
              <w:t>***</w:t>
            </w:r>
          </w:p>
        </w:tc>
      </w:tr>
      <w:tr w:rsidR="009C0FEC" w14:paraId="7CD456DC" w14:textId="77777777" w:rsidTr="009C0FEC">
        <w:trPr>
          <w:tblCellSpacing w:w="15" w:type="dxa"/>
          <w:jc w:val="center"/>
        </w:trPr>
        <w:tc>
          <w:tcPr>
            <w:tcW w:w="0" w:type="auto"/>
            <w:vAlign w:val="center"/>
            <w:hideMark/>
          </w:tcPr>
          <w:p w14:paraId="59232E69" w14:textId="77777777" w:rsidR="009C0FEC" w:rsidRDefault="009C0FEC">
            <w:pPr>
              <w:jc w:val="center"/>
              <w:rPr>
                <w:rFonts w:eastAsia="Times New Roman"/>
              </w:rPr>
            </w:pPr>
          </w:p>
        </w:tc>
        <w:tc>
          <w:tcPr>
            <w:tcW w:w="0" w:type="auto"/>
            <w:vAlign w:val="center"/>
            <w:hideMark/>
          </w:tcPr>
          <w:p w14:paraId="35B85CFE" w14:textId="77777777" w:rsidR="009C0FEC" w:rsidRDefault="009C0FEC">
            <w:pPr>
              <w:jc w:val="center"/>
              <w:rPr>
                <w:rFonts w:eastAsia="Times New Roman"/>
              </w:rPr>
            </w:pPr>
            <w:r>
              <w:rPr>
                <w:rFonts w:eastAsia="Times New Roman"/>
              </w:rPr>
              <w:t>(0.078)</w:t>
            </w:r>
          </w:p>
        </w:tc>
      </w:tr>
      <w:tr w:rsidR="009C0FEC" w14:paraId="207BB445" w14:textId="77777777" w:rsidTr="009C0FEC">
        <w:trPr>
          <w:tblCellSpacing w:w="15" w:type="dxa"/>
          <w:jc w:val="center"/>
        </w:trPr>
        <w:tc>
          <w:tcPr>
            <w:tcW w:w="0" w:type="auto"/>
            <w:vAlign w:val="center"/>
            <w:hideMark/>
          </w:tcPr>
          <w:p w14:paraId="791526E9" w14:textId="77777777" w:rsidR="009C0FEC" w:rsidRDefault="009C0FEC">
            <w:pPr>
              <w:jc w:val="center"/>
              <w:rPr>
                <w:rFonts w:eastAsia="Times New Roman"/>
              </w:rPr>
            </w:pPr>
          </w:p>
        </w:tc>
        <w:tc>
          <w:tcPr>
            <w:tcW w:w="0" w:type="auto"/>
            <w:vAlign w:val="center"/>
            <w:hideMark/>
          </w:tcPr>
          <w:p w14:paraId="3B82B58D" w14:textId="77777777" w:rsidR="009C0FEC" w:rsidRDefault="009C0FEC">
            <w:pPr>
              <w:rPr>
                <w:rFonts w:eastAsia="Times New Roman"/>
                <w:sz w:val="20"/>
                <w:szCs w:val="20"/>
              </w:rPr>
            </w:pPr>
          </w:p>
        </w:tc>
      </w:tr>
      <w:tr w:rsidR="009C0FEC" w14:paraId="0DB3D2D4" w14:textId="77777777" w:rsidTr="009C0FEC">
        <w:trPr>
          <w:tblCellSpacing w:w="15" w:type="dxa"/>
          <w:jc w:val="center"/>
        </w:trPr>
        <w:tc>
          <w:tcPr>
            <w:tcW w:w="0" w:type="auto"/>
            <w:vAlign w:val="center"/>
            <w:hideMark/>
          </w:tcPr>
          <w:p w14:paraId="44BF90EF" w14:textId="77777777" w:rsidR="009C0FEC" w:rsidRDefault="009C0FEC">
            <w:pPr>
              <w:jc w:val="left"/>
              <w:rPr>
                <w:rFonts w:eastAsia="Times New Roman"/>
              </w:rPr>
            </w:pPr>
            <w:r>
              <w:rPr>
                <w:rFonts w:eastAsia="Times New Roman"/>
              </w:rPr>
              <w:t>Period</w:t>
            </w:r>
          </w:p>
        </w:tc>
        <w:tc>
          <w:tcPr>
            <w:tcW w:w="0" w:type="auto"/>
            <w:vAlign w:val="center"/>
            <w:hideMark/>
          </w:tcPr>
          <w:p w14:paraId="042800D0" w14:textId="77777777" w:rsidR="009C0FEC" w:rsidRDefault="009C0FEC">
            <w:pPr>
              <w:jc w:val="center"/>
              <w:rPr>
                <w:rFonts w:eastAsia="Times New Roman"/>
              </w:rPr>
            </w:pPr>
            <w:r>
              <w:rPr>
                <w:rFonts w:eastAsia="Times New Roman"/>
              </w:rPr>
              <w:t>0.010</w:t>
            </w:r>
          </w:p>
        </w:tc>
      </w:tr>
      <w:tr w:rsidR="009C0FEC" w14:paraId="549755BE" w14:textId="77777777" w:rsidTr="009C0FEC">
        <w:trPr>
          <w:tblCellSpacing w:w="15" w:type="dxa"/>
          <w:jc w:val="center"/>
        </w:trPr>
        <w:tc>
          <w:tcPr>
            <w:tcW w:w="0" w:type="auto"/>
            <w:vAlign w:val="center"/>
            <w:hideMark/>
          </w:tcPr>
          <w:p w14:paraId="46ABC962" w14:textId="77777777" w:rsidR="009C0FEC" w:rsidRDefault="009C0FEC">
            <w:pPr>
              <w:jc w:val="center"/>
              <w:rPr>
                <w:rFonts w:eastAsia="Times New Roman"/>
              </w:rPr>
            </w:pPr>
          </w:p>
        </w:tc>
        <w:tc>
          <w:tcPr>
            <w:tcW w:w="0" w:type="auto"/>
            <w:vAlign w:val="center"/>
            <w:hideMark/>
          </w:tcPr>
          <w:p w14:paraId="4759A18C" w14:textId="77777777" w:rsidR="009C0FEC" w:rsidRDefault="009C0FEC">
            <w:pPr>
              <w:jc w:val="center"/>
              <w:rPr>
                <w:rFonts w:eastAsia="Times New Roman"/>
              </w:rPr>
            </w:pPr>
            <w:r>
              <w:rPr>
                <w:rFonts w:eastAsia="Times New Roman"/>
              </w:rPr>
              <w:t>(0.086)</w:t>
            </w:r>
          </w:p>
        </w:tc>
      </w:tr>
      <w:tr w:rsidR="009C0FEC" w14:paraId="2197970C" w14:textId="77777777" w:rsidTr="009C0FEC">
        <w:trPr>
          <w:tblCellSpacing w:w="15" w:type="dxa"/>
          <w:jc w:val="center"/>
        </w:trPr>
        <w:tc>
          <w:tcPr>
            <w:tcW w:w="0" w:type="auto"/>
            <w:vAlign w:val="center"/>
            <w:hideMark/>
          </w:tcPr>
          <w:p w14:paraId="4CC14AB7" w14:textId="77777777" w:rsidR="009C0FEC" w:rsidRDefault="009C0FEC">
            <w:pPr>
              <w:jc w:val="center"/>
              <w:rPr>
                <w:rFonts w:eastAsia="Times New Roman"/>
              </w:rPr>
            </w:pPr>
          </w:p>
        </w:tc>
        <w:tc>
          <w:tcPr>
            <w:tcW w:w="0" w:type="auto"/>
            <w:vAlign w:val="center"/>
            <w:hideMark/>
          </w:tcPr>
          <w:p w14:paraId="2E5C2F84" w14:textId="77777777" w:rsidR="009C0FEC" w:rsidRDefault="009C0FEC">
            <w:pPr>
              <w:rPr>
                <w:rFonts w:eastAsia="Times New Roman"/>
                <w:sz w:val="20"/>
                <w:szCs w:val="20"/>
              </w:rPr>
            </w:pPr>
          </w:p>
        </w:tc>
      </w:tr>
      <w:tr w:rsidR="009C0FEC" w14:paraId="6D5AFB10" w14:textId="77777777" w:rsidTr="009C0FEC">
        <w:trPr>
          <w:tblCellSpacing w:w="15" w:type="dxa"/>
          <w:jc w:val="center"/>
        </w:trPr>
        <w:tc>
          <w:tcPr>
            <w:tcW w:w="0" w:type="auto"/>
            <w:vAlign w:val="center"/>
            <w:hideMark/>
          </w:tcPr>
          <w:p w14:paraId="4F8A74C2" w14:textId="77777777" w:rsidR="009C0FEC" w:rsidRDefault="009C0FEC">
            <w:pPr>
              <w:jc w:val="left"/>
              <w:rPr>
                <w:rFonts w:eastAsia="Times New Roman"/>
              </w:rPr>
            </w:pPr>
            <w:r>
              <w:rPr>
                <w:rFonts w:eastAsia="Times New Roman"/>
              </w:rPr>
              <w:t>Tenor (5 years)</w:t>
            </w:r>
          </w:p>
        </w:tc>
        <w:tc>
          <w:tcPr>
            <w:tcW w:w="0" w:type="auto"/>
            <w:vAlign w:val="center"/>
            <w:hideMark/>
          </w:tcPr>
          <w:p w14:paraId="0DAE28AC" w14:textId="77777777" w:rsidR="009C0FEC" w:rsidRDefault="009C0FEC">
            <w:pPr>
              <w:jc w:val="center"/>
              <w:rPr>
                <w:rFonts w:eastAsia="Times New Roman"/>
              </w:rPr>
            </w:pPr>
            <w:r>
              <w:rPr>
                <w:rFonts w:eastAsia="Times New Roman"/>
              </w:rPr>
              <w:t>0.118</w:t>
            </w:r>
            <w:r>
              <w:rPr>
                <w:rFonts w:eastAsia="Times New Roman"/>
                <w:vertAlign w:val="superscript"/>
              </w:rPr>
              <w:t>**</w:t>
            </w:r>
          </w:p>
        </w:tc>
      </w:tr>
      <w:tr w:rsidR="009C0FEC" w14:paraId="08D1A2C1" w14:textId="77777777" w:rsidTr="009C0FEC">
        <w:trPr>
          <w:tblCellSpacing w:w="15" w:type="dxa"/>
          <w:jc w:val="center"/>
        </w:trPr>
        <w:tc>
          <w:tcPr>
            <w:tcW w:w="0" w:type="auto"/>
            <w:vAlign w:val="center"/>
            <w:hideMark/>
          </w:tcPr>
          <w:p w14:paraId="565E97F0" w14:textId="77777777" w:rsidR="009C0FEC" w:rsidRDefault="009C0FEC">
            <w:pPr>
              <w:jc w:val="center"/>
              <w:rPr>
                <w:rFonts w:eastAsia="Times New Roman"/>
              </w:rPr>
            </w:pPr>
          </w:p>
        </w:tc>
        <w:tc>
          <w:tcPr>
            <w:tcW w:w="0" w:type="auto"/>
            <w:vAlign w:val="center"/>
            <w:hideMark/>
          </w:tcPr>
          <w:p w14:paraId="05F7A716" w14:textId="77777777" w:rsidR="009C0FEC" w:rsidRDefault="009C0FEC">
            <w:pPr>
              <w:jc w:val="center"/>
              <w:rPr>
                <w:rFonts w:eastAsia="Times New Roman"/>
              </w:rPr>
            </w:pPr>
            <w:r>
              <w:rPr>
                <w:rFonts w:eastAsia="Times New Roman"/>
              </w:rPr>
              <w:t>(0.055)</w:t>
            </w:r>
          </w:p>
        </w:tc>
      </w:tr>
      <w:tr w:rsidR="009C0FEC" w14:paraId="1CA70B10" w14:textId="77777777" w:rsidTr="009C0FEC">
        <w:trPr>
          <w:tblCellSpacing w:w="15" w:type="dxa"/>
          <w:jc w:val="center"/>
        </w:trPr>
        <w:tc>
          <w:tcPr>
            <w:tcW w:w="0" w:type="auto"/>
            <w:vAlign w:val="center"/>
            <w:hideMark/>
          </w:tcPr>
          <w:p w14:paraId="6D5D7C95" w14:textId="77777777" w:rsidR="009C0FEC" w:rsidRDefault="009C0FEC">
            <w:pPr>
              <w:jc w:val="center"/>
              <w:rPr>
                <w:rFonts w:eastAsia="Times New Roman"/>
              </w:rPr>
            </w:pPr>
          </w:p>
        </w:tc>
        <w:tc>
          <w:tcPr>
            <w:tcW w:w="0" w:type="auto"/>
            <w:vAlign w:val="center"/>
            <w:hideMark/>
          </w:tcPr>
          <w:p w14:paraId="3681625B" w14:textId="77777777" w:rsidR="009C0FEC" w:rsidRDefault="009C0FEC">
            <w:pPr>
              <w:rPr>
                <w:rFonts w:eastAsia="Times New Roman"/>
                <w:sz w:val="20"/>
                <w:szCs w:val="20"/>
              </w:rPr>
            </w:pPr>
          </w:p>
        </w:tc>
      </w:tr>
      <w:tr w:rsidR="009C0FEC" w14:paraId="0DCCDE0F" w14:textId="77777777" w:rsidTr="009C0FEC">
        <w:trPr>
          <w:tblCellSpacing w:w="15" w:type="dxa"/>
          <w:jc w:val="center"/>
        </w:trPr>
        <w:tc>
          <w:tcPr>
            <w:tcW w:w="0" w:type="auto"/>
            <w:vAlign w:val="center"/>
            <w:hideMark/>
          </w:tcPr>
          <w:p w14:paraId="4F601BA9" w14:textId="77777777" w:rsidR="009C0FEC" w:rsidRDefault="009C0FEC">
            <w:pPr>
              <w:jc w:val="left"/>
              <w:rPr>
                <w:rFonts w:eastAsia="Times New Roman"/>
              </w:rPr>
            </w:pPr>
            <w:r>
              <w:rPr>
                <w:rFonts w:eastAsia="Times New Roman"/>
              </w:rPr>
              <w:t>Tenor (10 years)</w:t>
            </w:r>
          </w:p>
        </w:tc>
        <w:tc>
          <w:tcPr>
            <w:tcW w:w="0" w:type="auto"/>
            <w:vAlign w:val="center"/>
            <w:hideMark/>
          </w:tcPr>
          <w:p w14:paraId="3511FABC" w14:textId="77777777" w:rsidR="009C0FEC" w:rsidRDefault="009C0FEC">
            <w:pPr>
              <w:jc w:val="center"/>
              <w:rPr>
                <w:rFonts w:eastAsia="Times New Roman"/>
              </w:rPr>
            </w:pPr>
            <w:r>
              <w:rPr>
                <w:rFonts w:eastAsia="Times New Roman"/>
              </w:rPr>
              <w:t>-0.087</w:t>
            </w:r>
          </w:p>
        </w:tc>
      </w:tr>
      <w:tr w:rsidR="009C0FEC" w14:paraId="716E8C4D" w14:textId="77777777" w:rsidTr="009C0FEC">
        <w:trPr>
          <w:tblCellSpacing w:w="15" w:type="dxa"/>
          <w:jc w:val="center"/>
        </w:trPr>
        <w:tc>
          <w:tcPr>
            <w:tcW w:w="0" w:type="auto"/>
            <w:vAlign w:val="center"/>
            <w:hideMark/>
          </w:tcPr>
          <w:p w14:paraId="076F9E2C" w14:textId="77777777" w:rsidR="009C0FEC" w:rsidRDefault="009C0FEC">
            <w:pPr>
              <w:jc w:val="center"/>
              <w:rPr>
                <w:rFonts w:eastAsia="Times New Roman"/>
              </w:rPr>
            </w:pPr>
          </w:p>
        </w:tc>
        <w:tc>
          <w:tcPr>
            <w:tcW w:w="0" w:type="auto"/>
            <w:vAlign w:val="center"/>
            <w:hideMark/>
          </w:tcPr>
          <w:p w14:paraId="6013C4B7" w14:textId="77777777" w:rsidR="009C0FEC" w:rsidRDefault="009C0FEC">
            <w:pPr>
              <w:jc w:val="center"/>
              <w:rPr>
                <w:rFonts w:eastAsia="Times New Roman"/>
              </w:rPr>
            </w:pPr>
            <w:r>
              <w:rPr>
                <w:rFonts w:eastAsia="Times New Roman"/>
              </w:rPr>
              <w:t>(0.058)</w:t>
            </w:r>
          </w:p>
        </w:tc>
      </w:tr>
      <w:tr w:rsidR="009C0FEC" w14:paraId="1E06DFDE" w14:textId="77777777" w:rsidTr="009C0FEC">
        <w:trPr>
          <w:tblCellSpacing w:w="15" w:type="dxa"/>
          <w:jc w:val="center"/>
        </w:trPr>
        <w:tc>
          <w:tcPr>
            <w:tcW w:w="0" w:type="auto"/>
            <w:vAlign w:val="center"/>
            <w:hideMark/>
          </w:tcPr>
          <w:p w14:paraId="39094E6C" w14:textId="77777777" w:rsidR="009C0FEC" w:rsidRDefault="009C0FEC">
            <w:pPr>
              <w:jc w:val="center"/>
              <w:rPr>
                <w:rFonts w:eastAsia="Times New Roman"/>
              </w:rPr>
            </w:pPr>
          </w:p>
        </w:tc>
        <w:tc>
          <w:tcPr>
            <w:tcW w:w="0" w:type="auto"/>
            <w:vAlign w:val="center"/>
            <w:hideMark/>
          </w:tcPr>
          <w:p w14:paraId="35126704" w14:textId="77777777" w:rsidR="009C0FEC" w:rsidRDefault="009C0FEC">
            <w:pPr>
              <w:rPr>
                <w:rFonts w:eastAsia="Times New Roman"/>
                <w:sz w:val="20"/>
                <w:szCs w:val="20"/>
              </w:rPr>
            </w:pPr>
          </w:p>
        </w:tc>
      </w:tr>
      <w:tr w:rsidR="009C0FEC" w14:paraId="4B0DBF53" w14:textId="77777777" w:rsidTr="009C0FEC">
        <w:trPr>
          <w:tblCellSpacing w:w="15" w:type="dxa"/>
          <w:jc w:val="center"/>
        </w:trPr>
        <w:tc>
          <w:tcPr>
            <w:tcW w:w="0" w:type="auto"/>
            <w:vAlign w:val="center"/>
            <w:hideMark/>
          </w:tcPr>
          <w:p w14:paraId="08C71235" w14:textId="77777777" w:rsidR="009C0FEC" w:rsidRDefault="009C0FEC">
            <w:pPr>
              <w:jc w:val="left"/>
              <w:rPr>
                <w:rFonts w:eastAsia="Times New Roman"/>
              </w:rPr>
            </w:pPr>
            <w:r>
              <w:rPr>
                <w:rFonts w:eastAsia="Times New Roman"/>
              </w:rPr>
              <w:t>Stock market index</w:t>
            </w:r>
          </w:p>
        </w:tc>
        <w:tc>
          <w:tcPr>
            <w:tcW w:w="0" w:type="auto"/>
            <w:vAlign w:val="center"/>
            <w:hideMark/>
          </w:tcPr>
          <w:p w14:paraId="58122477" w14:textId="77777777" w:rsidR="009C0FEC" w:rsidRDefault="009C0FEC">
            <w:pPr>
              <w:jc w:val="center"/>
              <w:rPr>
                <w:rFonts w:eastAsia="Times New Roman"/>
              </w:rPr>
            </w:pPr>
            <w:r>
              <w:rPr>
                <w:rFonts w:eastAsia="Times New Roman"/>
              </w:rPr>
              <w:t>4.385</w:t>
            </w:r>
          </w:p>
        </w:tc>
      </w:tr>
      <w:tr w:rsidR="009C0FEC" w14:paraId="08C670D1" w14:textId="77777777" w:rsidTr="009C0FEC">
        <w:trPr>
          <w:tblCellSpacing w:w="15" w:type="dxa"/>
          <w:jc w:val="center"/>
        </w:trPr>
        <w:tc>
          <w:tcPr>
            <w:tcW w:w="0" w:type="auto"/>
            <w:vAlign w:val="center"/>
            <w:hideMark/>
          </w:tcPr>
          <w:p w14:paraId="6971A1AD" w14:textId="77777777" w:rsidR="009C0FEC" w:rsidRDefault="009C0FEC">
            <w:pPr>
              <w:jc w:val="center"/>
              <w:rPr>
                <w:rFonts w:eastAsia="Times New Roman"/>
              </w:rPr>
            </w:pPr>
          </w:p>
        </w:tc>
        <w:tc>
          <w:tcPr>
            <w:tcW w:w="0" w:type="auto"/>
            <w:vAlign w:val="center"/>
            <w:hideMark/>
          </w:tcPr>
          <w:p w14:paraId="47545179" w14:textId="77777777" w:rsidR="009C0FEC" w:rsidRDefault="009C0FEC">
            <w:pPr>
              <w:jc w:val="center"/>
              <w:rPr>
                <w:rFonts w:eastAsia="Times New Roman"/>
              </w:rPr>
            </w:pPr>
            <w:r>
              <w:rPr>
                <w:rFonts w:eastAsia="Times New Roman"/>
              </w:rPr>
              <w:t>(3.401)</w:t>
            </w:r>
          </w:p>
        </w:tc>
      </w:tr>
      <w:tr w:rsidR="009C0FEC" w14:paraId="54F62D48" w14:textId="77777777" w:rsidTr="009C0FEC">
        <w:trPr>
          <w:tblCellSpacing w:w="15" w:type="dxa"/>
          <w:jc w:val="center"/>
        </w:trPr>
        <w:tc>
          <w:tcPr>
            <w:tcW w:w="0" w:type="auto"/>
            <w:vAlign w:val="center"/>
            <w:hideMark/>
          </w:tcPr>
          <w:p w14:paraId="3FE2BDF2" w14:textId="77777777" w:rsidR="009C0FEC" w:rsidRDefault="009C0FEC">
            <w:pPr>
              <w:jc w:val="center"/>
              <w:rPr>
                <w:rFonts w:eastAsia="Times New Roman"/>
              </w:rPr>
            </w:pPr>
          </w:p>
        </w:tc>
        <w:tc>
          <w:tcPr>
            <w:tcW w:w="0" w:type="auto"/>
            <w:vAlign w:val="center"/>
            <w:hideMark/>
          </w:tcPr>
          <w:p w14:paraId="789DB358" w14:textId="77777777" w:rsidR="009C0FEC" w:rsidRDefault="009C0FEC">
            <w:pPr>
              <w:rPr>
                <w:rFonts w:eastAsia="Times New Roman"/>
                <w:sz w:val="20"/>
                <w:szCs w:val="20"/>
              </w:rPr>
            </w:pPr>
          </w:p>
        </w:tc>
      </w:tr>
      <w:tr w:rsidR="009C0FEC" w14:paraId="1E47BE97" w14:textId="77777777" w:rsidTr="009C0FEC">
        <w:trPr>
          <w:tblCellSpacing w:w="15" w:type="dxa"/>
          <w:jc w:val="center"/>
        </w:trPr>
        <w:tc>
          <w:tcPr>
            <w:tcW w:w="0" w:type="auto"/>
            <w:vAlign w:val="center"/>
            <w:hideMark/>
          </w:tcPr>
          <w:p w14:paraId="0333F5CE" w14:textId="77777777" w:rsidR="009C0FEC" w:rsidRDefault="009C0FEC">
            <w:pPr>
              <w:jc w:val="left"/>
              <w:rPr>
                <w:rFonts w:eastAsia="Times New Roman"/>
              </w:rPr>
            </w:pPr>
            <w:r>
              <w:rPr>
                <w:rFonts w:eastAsia="Times New Roman"/>
              </w:rPr>
              <w:t>Volatility index</w:t>
            </w:r>
          </w:p>
        </w:tc>
        <w:tc>
          <w:tcPr>
            <w:tcW w:w="0" w:type="auto"/>
            <w:vAlign w:val="center"/>
            <w:hideMark/>
          </w:tcPr>
          <w:p w14:paraId="7B69A0B8" w14:textId="77777777" w:rsidR="009C0FEC" w:rsidRDefault="009C0FEC">
            <w:pPr>
              <w:jc w:val="center"/>
              <w:rPr>
                <w:rFonts w:eastAsia="Times New Roman"/>
              </w:rPr>
            </w:pPr>
            <w:r>
              <w:rPr>
                <w:rFonts w:eastAsia="Times New Roman"/>
              </w:rPr>
              <w:t>0.027</w:t>
            </w:r>
            <w:r>
              <w:rPr>
                <w:rFonts w:eastAsia="Times New Roman"/>
                <w:vertAlign w:val="superscript"/>
              </w:rPr>
              <w:t>*</w:t>
            </w:r>
          </w:p>
        </w:tc>
      </w:tr>
      <w:tr w:rsidR="009C0FEC" w14:paraId="4EB2567E" w14:textId="77777777" w:rsidTr="009C0FEC">
        <w:trPr>
          <w:tblCellSpacing w:w="15" w:type="dxa"/>
          <w:jc w:val="center"/>
        </w:trPr>
        <w:tc>
          <w:tcPr>
            <w:tcW w:w="0" w:type="auto"/>
            <w:vAlign w:val="center"/>
            <w:hideMark/>
          </w:tcPr>
          <w:p w14:paraId="4167681E" w14:textId="77777777" w:rsidR="009C0FEC" w:rsidRDefault="009C0FEC">
            <w:pPr>
              <w:jc w:val="center"/>
              <w:rPr>
                <w:rFonts w:eastAsia="Times New Roman"/>
              </w:rPr>
            </w:pPr>
          </w:p>
        </w:tc>
        <w:tc>
          <w:tcPr>
            <w:tcW w:w="0" w:type="auto"/>
            <w:vAlign w:val="center"/>
            <w:hideMark/>
          </w:tcPr>
          <w:p w14:paraId="371228C1" w14:textId="77777777" w:rsidR="009C0FEC" w:rsidRDefault="009C0FEC">
            <w:pPr>
              <w:jc w:val="center"/>
              <w:rPr>
                <w:rFonts w:eastAsia="Times New Roman"/>
              </w:rPr>
            </w:pPr>
            <w:r>
              <w:rPr>
                <w:rFonts w:eastAsia="Times New Roman"/>
              </w:rPr>
              <w:t>(0.015)</w:t>
            </w:r>
          </w:p>
        </w:tc>
      </w:tr>
      <w:tr w:rsidR="009C0FEC" w14:paraId="54A7187B" w14:textId="77777777" w:rsidTr="009C0FEC">
        <w:trPr>
          <w:tblCellSpacing w:w="15" w:type="dxa"/>
          <w:jc w:val="center"/>
        </w:trPr>
        <w:tc>
          <w:tcPr>
            <w:tcW w:w="0" w:type="auto"/>
            <w:vAlign w:val="center"/>
            <w:hideMark/>
          </w:tcPr>
          <w:p w14:paraId="2AAD0C92" w14:textId="77777777" w:rsidR="009C0FEC" w:rsidRDefault="009C0FEC">
            <w:pPr>
              <w:jc w:val="center"/>
              <w:rPr>
                <w:rFonts w:eastAsia="Times New Roman"/>
              </w:rPr>
            </w:pPr>
          </w:p>
        </w:tc>
        <w:tc>
          <w:tcPr>
            <w:tcW w:w="0" w:type="auto"/>
            <w:vAlign w:val="center"/>
            <w:hideMark/>
          </w:tcPr>
          <w:p w14:paraId="4BC80CFD" w14:textId="77777777" w:rsidR="009C0FEC" w:rsidRDefault="009C0FEC">
            <w:pPr>
              <w:rPr>
                <w:rFonts w:eastAsia="Times New Roman"/>
                <w:sz w:val="20"/>
                <w:szCs w:val="20"/>
              </w:rPr>
            </w:pPr>
          </w:p>
        </w:tc>
      </w:tr>
      <w:tr w:rsidR="009C0FEC" w14:paraId="799476AE" w14:textId="77777777" w:rsidTr="009C0FEC">
        <w:trPr>
          <w:tblCellSpacing w:w="15" w:type="dxa"/>
          <w:jc w:val="center"/>
        </w:trPr>
        <w:tc>
          <w:tcPr>
            <w:tcW w:w="0" w:type="auto"/>
            <w:vAlign w:val="center"/>
            <w:hideMark/>
          </w:tcPr>
          <w:p w14:paraId="296306F8" w14:textId="77777777" w:rsidR="009C0FEC" w:rsidRDefault="009C0FEC">
            <w:pPr>
              <w:jc w:val="left"/>
              <w:rPr>
                <w:rFonts w:eastAsia="Times New Roman"/>
              </w:rPr>
            </w:pPr>
            <w:r>
              <w:rPr>
                <w:rFonts w:eastAsia="Times New Roman"/>
              </w:rPr>
              <w:t>Group*Period</w:t>
            </w:r>
          </w:p>
        </w:tc>
        <w:tc>
          <w:tcPr>
            <w:tcW w:w="0" w:type="auto"/>
            <w:vAlign w:val="center"/>
            <w:hideMark/>
          </w:tcPr>
          <w:p w14:paraId="570F1B3A" w14:textId="77777777" w:rsidR="009C0FEC" w:rsidRDefault="009C0FEC">
            <w:pPr>
              <w:jc w:val="center"/>
              <w:rPr>
                <w:rFonts w:eastAsia="Times New Roman"/>
              </w:rPr>
            </w:pPr>
            <w:r>
              <w:rPr>
                <w:rFonts w:eastAsia="Times New Roman"/>
              </w:rPr>
              <w:t>-0.087</w:t>
            </w:r>
          </w:p>
        </w:tc>
      </w:tr>
      <w:tr w:rsidR="009C0FEC" w14:paraId="15D45304" w14:textId="77777777" w:rsidTr="009C0FEC">
        <w:trPr>
          <w:tblCellSpacing w:w="15" w:type="dxa"/>
          <w:jc w:val="center"/>
        </w:trPr>
        <w:tc>
          <w:tcPr>
            <w:tcW w:w="0" w:type="auto"/>
            <w:vAlign w:val="center"/>
            <w:hideMark/>
          </w:tcPr>
          <w:p w14:paraId="4F99DFA8" w14:textId="77777777" w:rsidR="009C0FEC" w:rsidRDefault="009C0FEC">
            <w:pPr>
              <w:jc w:val="center"/>
              <w:rPr>
                <w:rFonts w:eastAsia="Times New Roman"/>
              </w:rPr>
            </w:pPr>
          </w:p>
        </w:tc>
        <w:tc>
          <w:tcPr>
            <w:tcW w:w="0" w:type="auto"/>
            <w:vAlign w:val="center"/>
            <w:hideMark/>
          </w:tcPr>
          <w:p w14:paraId="5D25FFD4" w14:textId="77777777" w:rsidR="009C0FEC" w:rsidRDefault="009C0FEC">
            <w:pPr>
              <w:jc w:val="center"/>
              <w:rPr>
                <w:rFonts w:eastAsia="Times New Roman"/>
              </w:rPr>
            </w:pPr>
            <w:r>
              <w:rPr>
                <w:rFonts w:eastAsia="Times New Roman"/>
              </w:rPr>
              <w:t>(0.101)</w:t>
            </w:r>
          </w:p>
        </w:tc>
      </w:tr>
      <w:tr w:rsidR="009C0FEC" w14:paraId="158A5B50" w14:textId="77777777" w:rsidTr="009C0FEC">
        <w:trPr>
          <w:tblCellSpacing w:w="15" w:type="dxa"/>
          <w:jc w:val="center"/>
        </w:trPr>
        <w:tc>
          <w:tcPr>
            <w:tcW w:w="0" w:type="auto"/>
            <w:vAlign w:val="center"/>
            <w:hideMark/>
          </w:tcPr>
          <w:p w14:paraId="0D81829E" w14:textId="77777777" w:rsidR="009C0FEC" w:rsidRDefault="009C0FEC">
            <w:pPr>
              <w:jc w:val="center"/>
              <w:rPr>
                <w:rFonts w:eastAsia="Times New Roman"/>
              </w:rPr>
            </w:pPr>
          </w:p>
        </w:tc>
        <w:tc>
          <w:tcPr>
            <w:tcW w:w="0" w:type="auto"/>
            <w:vAlign w:val="center"/>
            <w:hideMark/>
          </w:tcPr>
          <w:p w14:paraId="3C7CA9C9" w14:textId="77777777" w:rsidR="009C0FEC" w:rsidRDefault="009C0FEC">
            <w:pPr>
              <w:rPr>
                <w:rFonts w:eastAsia="Times New Roman"/>
                <w:sz w:val="20"/>
                <w:szCs w:val="20"/>
              </w:rPr>
            </w:pPr>
          </w:p>
        </w:tc>
      </w:tr>
      <w:tr w:rsidR="009C0FEC" w14:paraId="17664A15" w14:textId="77777777" w:rsidTr="009C0FEC">
        <w:trPr>
          <w:tblCellSpacing w:w="15" w:type="dxa"/>
          <w:jc w:val="center"/>
        </w:trPr>
        <w:tc>
          <w:tcPr>
            <w:tcW w:w="0" w:type="auto"/>
            <w:vAlign w:val="center"/>
            <w:hideMark/>
          </w:tcPr>
          <w:p w14:paraId="77DDD6FD" w14:textId="77777777" w:rsidR="009C0FEC" w:rsidRDefault="009C0FEC">
            <w:pPr>
              <w:jc w:val="left"/>
              <w:rPr>
                <w:rFonts w:eastAsia="Times New Roman"/>
              </w:rPr>
            </w:pPr>
            <w:r>
              <w:rPr>
                <w:rFonts w:eastAsia="Times New Roman"/>
              </w:rPr>
              <w:t>Constant</w:t>
            </w:r>
          </w:p>
        </w:tc>
        <w:tc>
          <w:tcPr>
            <w:tcW w:w="0" w:type="auto"/>
            <w:vAlign w:val="center"/>
            <w:hideMark/>
          </w:tcPr>
          <w:p w14:paraId="148D9A54" w14:textId="77777777" w:rsidR="009C0FEC" w:rsidRDefault="009C0FEC">
            <w:pPr>
              <w:jc w:val="center"/>
              <w:rPr>
                <w:rFonts w:eastAsia="Times New Roman"/>
              </w:rPr>
            </w:pPr>
            <w:r>
              <w:rPr>
                <w:rFonts w:eastAsia="Times New Roman"/>
              </w:rPr>
              <w:t>-0.370</w:t>
            </w:r>
            <w:r>
              <w:rPr>
                <w:rFonts w:eastAsia="Times New Roman"/>
                <w:vertAlign w:val="superscript"/>
              </w:rPr>
              <w:t>*</w:t>
            </w:r>
          </w:p>
        </w:tc>
      </w:tr>
      <w:tr w:rsidR="009C0FEC" w14:paraId="706FBDAE" w14:textId="77777777" w:rsidTr="009C0FEC">
        <w:trPr>
          <w:tblCellSpacing w:w="15" w:type="dxa"/>
          <w:jc w:val="center"/>
        </w:trPr>
        <w:tc>
          <w:tcPr>
            <w:tcW w:w="0" w:type="auto"/>
            <w:vAlign w:val="center"/>
            <w:hideMark/>
          </w:tcPr>
          <w:p w14:paraId="4A34B8A2" w14:textId="77777777" w:rsidR="009C0FEC" w:rsidRDefault="009C0FEC">
            <w:pPr>
              <w:jc w:val="center"/>
              <w:rPr>
                <w:rFonts w:eastAsia="Times New Roman"/>
              </w:rPr>
            </w:pPr>
          </w:p>
        </w:tc>
        <w:tc>
          <w:tcPr>
            <w:tcW w:w="0" w:type="auto"/>
            <w:vAlign w:val="center"/>
            <w:hideMark/>
          </w:tcPr>
          <w:p w14:paraId="639BF0BF" w14:textId="77777777" w:rsidR="009C0FEC" w:rsidRDefault="009C0FEC">
            <w:pPr>
              <w:jc w:val="center"/>
              <w:rPr>
                <w:rFonts w:eastAsia="Times New Roman"/>
              </w:rPr>
            </w:pPr>
            <w:r>
              <w:rPr>
                <w:rFonts w:eastAsia="Times New Roman"/>
              </w:rPr>
              <w:t>(0.212)</w:t>
            </w:r>
          </w:p>
        </w:tc>
      </w:tr>
      <w:tr w:rsidR="009C0FEC" w14:paraId="7BC340F5" w14:textId="77777777" w:rsidTr="009C0FEC">
        <w:trPr>
          <w:tblCellSpacing w:w="15" w:type="dxa"/>
          <w:jc w:val="center"/>
        </w:trPr>
        <w:tc>
          <w:tcPr>
            <w:tcW w:w="0" w:type="auto"/>
            <w:vAlign w:val="center"/>
            <w:hideMark/>
          </w:tcPr>
          <w:p w14:paraId="09CCA471" w14:textId="77777777" w:rsidR="009C0FEC" w:rsidRDefault="009C0FEC">
            <w:pPr>
              <w:jc w:val="center"/>
              <w:rPr>
                <w:rFonts w:eastAsia="Times New Roman"/>
              </w:rPr>
            </w:pPr>
          </w:p>
        </w:tc>
        <w:tc>
          <w:tcPr>
            <w:tcW w:w="0" w:type="auto"/>
            <w:vAlign w:val="center"/>
            <w:hideMark/>
          </w:tcPr>
          <w:p w14:paraId="0ACD29A4" w14:textId="77777777" w:rsidR="009C0FEC" w:rsidRDefault="009C0FEC">
            <w:pPr>
              <w:rPr>
                <w:rFonts w:eastAsia="Times New Roman"/>
                <w:sz w:val="20"/>
                <w:szCs w:val="20"/>
              </w:rPr>
            </w:pPr>
          </w:p>
        </w:tc>
      </w:tr>
      <w:tr w:rsidR="009C0FEC" w14:paraId="6CC7E16F" w14:textId="77777777" w:rsidTr="009C0FEC">
        <w:trPr>
          <w:tblCellSpacing w:w="15" w:type="dxa"/>
          <w:jc w:val="center"/>
        </w:trPr>
        <w:tc>
          <w:tcPr>
            <w:tcW w:w="0" w:type="auto"/>
            <w:gridSpan w:val="2"/>
            <w:tcBorders>
              <w:bottom w:val="single" w:sz="6" w:space="0" w:color="000000"/>
            </w:tcBorders>
            <w:vAlign w:val="center"/>
            <w:hideMark/>
          </w:tcPr>
          <w:p w14:paraId="0C9FE2AE" w14:textId="77777777" w:rsidR="009C0FEC" w:rsidRDefault="009C0FEC">
            <w:pPr>
              <w:jc w:val="center"/>
              <w:rPr>
                <w:rFonts w:eastAsia="Times New Roman"/>
                <w:sz w:val="20"/>
                <w:szCs w:val="20"/>
              </w:rPr>
            </w:pPr>
          </w:p>
        </w:tc>
      </w:tr>
      <w:tr w:rsidR="009C0FEC" w14:paraId="2FA94111" w14:textId="77777777" w:rsidTr="009C0FEC">
        <w:trPr>
          <w:tblCellSpacing w:w="15" w:type="dxa"/>
          <w:jc w:val="center"/>
        </w:trPr>
        <w:tc>
          <w:tcPr>
            <w:tcW w:w="0" w:type="auto"/>
            <w:vAlign w:val="center"/>
            <w:hideMark/>
          </w:tcPr>
          <w:p w14:paraId="4B205051" w14:textId="77777777" w:rsidR="009C0FEC" w:rsidRDefault="009C0FEC">
            <w:pPr>
              <w:jc w:val="left"/>
              <w:rPr>
                <w:rFonts w:eastAsia="Times New Roman"/>
              </w:rPr>
            </w:pPr>
            <w:r>
              <w:rPr>
                <w:rFonts w:eastAsia="Times New Roman"/>
              </w:rPr>
              <w:t>Observations</w:t>
            </w:r>
          </w:p>
        </w:tc>
        <w:tc>
          <w:tcPr>
            <w:tcW w:w="0" w:type="auto"/>
            <w:vAlign w:val="center"/>
            <w:hideMark/>
          </w:tcPr>
          <w:p w14:paraId="31B609F8" w14:textId="77777777" w:rsidR="009C0FEC" w:rsidRDefault="009C0FEC">
            <w:pPr>
              <w:jc w:val="center"/>
              <w:rPr>
                <w:rFonts w:eastAsia="Times New Roman"/>
              </w:rPr>
            </w:pPr>
            <w:r>
              <w:rPr>
                <w:rFonts w:eastAsia="Times New Roman"/>
              </w:rPr>
              <w:t>236</w:t>
            </w:r>
          </w:p>
        </w:tc>
      </w:tr>
      <w:tr w:rsidR="009C0FEC" w14:paraId="7C267AF9" w14:textId="77777777" w:rsidTr="009C0FEC">
        <w:trPr>
          <w:tblCellSpacing w:w="15" w:type="dxa"/>
          <w:jc w:val="center"/>
        </w:trPr>
        <w:tc>
          <w:tcPr>
            <w:tcW w:w="0" w:type="auto"/>
            <w:vAlign w:val="center"/>
            <w:hideMark/>
          </w:tcPr>
          <w:p w14:paraId="0B31F814" w14:textId="77777777" w:rsidR="009C0FEC" w:rsidRDefault="009C0FEC">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706D502" w14:textId="77777777" w:rsidR="009C0FEC" w:rsidRDefault="009C0FEC">
            <w:pPr>
              <w:jc w:val="center"/>
              <w:rPr>
                <w:rFonts w:eastAsia="Times New Roman"/>
              </w:rPr>
            </w:pPr>
            <w:r>
              <w:rPr>
                <w:rFonts w:eastAsia="Times New Roman"/>
              </w:rPr>
              <w:t>0.219</w:t>
            </w:r>
          </w:p>
        </w:tc>
      </w:tr>
      <w:tr w:rsidR="009C0FEC" w14:paraId="3B458771" w14:textId="77777777" w:rsidTr="009C0FEC">
        <w:trPr>
          <w:tblCellSpacing w:w="15" w:type="dxa"/>
          <w:jc w:val="center"/>
        </w:trPr>
        <w:tc>
          <w:tcPr>
            <w:tcW w:w="0" w:type="auto"/>
            <w:vAlign w:val="center"/>
            <w:hideMark/>
          </w:tcPr>
          <w:p w14:paraId="6B48AD12" w14:textId="77777777" w:rsidR="009C0FEC" w:rsidRDefault="009C0FEC">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E248D17" w14:textId="77777777" w:rsidR="009C0FEC" w:rsidRDefault="009C0FEC">
            <w:pPr>
              <w:jc w:val="center"/>
              <w:rPr>
                <w:rFonts w:eastAsia="Times New Roman"/>
              </w:rPr>
            </w:pPr>
            <w:r>
              <w:rPr>
                <w:rFonts w:eastAsia="Times New Roman"/>
              </w:rPr>
              <w:t>0.195</w:t>
            </w:r>
          </w:p>
        </w:tc>
      </w:tr>
      <w:tr w:rsidR="009C0FEC" w14:paraId="51BF4BBC" w14:textId="77777777" w:rsidTr="009C0FEC">
        <w:trPr>
          <w:tblCellSpacing w:w="15" w:type="dxa"/>
          <w:jc w:val="center"/>
        </w:trPr>
        <w:tc>
          <w:tcPr>
            <w:tcW w:w="0" w:type="auto"/>
            <w:vAlign w:val="center"/>
            <w:hideMark/>
          </w:tcPr>
          <w:p w14:paraId="7569DCF4" w14:textId="77777777" w:rsidR="009C0FEC" w:rsidRDefault="009C0FEC">
            <w:pPr>
              <w:jc w:val="left"/>
              <w:rPr>
                <w:rFonts w:eastAsia="Times New Roman"/>
              </w:rPr>
            </w:pPr>
            <w:r>
              <w:rPr>
                <w:rFonts w:eastAsia="Times New Roman"/>
              </w:rPr>
              <w:t>Residual Std. Error</w:t>
            </w:r>
          </w:p>
        </w:tc>
        <w:tc>
          <w:tcPr>
            <w:tcW w:w="0" w:type="auto"/>
            <w:vAlign w:val="center"/>
            <w:hideMark/>
          </w:tcPr>
          <w:p w14:paraId="794E73D9" w14:textId="77777777" w:rsidR="009C0FEC" w:rsidRDefault="009C0FEC">
            <w:pPr>
              <w:jc w:val="center"/>
              <w:rPr>
                <w:rFonts w:eastAsia="Times New Roman"/>
              </w:rPr>
            </w:pPr>
            <w:r>
              <w:rPr>
                <w:rFonts w:eastAsia="Times New Roman"/>
              </w:rPr>
              <w:t>0.345 (</w:t>
            </w:r>
            <w:proofErr w:type="spellStart"/>
            <w:r>
              <w:rPr>
                <w:rFonts w:eastAsia="Times New Roman"/>
              </w:rPr>
              <w:t>df</w:t>
            </w:r>
            <w:proofErr w:type="spellEnd"/>
            <w:r>
              <w:rPr>
                <w:rFonts w:eastAsia="Times New Roman"/>
              </w:rPr>
              <w:t xml:space="preserve"> = 228)</w:t>
            </w:r>
          </w:p>
        </w:tc>
      </w:tr>
      <w:tr w:rsidR="009C0FEC" w14:paraId="5AD0E8DB" w14:textId="77777777" w:rsidTr="009C0FEC">
        <w:trPr>
          <w:tblCellSpacing w:w="15" w:type="dxa"/>
          <w:jc w:val="center"/>
        </w:trPr>
        <w:tc>
          <w:tcPr>
            <w:tcW w:w="0" w:type="auto"/>
            <w:vAlign w:val="center"/>
            <w:hideMark/>
          </w:tcPr>
          <w:p w14:paraId="32C94789" w14:textId="77777777" w:rsidR="009C0FEC" w:rsidRDefault="009C0FEC">
            <w:pPr>
              <w:jc w:val="left"/>
              <w:rPr>
                <w:rFonts w:eastAsia="Times New Roman"/>
              </w:rPr>
            </w:pPr>
            <w:r>
              <w:rPr>
                <w:rFonts w:eastAsia="Times New Roman"/>
              </w:rPr>
              <w:t>F Statistic</w:t>
            </w:r>
          </w:p>
        </w:tc>
        <w:tc>
          <w:tcPr>
            <w:tcW w:w="0" w:type="auto"/>
            <w:vAlign w:val="center"/>
            <w:hideMark/>
          </w:tcPr>
          <w:p w14:paraId="6ECA1D3F" w14:textId="77777777" w:rsidR="009C0FEC" w:rsidRDefault="009C0FEC">
            <w:pPr>
              <w:jc w:val="center"/>
              <w:rPr>
                <w:rFonts w:eastAsia="Times New Roman"/>
              </w:rPr>
            </w:pPr>
            <w:r>
              <w:rPr>
                <w:rFonts w:eastAsia="Times New Roman"/>
              </w:rPr>
              <w:t>9.137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228)</w:t>
            </w:r>
          </w:p>
        </w:tc>
      </w:tr>
      <w:tr w:rsidR="009C0FEC" w14:paraId="6374A0F3" w14:textId="77777777" w:rsidTr="009C0FEC">
        <w:trPr>
          <w:tblCellSpacing w:w="15" w:type="dxa"/>
          <w:jc w:val="center"/>
        </w:trPr>
        <w:tc>
          <w:tcPr>
            <w:tcW w:w="0" w:type="auto"/>
            <w:gridSpan w:val="2"/>
            <w:tcBorders>
              <w:bottom w:val="single" w:sz="6" w:space="0" w:color="000000"/>
            </w:tcBorders>
            <w:vAlign w:val="center"/>
            <w:hideMark/>
          </w:tcPr>
          <w:p w14:paraId="1B81F3DA" w14:textId="77777777" w:rsidR="009C0FEC" w:rsidRDefault="009C0FEC">
            <w:pPr>
              <w:jc w:val="center"/>
              <w:rPr>
                <w:rFonts w:eastAsia="Times New Roman"/>
              </w:rPr>
            </w:pPr>
          </w:p>
        </w:tc>
      </w:tr>
      <w:tr w:rsidR="009C0FEC" w14:paraId="35DF1B30" w14:textId="77777777" w:rsidTr="009C0FEC">
        <w:trPr>
          <w:tblCellSpacing w:w="15" w:type="dxa"/>
          <w:jc w:val="center"/>
        </w:trPr>
        <w:tc>
          <w:tcPr>
            <w:tcW w:w="0" w:type="auto"/>
            <w:vAlign w:val="center"/>
            <w:hideMark/>
          </w:tcPr>
          <w:p w14:paraId="0C4F714F" w14:textId="77777777" w:rsidR="009C0FEC" w:rsidRDefault="009C0FEC">
            <w:pPr>
              <w:jc w:val="left"/>
              <w:rPr>
                <w:rFonts w:eastAsia="Times New Roman"/>
              </w:rPr>
            </w:pPr>
            <w:r>
              <w:rPr>
                <w:rStyle w:val="Emphasis"/>
              </w:rPr>
              <w:t>Note:</w:t>
            </w:r>
          </w:p>
        </w:tc>
        <w:tc>
          <w:tcPr>
            <w:tcW w:w="0" w:type="auto"/>
            <w:vAlign w:val="center"/>
            <w:hideMark/>
          </w:tcPr>
          <w:p w14:paraId="5EBA8DCF" w14:textId="77777777" w:rsidR="009C0FEC" w:rsidRDefault="009C0FEC">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lastRenderedPageBreak/>
        <w:br w:type="page"/>
      </w:r>
    </w:p>
    <w:p w14:paraId="1232B5B3" w14:textId="48DD0F4D" w:rsidR="000E7A31" w:rsidRDefault="000E7A31" w:rsidP="00714654">
      <w:pPr>
        <w:pStyle w:val="Caption"/>
        <w:keepNext/>
        <w:jc w:val="center"/>
      </w:pPr>
      <w:bookmarkStart w:id="39" w:name="_Ref170051786"/>
      <w:r>
        <w:lastRenderedPageBreak/>
        <w:t xml:space="preserve">Table </w:t>
      </w:r>
      <w:fldSimple w:instr=" SEQ Table \* ARABIC ">
        <w:r w:rsidR="00A2102A">
          <w:rPr>
            <w:noProof/>
          </w:rPr>
          <w:t>13</w:t>
        </w:r>
      </w:fldSimple>
      <w:bookmarkEnd w:id="39"/>
      <w:r>
        <w:rPr>
          <w:noProof/>
        </w:rPr>
        <w:t xml:space="preserve"> Amihud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4525BD8E" w14:textId="77777777" w:rsidTr="009C0FEC">
        <w:trPr>
          <w:tblCellSpacing w:w="15" w:type="dxa"/>
          <w:jc w:val="center"/>
        </w:trPr>
        <w:tc>
          <w:tcPr>
            <w:tcW w:w="0" w:type="auto"/>
            <w:gridSpan w:val="2"/>
            <w:tcBorders>
              <w:bottom w:val="single" w:sz="6" w:space="0" w:color="000000"/>
            </w:tcBorders>
            <w:vAlign w:val="center"/>
            <w:hideMark/>
          </w:tcPr>
          <w:p w14:paraId="477741D7" w14:textId="77777777" w:rsidR="009C0FEC" w:rsidRDefault="009C0FEC">
            <w:pPr>
              <w:rPr>
                <w:sz w:val="20"/>
                <w:szCs w:val="20"/>
              </w:rPr>
            </w:pPr>
          </w:p>
        </w:tc>
      </w:tr>
      <w:tr w:rsidR="009C0FEC" w14:paraId="2D2DCDDE" w14:textId="77777777" w:rsidTr="009C0FEC">
        <w:trPr>
          <w:tblCellSpacing w:w="15" w:type="dxa"/>
          <w:jc w:val="center"/>
        </w:trPr>
        <w:tc>
          <w:tcPr>
            <w:tcW w:w="0" w:type="auto"/>
            <w:vAlign w:val="center"/>
            <w:hideMark/>
          </w:tcPr>
          <w:p w14:paraId="53E5D25E" w14:textId="77777777" w:rsidR="009C0FEC" w:rsidRDefault="009C0FEC">
            <w:pPr>
              <w:jc w:val="center"/>
              <w:rPr>
                <w:rFonts w:eastAsia="Times New Roman"/>
                <w:sz w:val="20"/>
                <w:szCs w:val="20"/>
              </w:rPr>
            </w:pPr>
          </w:p>
        </w:tc>
        <w:tc>
          <w:tcPr>
            <w:tcW w:w="0" w:type="auto"/>
            <w:vAlign w:val="center"/>
            <w:hideMark/>
          </w:tcPr>
          <w:p w14:paraId="32C43B90" w14:textId="77777777" w:rsidR="009C0FEC" w:rsidRDefault="009C0FEC">
            <w:pPr>
              <w:jc w:val="center"/>
              <w:rPr>
                <w:rFonts w:eastAsia="Times New Roman"/>
              </w:rPr>
            </w:pPr>
            <w:r>
              <w:rPr>
                <w:rStyle w:val="Emphasis"/>
              </w:rPr>
              <w:t>Dependent variable:</w:t>
            </w:r>
          </w:p>
        </w:tc>
      </w:tr>
      <w:tr w:rsidR="009C0FEC" w14:paraId="072E1C00" w14:textId="77777777" w:rsidTr="009C0FEC">
        <w:trPr>
          <w:tblCellSpacing w:w="15" w:type="dxa"/>
          <w:jc w:val="center"/>
        </w:trPr>
        <w:tc>
          <w:tcPr>
            <w:tcW w:w="0" w:type="auto"/>
            <w:vAlign w:val="center"/>
            <w:hideMark/>
          </w:tcPr>
          <w:p w14:paraId="513F8D39" w14:textId="77777777" w:rsidR="009C0FEC" w:rsidRDefault="009C0FEC">
            <w:pPr>
              <w:jc w:val="center"/>
              <w:rPr>
                <w:rFonts w:eastAsia="Times New Roman"/>
              </w:rPr>
            </w:pPr>
          </w:p>
        </w:tc>
        <w:tc>
          <w:tcPr>
            <w:tcW w:w="0" w:type="auto"/>
            <w:tcBorders>
              <w:bottom w:val="single" w:sz="6" w:space="0" w:color="000000"/>
            </w:tcBorders>
            <w:vAlign w:val="center"/>
            <w:hideMark/>
          </w:tcPr>
          <w:p w14:paraId="0E1999CE" w14:textId="77777777" w:rsidR="009C0FEC" w:rsidRDefault="009C0FEC">
            <w:pPr>
              <w:jc w:val="center"/>
              <w:rPr>
                <w:rFonts w:eastAsia="Times New Roman"/>
                <w:sz w:val="20"/>
                <w:szCs w:val="20"/>
              </w:rPr>
            </w:pPr>
          </w:p>
        </w:tc>
      </w:tr>
      <w:tr w:rsidR="009C0FEC" w14:paraId="3DB7318C" w14:textId="77777777" w:rsidTr="009C0FEC">
        <w:trPr>
          <w:tblCellSpacing w:w="15" w:type="dxa"/>
          <w:jc w:val="center"/>
        </w:trPr>
        <w:tc>
          <w:tcPr>
            <w:tcW w:w="0" w:type="auto"/>
            <w:vAlign w:val="center"/>
            <w:hideMark/>
          </w:tcPr>
          <w:p w14:paraId="0EF4ED44" w14:textId="77777777" w:rsidR="009C0FEC" w:rsidRDefault="009C0FEC">
            <w:pPr>
              <w:jc w:val="center"/>
              <w:rPr>
                <w:rFonts w:eastAsia="Times New Roman"/>
                <w:sz w:val="20"/>
                <w:szCs w:val="20"/>
              </w:rPr>
            </w:pPr>
          </w:p>
        </w:tc>
        <w:tc>
          <w:tcPr>
            <w:tcW w:w="0" w:type="auto"/>
            <w:vAlign w:val="center"/>
            <w:hideMark/>
          </w:tcPr>
          <w:p w14:paraId="653F0532" w14:textId="68104072" w:rsidR="009C0FEC" w:rsidRDefault="009C0FEC">
            <w:pPr>
              <w:jc w:val="center"/>
              <w:rPr>
                <w:rFonts w:eastAsia="Times New Roman"/>
              </w:rPr>
            </w:pPr>
            <w:r>
              <w:rPr>
                <w:rFonts w:eastAsia="Times New Roman"/>
              </w:rPr>
              <w:t>Amihud Measure</w:t>
            </w:r>
          </w:p>
        </w:tc>
      </w:tr>
      <w:tr w:rsidR="009C0FEC" w14:paraId="3C03A332" w14:textId="77777777" w:rsidTr="009C0FEC">
        <w:trPr>
          <w:tblCellSpacing w:w="15" w:type="dxa"/>
          <w:jc w:val="center"/>
        </w:trPr>
        <w:tc>
          <w:tcPr>
            <w:tcW w:w="0" w:type="auto"/>
            <w:gridSpan w:val="2"/>
            <w:tcBorders>
              <w:bottom w:val="single" w:sz="6" w:space="0" w:color="000000"/>
            </w:tcBorders>
            <w:vAlign w:val="center"/>
            <w:hideMark/>
          </w:tcPr>
          <w:p w14:paraId="37F48E4B" w14:textId="77777777" w:rsidR="009C0FEC" w:rsidRDefault="009C0FEC">
            <w:pPr>
              <w:jc w:val="center"/>
              <w:rPr>
                <w:rFonts w:eastAsia="Times New Roman"/>
              </w:rPr>
            </w:pPr>
          </w:p>
        </w:tc>
      </w:tr>
      <w:tr w:rsidR="009C0FEC" w14:paraId="5F417257" w14:textId="77777777" w:rsidTr="009C0FEC">
        <w:trPr>
          <w:tblCellSpacing w:w="15" w:type="dxa"/>
          <w:jc w:val="center"/>
        </w:trPr>
        <w:tc>
          <w:tcPr>
            <w:tcW w:w="0" w:type="auto"/>
            <w:vAlign w:val="center"/>
            <w:hideMark/>
          </w:tcPr>
          <w:p w14:paraId="729887BB" w14:textId="77777777" w:rsidR="009C0FEC" w:rsidRDefault="009C0FEC">
            <w:pPr>
              <w:jc w:val="left"/>
              <w:rPr>
                <w:rFonts w:eastAsia="Times New Roman"/>
              </w:rPr>
            </w:pPr>
            <w:r>
              <w:rPr>
                <w:rFonts w:eastAsia="Times New Roman"/>
              </w:rPr>
              <w:t>Group</w:t>
            </w:r>
          </w:p>
        </w:tc>
        <w:tc>
          <w:tcPr>
            <w:tcW w:w="0" w:type="auto"/>
            <w:vAlign w:val="center"/>
            <w:hideMark/>
          </w:tcPr>
          <w:p w14:paraId="609C1794" w14:textId="77777777" w:rsidR="009C0FEC" w:rsidRDefault="009C0FEC">
            <w:pPr>
              <w:jc w:val="center"/>
              <w:rPr>
                <w:rFonts w:eastAsia="Times New Roman"/>
              </w:rPr>
            </w:pPr>
            <w:r>
              <w:rPr>
                <w:rFonts w:eastAsia="Times New Roman"/>
              </w:rPr>
              <w:t>-10.347</w:t>
            </w:r>
            <w:r>
              <w:rPr>
                <w:rFonts w:eastAsia="Times New Roman"/>
                <w:vertAlign w:val="superscript"/>
              </w:rPr>
              <w:t>***</w:t>
            </w:r>
          </w:p>
        </w:tc>
      </w:tr>
      <w:tr w:rsidR="009C0FEC" w14:paraId="05D80B4A" w14:textId="77777777" w:rsidTr="009C0FEC">
        <w:trPr>
          <w:tblCellSpacing w:w="15" w:type="dxa"/>
          <w:jc w:val="center"/>
        </w:trPr>
        <w:tc>
          <w:tcPr>
            <w:tcW w:w="0" w:type="auto"/>
            <w:vAlign w:val="center"/>
            <w:hideMark/>
          </w:tcPr>
          <w:p w14:paraId="6CCC4AD2" w14:textId="77777777" w:rsidR="009C0FEC" w:rsidRDefault="009C0FEC">
            <w:pPr>
              <w:jc w:val="center"/>
              <w:rPr>
                <w:rFonts w:eastAsia="Times New Roman"/>
              </w:rPr>
            </w:pPr>
          </w:p>
        </w:tc>
        <w:tc>
          <w:tcPr>
            <w:tcW w:w="0" w:type="auto"/>
            <w:vAlign w:val="center"/>
            <w:hideMark/>
          </w:tcPr>
          <w:p w14:paraId="745F449C" w14:textId="77777777" w:rsidR="009C0FEC" w:rsidRDefault="009C0FEC">
            <w:pPr>
              <w:jc w:val="center"/>
              <w:rPr>
                <w:rFonts w:eastAsia="Times New Roman"/>
              </w:rPr>
            </w:pPr>
            <w:r>
              <w:rPr>
                <w:rFonts w:eastAsia="Times New Roman"/>
              </w:rPr>
              <w:t>(3.305)</w:t>
            </w:r>
          </w:p>
        </w:tc>
      </w:tr>
      <w:tr w:rsidR="009C0FEC" w14:paraId="4072F3E9" w14:textId="77777777" w:rsidTr="009C0FEC">
        <w:trPr>
          <w:tblCellSpacing w:w="15" w:type="dxa"/>
          <w:jc w:val="center"/>
        </w:trPr>
        <w:tc>
          <w:tcPr>
            <w:tcW w:w="0" w:type="auto"/>
            <w:vAlign w:val="center"/>
            <w:hideMark/>
          </w:tcPr>
          <w:p w14:paraId="4C35B7AD" w14:textId="77777777" w:rsidR="009C0FEC" w:rsidRDefault="009C0FEC">
            <w:pPr>
              <w:jc w:val="center"/>
              <w:rPr>
                <w:rFonts w:eastAsia="Times New Roman"/>
              </w:rPr>
            </w:pPr>
          </w:p>
        </w:tc>
        <w:tc>
          <w:tcPr>
            <w:tcW w:w="0" w:type="auto"/>
            <w:vAlign w:val="center"/>
            <w:hideMark/>
          </w:tcPr>
          <w:p w14:paraId="43D43E9D" w14:textId="77777777" w:rsidR="009C0FEC" w:rsidRDefault="009C0FEC">
            <w:pPr>
              <w:rPr>
                <w:rFonts w:eastAsia="Times New Roman"/>
                <w:sz w:val="20"/>
                <w:szCs w:val="20"/>
              </w:rPr>
            </w:pPr>
          </w:p>
        </w:tc>
      </w:tr>
      <w:tr w:rsidR="009C0FEC" w14:paraId="65494141" w14:textId="77777777" w:rsidTr="009C0FEC">
        <w:trPr>
          <w:tblCellSpacing w:w="15" w:type="dxa"/>
          <w:jc w:val="center"/>
        </w:trPr>
        <w:tc>
          <w:tcPr>
            <w:tcW w:w="0" w:type="auto"/>
            <w:vAlign w:val="center"/>
            <w:hideMark/>
          </w:tcPr>
          <w:p w14:paraId="15041A8C" w14:textId="59D57828" w:rsidR="009C0FEC" w:rsidRDefault="0013380F">
            <w:pPr>
              <w:jc w:val="left"/>
              <w:rPr>
                <w:rFonts w:eastAsia="Times New Roman"/>
              </w:rPr>
            </w:pPr>
            <w:r>
              <w:rPr>
                <w:rFonts w:eastAsia="Times New Roman"/>
              </w:rPr>
              <w:t>Period</w:t>
            </w:r>
          </w:p>
        </w:tc>
        <w:tc>
          <w:tcPr>
            <w:tcW w:w="0" w:type="auto"/>
            <w:vAlign w:val="center"/>
            <w:hideMark/>
          </w:tcPr>
          <w:p w14:paraId="597B2BB9" w14:textId="77777777" w:rsidR="009C0FEC" w:rsidRDefault="009C0FEC">
            <w:pPr>
              <w:jc w:val="center"/>
              <w:rPr>
                <w:rFonts w:eastAsia="Times New Roman"/>
              </w:rPr>
            </w:pPr>
            <w:r>
              <w:rPr>
                <w:rFonts w:eastAsia="Times New Roman"/>
              </w:rPr>
              <w:t>3.890</w:t>
            </w:r>
          </w:p>
        </w:tc>
      </w:tr>
      <w:tr w:rsidR="009C0FEC" w14:paraId="6D1C2EFE" w14:textId="77777777" w:rsidTr="009C0FEC">
        <w:trPr>
          <w:tblCellSpacing w:w="15" w:type="dxa"/>
          <w:jc w:val="center"/>
        </w:trPr>
        <w:tc>
          <w:tcPr>
            <w:tcW w:w="0" w:type="auto"/>
            <w:vAlign w:val="center"/>
            <w:hideMark/>
          </w:tcPr>
          <w:p w14:paraId="46594DC7" w14:textId="77777777" w:rsidR="009C0FEC" w:rsidRDefault="009C0FEC">
            <w:pPr>
              <w:jc w:val="center"/>
              <w:rPr>
                <w:rFonts w:eastAsia="Times New Roman"/>
              </w:rPr>
            </w:pPr>
          </w:p>
        </w:tc>
        <w:tc>
          <w:tcPr>
            <w:tcW w:w="0" w:type="auto"/>
            <w:vAlign w:val="center"/>
            <w:hideMark/>
          </w:tcPr>
          <w:p w14:paraId="6B09AC19" w14:textId="77777777" w:rsidR="009C0FEC" w:rsidRDefault="009C0FEC">
            <w:pPr>
              <w:jc w:val="center"/>
              <w:rPr>
                <w:rFonts w:eastAsia="Times New Roman"/>
              </w:rPr>
            </w:pPr>
            <w:r>
              <w:rPr>
                <w:rFonts w:eastAsia="Times New Roman"/>
              </w:rPr>
              <w:t>(3.486)</w:t>
            </w:r>
          </w:p>
        </w:tc>
      </w:tr>
      <w:tr w:rsidR="009C0FEC" w14:paraId="209C549C" w14:textId="77777777" w:rsidTr="009C0FEC">
        <w:trPr>
          <w:tblCellSpacing w:w="15" w:type="dxa"/>
          <w:jc w:val="center"/>
        </w:trPr>
        <w:tc>
          <w:tcPr>
            <w:tcW w:w="0" w:type="auto"/>
            <w:vAlign w:val="center"/>
            <w:hideMark/>
          </w:tcPr>
          <w:p w14:paraId="6D43C679" w14:textId="77777777" w:rsidR="009C0FEC" w:rsidRDefault="009C0FEC">
            <w:pPr>
              <w:jc w:val="center"/>
              <w:rPr>
                <w:rFonts w:eastAsia="Times New Roman"/>
              </w:rPr>
            </w:pPr>
          </w:p>
        </w:tc>
        <w:tc>
          <w:tcPr>
            <w:tcW w:w="0" w:type="auto"/>
            <w:vAlign w:val="center"/>
            <w:hideMark/>
          </w:tcPr>
          <w:p w14:paraId="5C220811" w14:textId="77777777" w:rsidR="009C0FEC" w:rsidRDefault="009C0FEC">
            <w:pPr>
              <w:rPr>
                <w:rFonts w:eastAsia="Times New Roman"/>
                <w:sz w:val="20"/>
                <w:szCs w:val="20"/>
              </w:rPr>
            </w:pPr>
          </w:p>
        </w:tc>
      </w:tr>
      <w:tr w:rsidR="009C0FEC" w14:paraId="35B57386" w14:textId="77777777" w:rsidTr="009C0FEC">
        <w:trPr>
          <w:tblCellSpacing w:w="15" w:type="dxa"/>
          <w:jc w:val="center"/>
        </w:trPr>
        <w:tc>
          <w:tcPr>
            <w:tcW w:w="0" w:type="auto"/>
            <w:vAlign w:val="center"/>
            <w:hideMark/>
          </w:tcPr>
          <w:p w14:paraId="2866B5BF" w14:textId="37E49EB5" w:rsidR="009C0FEC" w:rsidRDefault="00D62943">
            <w:pPr>
              <w:jc w:val="left"/>
              <w:rPr>
                <w:rFonts w:eastAsia="Times New Roman"/>
              </w:rPr>
            </w:pPr>
            <w:r>
              <w:rPr>
                <w:rFonts w:eastAsia="Times New Roman"/>
              </w:rPr>
              <w:t>Tenor (5 years)</w:t>
            </w:r>
          </w:p>
        </w:tc>
        <w:tc>
          <w:tcPr>
            <w:tcW w:w="0" w:type="auto"/>
            <w:vAlign w:val="center"/>
            <w:hideMark/>
          </w:tcPr>
          <w:p w14:paraId="07572866" w14:textId="77777777" w:rsidR="009C0FEC" w:rsidRDefault="009C0FEC">
            <w:pPr>
              <w:jc w:val="center"/>
              <w:rPr>
                <w:rFonts w:eastAsia="Times New Roman"/>
              </w:rPr>
            </w:pPr>
            <w:r>
              <w:rPr>
                <w:rFonts w:eastAsia="Times New Roman"/>
              </w:rPr>
              <w:t>3.011</w:t>
            </w:r>
          </w:p>
        </w:tc>
      </w:tr>
      <w:tr w:rsidR="009C0FEC" w14:paraId="61AFF43A" w14:textId="77777777" w:rsidTr="009C0FEC">
        <w:trPr>
          <w:tblCellSpacing w:w="15" w:type="dxa"/>
          <w:jc w:val="center"/>
        </w:trPr>
        <w:tc>
          <w:tcPr>
            <w:tcW w:w="0" w:type="auto"/>
            <w:vAlign w:val="center"/>
            <w:hideMark/>
          </w:tcPr>
          <w:p w14:paraId="0D1DA470" w14:textId="77777777" w:rsidR="009C0FEC" w:rsidRDefault="009C0FEC">
            <w:pPr>
              <w:jc w:val="center"/>
              <w:rPr>
                <w:rFonts w:eastAsia="Times New Roman"/>
              </w:rPr>
            </w:pPr>
          </w:p>
        </w:tc>
        <w:tc>
          <w:tcPr>
            <w:tcW w:w="0" w:type="auto"/>
            <w:vAlign w:val="center"/>
            <w:hideMark/>
          </w:tcPr>
          <w:p w14:paraId="453A1E79" w14:textId="77777777" w:rsidR="009C0FEC" w:rsidRDefault="009C0FEC">
            <w:pPr>
              <w:jc w:val="center"/>
              <w:rPr>
                <w:rFonts w:eastAsia="Times New Roman"/>
              </w:rPr>
            </w:pPr>
            <w:r>
              <w:rPr>
                <w:rFonts w:eastAsia="Times New Roman"/>
              </w:rPr>
              <w:t>(2.399)</w:t>
            </w:r>
          </w:p>
        </w:tc>
      </w:tr>
      <w:tr w:rsidR="009C0FEC" w14:paraId="7D7D1676" w14:textId="77777777" w:rsidTr="009C0FEC">
        <w:trPr>
          <w:tblCellSpacing w:w="15" w:type="dxa"/>
          <w:jc w:val="center"/>
        </w:trPr>
        <w:tc>
          <w:tcPr>
            <w:tcW w:w="0" w:type="auto"/>
            <w:vAlign w:val="center"/>
            <w:hideMark/>
          </w:tcPr>
          <w:p w14:paraId="363940F8" w14:textId="77777777" w:rsidR="009C0FEC" w:rsidRDefault="009C0FEC">
            <w:pPr>
              <w:jc w:val="center"/>
              <w:rPr>
                <w:rFonts w:eastAsia="Times New Roman"/>
              </w:rPr>
            </w:pPr>
          </w:p>
        </w:tc>
        <w:tc>
          <w:tcPr>
            <w:tcW w:w="0" w:type="auto"/>
            <w:vAlign w:val="center"/>
            <w:hideMark/>
          </w:tcPr>
          <w:p w14:paraId="4D7E3326" w14:textId="77777777" w:rsidR="009C0FEC" w:rsidRDefault="009C0FEC">
            <w:pPr>
              <w:rPr>
                <w:rFonts w:eastAsia="Times New Roman"/>
                <w:sz w:val="20"/>
                <w:szCs w:val="20"/>
              </w:rPr>
            </w:pPr>
          </w:p>
        </w:tc>
      </w:tr>
      <w:tr w:rsidR="009C0FEC" w14:paraId="42655B09" w14:textId="77777777" w:rsidTr="009C0FEC">
        <w:trPr>
          <w:tblCellSpacing w:w="15" w:type="dxa"/>
          <w:jc w:val="center"/>
        </w:trPr>
        <w:tc>
          <w:tcPr>
            <w:tcW w:w="0" w:type="auto"/>
            <w:vAlign w:val="center"/>
            <w:hideMark/>
          </w:tcPr>
          <w:p w14:paraId="42D3AF05" w14:textId="37E7BD72" w:rsidR="009C0FEC" w:rsidRDefault="00D62943">
            <w:pPr>
              <w:jc w:val="left"/>
              <w:rPr>
                <w:rFonts w:eastAsia="Times New Roman"/>
              </w:rPr>
            </w:pPr>
            <w:r>
              <w:rPr>
                <w:rFonts w:eastAsia="Times New Roman"/>
              </w:rPr>
              <w:t>Tenor (10 years)</w:t>
            </w:r>
          </w:p>
        </w:tc>
        <w:tc>
          <w:tcPr>
            <w:tcW w:w="0" w:type="auto"/>
            <w:vAlign w:val="center"/>
            <w:hideMark/>
          </w:tcPr>
          <w:p w14:paraId="4DEE19EC" w14:textId="77777777" w:rsidR="009C0FEC" w:rsidRDefault="009C0FEC">
            <w:pPr>
              <w:jc w:val="center"/>
              <w:rPr>
                <w:rFonts w:eastAsia="Times New Roman"/>
              </w:rPr>
            </w:pPr>
            <w:r>
              <w:rPr>
                <w:rFonts w:eastAsia="Times New Roman"/>
              </w:rPr>
              <w:t>-0.478</w:t>
            </w:r>
          </w:p>
        </w:tc>
      </w:tr>
      <w:tr w:rsidR="009C0FEC" w14:paraId="43AC099B" w14:textId="77777777" w:rsidTr="009C0FEC">
        <w:trPr>
          <w:tblCellSpacing w:w="15" w:type="dxa"/>
          <w:jc w:val="center"/>
        </w:trPr>
        <w:tc>
          <w:tcPr>
            <w:tcW w:w="0" w:type="auto"/>
            <w:vAlign w:val="center"/>
            <w:hideMark/>
          </w:tcPr>
          <w:p w14:paraId="45623C1D" w14:textId="77777777" w:rsidR="009C0FEC" w:rsidRDefault="009C0FEC">
            <w:pPr>
              <w:jc w:val="center"/>
              <w:rPr>
                <w:rFonts w:eastAsia="Times New Roman"/>
              </w:rPr>
            </w:pPr>
          </w:p>
        </w:tc>
        <w:tc>
          <w:tcPr>
            <w:tcW w:w="0" w:type="auto"/>
            <w:vAlign w:val="center"/>
            <w:hideMark/>
          </w:tcPr>
          <w:p w14:paraId="64A90830" w14:textId="77777777" w:rsidR="009C0FEC" w:rsidRDefault="009C0FEC">
            <w:pPr>
              <w:jc w:val="center"/>
              <w:rPr>
                <w:rFonts w:eastAsia="Times New Roman"/>
              </w:rPr>
            </w:pPr>
            <w:r>
              <w:rPr>
                <w:rFonts w:eastAsia="Times New Roman"/>
              </w:rPr>
              <w:t>(2.551)</w:t>
            </w:r>
          </w:p>
        </w:tc>
      </w:tr>
      <w:tr w:rsidR="009C0FEC" w14:paraId="2CF2D06A" w14:textId="77777777" w:rsidTr="009C0FEC">
        <w:trPr>
          <w:tblCellSpacing w:w="15" w:type="dxa"/>
          <w:jc w:val="center"/>
        </w:trPr>
        <w:tc>
          <w:tcPr>
            <w:tcW w:w="0" w:type="auto"/>
            <w:vAlign w:val="center"/>
            <w:hideMark/>
          </w:tcPr>
          <w:p w14:paraId="39F955ED" w14:textId="77777777" w:rsidR="009C0FEC" w:rsidRDefault="009C0FEC">
            <w:pPr>
              <w:jc w:val="center"/>
              <w:rPr>
                <w:rFonts w:eastAsia="Times New Roman"/>
              </w:rPr>
            </w:pPr>
          </w:p>
        </w:tc>
        <w:tc>
          <w:tcPr>
            <w:tcW w:w="0" w:type="auto"/>
            <w:vAlign w:val="center"/>
            <w:hideMark/>
          </w:tcPr>
          <w:p w14:paraId="2D623E0A" w14:textId="77777777" w:rsidR="009C0FEC" w:rsidRDefault="009C0FEC">
            <w:pPr>
              <w:rPr>
                <w:rFonts w:eastAsia="Times New Roman"/>
                <w:sz w:val="20"/>
                <w:szCs w:val="20"/>
              </w:rPr>
            </w:pPr>
          </w:p>
        </w:tc>
      </w:tr>
      <w:tr w:rsidR="009C0FEC" w14:paraId="3B522835" w14:textId="77777777" w:rsidTr="009C0FEC">
        <w:trPr>
          <w:tblCellSpacing w:w="15" w:type="dxa"/>
          <w:jc w:val="center"/>
        </w:trPr>
        <w:tc>
          <w:tcPr>
            <w:tcW w:w="0" w:type="auto"/>
            <w:vAlign w:val="center"/>
            <w:hideMark/>
          </w:tcPr>
          <w:p w14:paraId="7A32309F" w14:textId="6C9DD772" w:rsidR="009C0FEC" w:rsidRDefault="00D62943">
            <w:pPr>
              <w:jc w:val="left"/>
              <w:rPr>
                <w:rFonts w:eastAsia="Times New Roman"/>
              </w:rPr>
            </w:pPr>
            <w:r>
              <w:rPr>
                <w:rFonts w:eastAsia="Times New Roman"/>
              </w:rPr>
              <w:t>S</w:t>
            </w:r>
            <w:r w:rsidR="009C0FEC">
              <w:rPr>
                <w:rFonts w:eastAsia="Times New Roman"/>
              </w:rPr>
              <w:t>tock</w:t>
            </w:r>
            <w:r>
              <w:rPr>
                <w:rFonts w:eastAsia="Times New Roman"/>
              </w:rPr>
              <w:t xml:space="preserve"> market index</w:t>
            </w:r>
          </w:p>
        </w:tc>
        <w:tc>
          <w:tcPr>
            <w:tcW w:w="0" w:type="auto"/>
            <w:vAlign w:val="center"/>
            <w:hideMark/>
          </w:tcPr>
          <w:p w14:paraId="728033DA" w14:textId="77777777" w:rsidR="009C0FEC" w:rsidRDefault="009C0FEC">
            <w:pPr>
              <w:jc w:val="center"/>
              <w:rPr>
                <w:rFonts w:eastAsia="Times New Roman"/>
              </w:rPr>
            </w:pPr>
            <w:r>
              <w:rPr>
                <w:rFonts w:eastAsia="Times New Roman"/>
              </w:rPr>
              <w:t>37.435</w:t>
            </w:r>
          </w:p>
        </w:tc>
      </w:tr>
      <w:tr w:rsidR="009C0FEC" w14:paraId="35F5B5E8" w14:textId="77777777" w:rsidTr="009C0FEC">
        <w:trPr>
          <w:tblCellSpacing w:w="15" w:type="dxa"/>
          <w:jc w:val="center"/>
        </w:trPr>
        <w:tc>
          <w:tcPr>
            <w:tcW w:w="0" w:type="auto"/>
            <w:vAlign w:val="center"/>
            <w:hideMark/>
          </w:tcPr>
          <w:p w14:paraId="59DD5663" w14:textId="77777777" w:rsidR="009C0FEC" w:rsidRDefault="009C0FEC">
            <w:pPr>
              <w:jc w:val="center"/>
              <w:rPr>
                <w:rFonts w:eastAsia="Times New Roman"/>
              </w:rPr>
            </w:pPr>
          </w:p>
        </w:tc>
        <w:tc>
          <w:tcPr>
            <w:tcW w:w="0" w:type="auto"/>
            <w:vAlign w:val="center"/>
            <w:hideMark/>
          </w:tcPr>
          <w:p w14:paraId="1B480BB4" w14:textId="77777777" w:rsidR="009C0FEC" w:rsidRDefault="009C0FEC">
            <w:pPr>
              <w:jc w:val="center"/>
              <w:rPr>
                <w:rFonts w:eastAsia="Times New Roman"/>
              </w:rPr>
            </w:pPr>
            <w:r>
              <w:rPr>
                <w:rFonts w:eastAsia="Times New Roman"/>
              </w:rPr>
              <w:t>(148.396)</w:t>
            </w:r>
          </w:p>
        </w:tc>
      </w:tr>
      <w:tr w:rsidR="009C0FEC" w14:paraId="1C2B021C" w14:textId="77777777" w:rsidTr="009C0FEC">
        <w:trPr>
          <w:tblCellSpacing w:w="15" w:type="dxa"/>
          <w:jc w:val="center"/>
        </w:trPr>
        <w:tc>
          <w:tcPr>
            <w:tcW w:w="0" w:type="auto"/>
            <w:vAlign w:val="center"/>
            <w:hideMark/>
          </w:tcPr>
          <w:p w14:paraId="2E5063FE" w14:textId="77777777" w:rsidR="009C0FEC" w:rsidRDefault="009C0FEC">
            <w:pPr>
              <w:jc w:val="center"/>
              <w:rPr>
                <w:rFonts w:eastAsia="Times New Roman"/>
              </w:rPr>
            </w:pPr>
          </w:p>
        </w:tc>
        <w:tc>
          <w:tcPr>
            <w:tcW w:w="0" w:type="auto"/>
            <w:vAlign w:val="center"/>
            <w:hideMark/>
          </w:tcPr>
          <w:p w14:paraId="5D18D187" w14:textId="77777777" w:rsidR="009C0FEC" w:rsidRDefault="009C0FEC">
            <w:pPr>
              <w:rPr>
                <w:rFonts w:eastAsia="Times New Roman"/>
                <w:sz w:val="20"/>
                <w:szCs w:val="20"/>
              </w:rPr>
            </w:pPr>
          </w:p>
        </w:tc>
      </w:tr>
      <w:tr w:rsidR="009C0FEC" w14:paraId="2BA7C5A0" w14:textId="77777777" w:rsidTr="009C0FEC">
        <w:trPr>
          <w:tblCellSpacing w:w="15" w:type="dxa"/>
          <w:jc w:val="center"/>
        </w:trPr>
        <w:tc>
          <w:tcPr>
            <w:tcW w:w="0" w:type="auto"/>
            <w:vAlign w:val="center"/>
            <w:hideMark/>
          </w:tcPr>
          <w:p w14:paraId="38FCAC63" w14:textId="4DB28E30" w:rsidR="009C0FEC" w:rsidRDefault="00D62943">
            <w:pPr>
              <w:jc w:val="left"/>
              <w:rPr>
                <w:rFonts w:eastAsia="Times New Roman"/>
              </w:rPr>
            </w:pPr>
            <w:r>
              <w:rPr>
                <w:rFonts w:eastAsia="Times New Roman"/>
              </w:rPr>
              <w:t>V</w:t>
            </w:r>
            <w:r w:rsidR="009C0FEC">
              <w:rPr>
                <w:rFonts w:eastAsia="Times New Roman"/>
              </w:rPr>
              <w:t>olatility</w:t>
            </w:r>
            <w:r>
              <w:rPr>
                <w:rFonts w:eastAsia="Times New Roman"/>
              </w:rPr>
              <w:t xml:space="preserve"> index</w:t>
            </w:r>
          </w:p>
        </w:tc>
        <w:tc>
          <w:tcPr>
            <w:tcW w:w="0" w:type="auto"/>
            <w:vAlign w:val="center"/>
            <w:hideMark/>
          </w:tcPr>
          <w:p w14:paraId="506E1EFE" w14:textId="77777777" w:rsidR="009C0FEC" w:rsidRDefault="009C0FEC">
            <w:pPr>
              <w:jc w:val="center"/>
              <w:rPr>
                <w:rFonts w:eastAsia="Times New Roman"/>
              </w:rPr>
            </w:pPr>
            <w:r>
              <w:rPr>
                <w:rFonts w:eastAsia="Times New Roman"/>
              </w:rPr>
              <w:t>0.217</w:t>
            </w:r>
          </w:p>
        </w:tc>
      </w:tr>
      <w:tr w:rsidR="009C0FEC" w14:paraId="613617C7" w14:textId="77777777" w:rsidTr="009C0FEC">
        <w:trPr>
          <w:tblCellSpacing w:w="15" w:type="dxa"/>
          <w:jc w:val="center"/>
        </w:trPr>
        <w:tc>
          <w:tcPr>
            <w:tcW w:w="0" w:type="auto"/>
            <w:vAlign w:val="center"/>
            <w:hideMark/>
          </w:tcPr>
          <w:p w14:paraId="5E554C50" w14:textId="77777777" w:rsidR="009C0FEC" w:rsidRDefault="009C0FEC">
            <w:pPr>
              <w:jc w:val="center"/>
              <w:rPr>
                <w:rFonts w:eastAsia="Times New Roman"/>
              </w:rPr>
            </w:pPr>
          </w:p>
        </w:tc>
        <w:tc>
          <w:tcPr>
            <w:tcW w:w="0" w:type="auto"/>
            <w:vAlign w:val="center"/>
            <w:hideMark/>
          </w:tcPr>
          <w:p w14:paraId="095D73F4" w14:textId="77777777" w:rsidR="009C0FEC" w:rsidRDefault="009C0FEC">
            <w:pPr>
              <w:jc w:val="center"/>
              <w:rPr>
                <w:rFonts w:eastAsia="Times New Roman"/>
              </w:rPr>
            </w:pPr>
            <w:r>
              <w:rPr>
                <w:rFonts w:eastAsia="Times New Roman"/>
              </w:rPr>
              <w:t>(0.665)</w:t>
            </w:r>
          </w:p>
        </w:tc>
      </w:tr>
      <w:tr w:rsidR="009C0FEC" w14:paraId="3405D574" w14:textId="77777777" w:rsidTr="009C0FEC">
        <w:trPr>
          <w:tblCellSpacing w:w="15" w:type="dxa"/>
          <w:jc w:val="center"/>
        </w:trPr>
        <w:tc>
          <w:tcPr>
            <w:tcW w:w="0" w:type="auto"/>
            <w:vAlign w:val="center"/>
            <w:hideMark/>
          </w:tcPr>
          <w:p w14:paraId="733B19B6" w14:textId="77777777" w:rsidR="009C0FEC" w:rsidRDefault="009C0FEC">
            <w:pPr>
              <w:jc w:val="center"/>
              <w:rPr>
                <w:rFonts w:eastAsia="Times New Roman"/>
              </w:rPr>
            </w:pPr>
          </w:p>
        </w:tc>
        <w:tc>
          <w:tcPr>
            <w:tcW w:w="0" w:type="auto"/>
            <w:vAlign w:val="center"/>
            <w:hideMark/>
          </w:tcPr>
          <w:p w14:paraId="3D5654F3" w14:textId="77777777" w:rsidR="009C0FEC" w:rsidRDefault="009C0FEC">
            <w:pPr>
              <w:rPr>
                <w:rFonts w:eastAsia="Times New Roman"/>
                <w:sz w:val="20"/>
                <w:szCs w:val="20"/>
              </w:rPr>
            </w:pPr>
          </w:p>
        </w:tc>
      </w:tr>
      <w:tr w:rsidR="009C0FEC" w14:paraId="026B5848" w14:textId="77777777" w:rsidTr="009C0FEC">
        <w:trPr>
          <w:tblCellSpacing w:w="15" w:type="dxa"/>
          <w:jc w:val="center"/>
        </w:trPr>
        <w:tc>
          <w:tcPr>
            <w:tcW w:w="0" w:type="auto"/>
            <w:vAlign w:val="center"/>
            <w:hideMark/>
          </w:tcPr>
          <w:p w14:paraId="5EDAA18C" w14:textId="47D1BDAE" w:rsidR="009C0FEC" w:rsidRDefault="009C0FEC">
            <w:pPr>
              <w:jc w:val="left"/>
              <w:rPr>
                <w:rFonts w:eastAsia="Times New Roman"/>
              </w:rPr>
            </w:pPr>
            <w:r>
              <w:rPr>
                <w:rFonts w:eastAsia="Times New Roman"/>
              </w:rPr>
              <w:t>Group</w:t>
            </w:r>
            <w:r w:rsidR="00D62943">
              <w:rPr>
                <w:rFonts w:eastAsia="Times New Roman"/>
              </w:rPr>
              <w:t>*Period</w:t>
            </w:r>
          </w:p>
        </w:tc>
        <w:tc>
          <w:tcPr>
            <w:tcW w:w="0" w:type="auto"/>
            <w:vAlign w:val="center"/>
            <w:hideMark/>
          </w:tcPr>
          <w:p w14:paraId="047472F8" w14:textId="77777777" w:rsidR="009C0FEC" w:rsidRDefault="009C0FEC">
            <w:pPr>
              <w:jc w:val="center"/>
              <w:rPr>
                <w:rFonts w:eastAsia="Times New Roman"/>
              </w:rPr>
            </w:pPr>
            <w:r>
              <w:rPr>
                <w:rFonts w:eastAsia="Times New Roman"/>
              </w:rPr>
              <w:t>-3.878</w:t>
            </w:r>
          </w:p>
        </w:tc>
      </w:tr>
      <w:tr w:rsidR="009C0FEC" w14:paraId="66FFA598" w14:textId="77777777" w:rsidTr="009C0FEC">
        <w:trPr>
          <w:tblCellSpacing w:w="15" w:type="dxa"/>
          <w:jc w:val="center"/>
        </w:trPr>
        <w:tc>
          <w:tcPr>
            <w:tcW w:w="0" w:type="auto"/>
            <w:vAlign w:val="center"/>
            <w:hideMark/>
          </w:tcPr>
          <w:p w14:paraId="6B2680DE" w14:textId="77777777" w:rsidR="009C0FEC" w:rsidRDefault="009C0FEC">
            <w:pPr>
              <w:jc w:val="center"/>
              <w:rPr>
                <w:rFonts w:eastAsia="Times New Roman"/>
              </w:rPr>
            </w:pPr>
          </w:p>
        </w:tc>
        <w:tc>
          <w:tcPr>
            <w:tcW w:w="0" w:type="auto"/>
            <w:vAlign w:val="center"/>
            <w:hideMark/>
          </w:tcPr>
          <w:p w14:paraId="3F2AC621" w14:textId="77777777" w:rsidR="009C0FEC" w:rsidRDefault="009C0FEC">
            <w:pPr>
              <w:jc w:val="center"/>
              <w:rPr>
                <w:rFonts w:eastAsia="Times New Roman"/>
              </w:rPr>
            </w:pPr>
            <w:r>
              <w:rPr>
                <w:rFonts w:eastAsia="Times New Roman"/>
              </w:rPr>
              <w:t>(4.238)</w:t>
            </w:r>
          </w:p>
        </w:tc>
      </w:tr>
      <w:tr w:rsidR="009C0FEC" w14:paraId="4198E612" w14:textId="77777777" w:rsidTr="009C0FEC">
        <w:trPr>
          <w:tblCellSpacing w:w="15" w:type="dxa"/>
          <w:jc w:val="center"/>
        </w:trPr>
        <w:tc>
          <w:tcPr>
            <w:tcW w:w="0" w:type="auto"/>
            <w:vAlign w:val="center"/>
            <w:hideMark/>
          </w:tcPr>
          <w:p w14:paraId="7880AE9A" w14:textId="77777777" w:rsidR="009C0FEC" w:rsidRDefault="009C0FEC">
            <w:pPr>
              <w:jc w:val="center"/>
              <w:rPr>
                <w:rFonts w:eastAsia="Times New Roman"/>
              </w:rPr>
            </w:pPr>
          </w:p>
        </w:tc>
        <w:tc>
          <w:tcPr>
            <w:tcW w:w="0" w:type="auto"/>
            <w:vAlign w:val="center"/>
            <w:hideMark/>
          </w:tcPr>
          <w:p w14:paraId="7BB749D8" w14:textId="77777777" w:rsidR="009C0FEC" w:rsidRDefault="009C0FEC">
            <w:pPr>
              <w:rPr>
                <w:rFonts w:eastAsia="Times New Roman"/>
                <w:sz w:val="20"/>
                <w:szCs w:val="20"/>
              </w:rPr>
            </w:pPr>
          </w:p>
        </w:tc>
      </w:tr>
      <w:tr w:rsidR="009C0FEC" w14:paraId="1E9C7E57" w14:textId="77777777" w:rsidTr="009C0FEC">
        <w:trPr>
          <w:tblCellSpacing w:w="15" w:type="dxa"/>
          <w:jc w:val="center"/>
        </w:trPr>
        <w:tc>
          <w:tcPr>
            <w:tcW w:w="0" w:type="auto"/>
            <w:vAlign w:val="center"/>
            <w:hideMark/>
          </w:tcPr>
          <w:p w14:paraId="21BF0B18" w14:textId="77777777" w:rsidR="009C0FEC" w:rsidRDefault="009C0FEC">
            <w:pPr>
              <w:jc w:val="left"/>
              <w:rPr>
                <w:rFonts w:eastAsia="Times New Roman"/>
              </w:rPr>
            </w:pPr>
            <w:r>
              <w:rPr>
                <w:rFonts w:eastAsia="Times New Roman"/>
              </w:rPr>
              <w:t>Constant</w:t>
            </w:r>
          </w:p>
        </w:tc>
        <w:tc>
          <w:tcPr>
            <w:tcW w:w="0" w:type="auto"/>
            <w:vAlign w:val="center"/>
            <w:hideMark/>
          </w:tcPr>
          <w:p w14:paraId="3919674B" w14:textId="77777777" w:rsidR="009C0FEC" w:rsidRDefault="009C0FEC">
            <w:pPr>
              <w:jc w:val="center"/>
              <w:rPr>
                <w:rFonts w:eastAsia="Times New Roman"/>
              </w:rPr>
            </w:pPr>
            <w:r>
              <w:rPr>
                <w:rFonts w:eastAsia="Times New Roman"/>
              </w:rPr>
              <w:t>6.710</w:t>
            </w:r>
          </w:p>
        </w:tc>
      </w:tr>
      <w:tr w:rsidR="009C0FEC" w14:paraId="50174BF7" w14:textId="77777777" w:rsidTr="009C0FEC">
        <w:trPr>
          <w:tblCellSpacing w:w="15" w:type="dxa"/>
          <w:jc w:val="center"/>
        </w:trPr>
        <w:tc>
          <w:tcPr>
            <w:tcW w:w="0" w:type="auto"/>
            <w:vAlign w:val="center"/>
            <w:hideMark/>
          </w:tcPr>
          <w:p w14:paraId="74A79E21" w14:textId="77777777" w:rsidR="009C0FEC" w:rsidRDefault="009C0FEC">
            <w:pPr>
              <w:jc w:val="center"/>
              <w:rPr>
                <w:rFonts w:eastAsia="Times New Roman"/>
              </w:rPr>
            </w:pPr>
          </w:p>
        </w:tc>
        <w:tc>
          <w:tcPr>
            <w:tcW w:w="0" w:type="auto"/>
            <w:vAlign w:val="center"/>
            <w:hideMark/>
          </w:tcPr>
          <w:p w14:paraId="5D6A3F9D" w14:textId="77777777" w:rsidR="009C0FEC" w:rsidRDefault="009C0FEC">
            <w:pPr>
              <w:jc w:val="center"/>
              <w:rPr>
                <w:rFonts w:eastAsia="Times New Roman"/>
              </w:rPr>
            </w:pPr>
            <w:r>
              <w:rPr>
                <w:rFonts w:eastAsia="Times New Roman"/>
              </w:rPr>
              <w:t>(9.409)</w:t>
            </w:r>
          </w:p>
        </w:tc>
      </w:tr>
      <w:tr w:rsidR="009C0FEC" w14:paraId="697A64DF" w14:textId="77777777" w:rsidTr="009C0FEC">
        <w:trPr>
          <w:tblCellSpacing w:w="15" w:type="dxa"/>
          <w:jc w:val="center"/>
        </w:trPr>
        <w:tc>
          <w:tcPr>
            <w:tcW w:w="0" w:type="auto"/>
            <w:vAlign w:val="center"/>
            <w:hideMark/>
          </w:tcPr>
          <w:p w14:paraId="28CA2C15" w14:textId="77777777" w:rsidR="009C0FEC" w:rsidRDefault="009C0FEC">
            <w:pPr>
              <w:jc w:val="center"/>
              <w:rPr>
                <w:rFonts w:eastAsia="Times New Roman"/>
              </w:rPr>
            </w:pPr>
          </w:p>
        </w:tc>
        <w:tc>
          <w:tcPr>
            <w:tcW w:w="0" w:type="auto"/>
            <w:vAlign w:val="center"/>
            <w:hideMark/>
          </w:tcPr>
          <w:p w14:paraId="6F09E3F0" w14:textId="77777777" w:rsidR="009C0FEC" w:rsidRDefault="009C0FEC">
            <w:pPr>
              <w:rPr>
                <w:rFonts w:eastAsia="Times New Roman"/>
                <w:sz w:val="20"/>
                <w:szCs w:val="20"/>
              </w:rPr>
            </w:pPr>
          </w:p>
        </w:tc>
      </w:tr>
      <w:tr w:rsidR="009C0FEC" w14:paraId="26228547" w14:textId="77777777" w:rsidTr="009C0FEC">
        <w:trPr>
          <w:tblCellSpacing w:w="15" w:type="dxa"/>
          <w:jc w:val="center"/>
        </w:trPr>
        <w:tc>
          <w:tcPr>
            <w:tcW w:w="0" w:type="auto"/>
            <w:gridSpan w:val="2"/>
            <w:tcBorders>
              <w:bottom w:val="single" w:sz="6" w:space="0" w:color="000000"/>
            </w:tcBorders>
            <w:vAlign w:val="center"/>
            <w:hideMark/>
          </w:tcPr>
          <w:p w14:paraId="177CB46D" w14:textId="77777777" w:rsidR="009C0FEC" w:rsidRDefault="009C0FEC">
            <w:pPr>
              <w:jc w:val="center"/>
              <w:rPr>
                <w:rFonts w:eastAsia="Times New Roman"/>
                <w:sz w:val="20"/>
                <w:szCs w:val="20"/>
              </w:rPr>
            </w:pPr>
          </w:p>
        </w:tc>
      </w:tr>
      <w:tr w:rsidR="009C0FEC" w14:paraId="6E026676" w14:textId="77777777" w:rsidTr="009C0FEC">
        <w:trPr>
          <w:tblCellSpacing w:w="15" w:type="dxa"/>
          <w:jc w:val="center"/>
        </w:trPr>
        <w:tc>
          <w:tcPr>
            <w:tcW w:w="0" w:type="auto"/>
            <w:vAlign w:val="center"/>
            <w:hideMark/>
          </w:tcPr>
          <w:p w14:paraId="155FB9CE" w14:textId="77777777" w:rsidR="009C0FEC" w:rsidRDefault="009C0FEC">
            <w:pPr>
              <w:jc w:val="left"/>
              <w:rPr>
                <w:rFonts w:eastAsia="Times New Roman"/>
              </w:rPr>
            </w:pPr>
            <w:r>
              <w:rPr>
                <w:rFonts w:eastAsia="Times New Roman"/>
              </w:rPr>
              <w:t>Observations</w:t>
            </w:r>
          </w:p>
        </w:tc>
        <w:tc>
          <w:tcPr>
            <w:tcW w:w="0" w:type="auto"/>
            <w:vAlign w:val="center"/>
            <w:hideMark/>
          </w:tcPr>
          <w:p w14:paraId="1467D27B" w14:textId="77777777" w:rsidR="009C0FEC" w:rsidRDefault="009C0FEC">
            <w:pPr>
              <w:jc w:val="center"/>
              <w:rPr>
                <w:rFonts w:eastAsia="Times New Roman"/>
              </w:rPr>
            </w:pPr>
            <w:r>
              <w:rPr>
                <w:rFonts w:eastAsia="Times New Roman"/>
              </w:rPr>
              <w:t>254</w:t>
            </w:r>
          </w:p>
        </w:tc>
      </w:tr>
      <w:tr w:rsidR="009C0FEC" w14:paraId="77DC9110" w14:textId="77777777" w:rsidTr="009C0FEC">
        <w:trPr>
          <w:tblCellSpacing w:w="15" w:type="dxa"/>
          <w:jc w:val="center"/>
        </w:trPr>
        <w:tc>
          <w:tcPr>
            <w:tcW w:w="0" w:type="auto"/>
            <w:vAlign w:val="center"/>
            <w:hideMark/>
          </w:tcPr>
          <w:p w14:paraId="6D21BC65" w14:textId="77777777" w:rsidR="009C0FEC" w:rsidRDefault="009C0FEC">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2454E60" w14:textId="77777777" w:rsidR="009C0FEC" w:rsidRDefault="009C0FEC">
            <w:pPr>
              <w:jc w:val="center"/>
              <w:rPr>
                <w:rFonts w:eastAsia="Times New Roman"/>
              </w:rPr>
            </w:pPr>
            <w:r>
              <w:rPr>
                <w:rFonts w:eastAsia="Times New Roman"/>
              </w:rPr>
              <w:t>0.138</w:t>
            </w:r>
          </w:p>
        </w:tc>
      </w:tr>
      <w:tr w:rsidR="009C0FEC" w14:paraId="38612CB7" w14:textId="77777777" w:rsidTr="009C0FEC">
        <w:trPr>
          <w:tblCellSpacing w:w="15" w:type="dxa"/>
          <w:jc w:val="center"/>
        </w:trPr>
        <w:tc>
          <w:tcPr>
            <w:tcW w:w="0" w:type="auto"/>
            <w:vAlign w:val="center"/>
            <w:hideMark/>
          </w:tcPr>
          <w:p w14:paraId="63B60AFF" w14:textId="77777777" w:rsidR="009C0FEC" w:rsidRDefault="009C0FEC">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9D0BFF6" w14:textId="77777777" w:rsidR="009C0FEC" w:rsidRDefault="009C0FEC">
            <w:pPr>
              <w:jc w:val="center"/>
              <w:rPr>
                <w:rFonts w:eastAsia="Times New Roman"/>
              </w:rPr>
            </w:pPr>
            <w:r>
              <w:rPr>
                <w:rFonts w:eastAsia="Times New Roman"/>
              </w:rPr>
              <w:t>0.113</w:t>
            </w:r>
          </w:p>
        </w:tc>
      </w:tr>
      <w:tr w:rsidR="009C0FEC" w14:paraId="10DC88B9" w14:textId="77777777" w:rsidTr="009C0FEC">
        <w:trPr>
          <w:tblCellSpacing w:w="15" w:type="dxa"/>
          <w:jc w:val="center"/>
        </w:trPr>
        <w:tc>
          <w:tcPr>
            <w:tcW w:w="0" w:type="auto"/>
            <w:vAlign w:val="center"/>
            <w:hideMark/>
          </w:tcPr>
          <w:p w14:paraId="02FD34FC" w14:textId="77777777" w:rsidR="009C0FEC" w:rsidRDefault="009C0FEC">
            <w:pPr>
              <w:jc w:val="left"/>
              <w:rPr>
                <w:rFonts w:eastAsia="Times New Roman"/>
              </w:rPr>
            </w:pPr>
            <w:r>
              <w:rPr>
                <w:rFonts w:eastAsia="Times New Roman"/>
              </w:rPr>
              <w:t>Residual Std. Error</w:t>
            </w:r>
          </w:p>
        </w:tc>
        <w:tc>
          <w:tcPr>
            <w:tcW w:w="0" w:type="auto"/>
            <w:vAlign w:val="center"/>
            <w:hideMark/>
          </w:tcPr>
          <w:p w14:paraId="46E66C7B" w14:textId="77777777" w:rsidR="009C0FEC" w:rsidRDefault="009C0FEC">
            <w:pPr>
              <w:jc w:val="center"/>
              <w:rPr>
                <w:rFonts w:eastAsia="Times New Roman"/>
              </w:rPr>
            </w:pPr>
            <w:r>
              <w:rPr>
                <w:rFonts w:eastAsia="Times New Roman"/>
              </w:rPr>
              <w:t>15.659 (</w:t>
            </w:r>
            <w:proofErr w:type="spellStart"/>
            <w:r>
              <w:rPr>
                <w:rFonts w:eastAsia="Times New Roman"/>
              </w:rPr>
              <w:t>df</w:t>
            </w:r>
            <w:proofErr w:type="spellEnd"/>
            <w:r>
              <w:rPr>
                <w:rFonts w:eastAsia="Times New Roman"/>
              </w:rPr>
              <w:t xml:space="preserve"> = 246)</w:t>
            </w:r>
          </w:p>
        </w:tc>
      </w:tr>
      <w:tr w:rsidR="009C0FEC" w14:paraId="6B990A01" w14:textId="77777777" w:rsidTr="009C0FEC">
        <w:trPr>
          <w:tblCellSpacing w:w="15" w:type="dxa"/>
          <w:jc w:val="center"/>
        </w:trPr>
        <w:tc>
          <w:tcPr>
            <w:tcW w:w="0" w:type="auto"/>
            <w:vAlign w:val="center"/>
            <w:hideMark/>
          </w:tcPr>
          <w:p w14:paraId="7775EA1C" w14:textId="77777777" w:rsidR="009C0FEC" w:rsidRDefault="009C0FEC">
            <w:pPr>
              <w:jc w:val="left"/>
              <w:rPr>
                <w:rFonts w:eastAsia="Times New Roman"/>
              </w:rPr>
            </w:pPr>
            <w:r>
              <w:rPr>
                <w:rFonts w:eastAsia="Times New Roman"/>
              </w:rPr>
              <w:t>F Statistic</w:t>
            </w:r>
          </w:p>
        </w:tc>
        <w:tc>
          <w:tcPr>
            <w:tcW w:w="0" w:type="auto"/>
            <w:vAlign w:val="center"/>
            <w:hideMark/>
          </w:tcPr>
          <w:p w14:paraId="01A32A43" w14:textId="77777777" w:rsidR="009C0FEC" w:rsidRDefault="009C0FEC">
            <w:pPr>
              <w:jc w:val="center"/>
              <w:rPr>
                <w:rFonts w:eastAsia="Times New Roman"/>
              </w:rPr>
            </w:pPr>
            <w:r>
              <w:rPr>
                <w:rFonts w:eastAsia="Times New Roman"/>
              </w:rPr>
              <w:t>5.622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246)</w:t>
            </w:r>
          </w:p>
        </w:tc>
      </w:tr>
      <w:tr w:rsidR="009C0FEC" w14:paraId="4D2A01A4" w14:textId="77777777" w:rsidTr="009C0FEC">
        <w:trPr>
          <w:tblCellSpacing w:w="15" w:type="dxa"/>
          <w:jc w:val="center"/>
        </w:trPr>
        <w:tc>
          <w:tcPr>
            <w:tcW w:w="0" w:type="auto"/>
            <w:gridSpan w:val="2"/>
            <w:tcBorders>
              <w:bottom w:val="single" w:sz="6" w:space="0" w:color="000000"/>
            </w:tcBorders>
            <w:vAlign w:val="center"/>
            <w:hideMark/>
          </w:tcPr>
          <w:p w14:paraId="6921B502" w14:textId="77777777" w:rsidR="009C0FEC" w:rsidRDefault="009C0FEC">
            <w:pPr>
              <w:jc w:val="center"/>
              <w:rPr>
                <w:rFonts w:eastAsia="Times New Roman"/>
              </w:rPr>
            </w:pPr>
          </w:p>
        </w:tc>
      </w:tr>
      <w:tr w:rsidR="009C0FEC" w14:paraId="39280FFF" w14:textId="77777777" w:rsidTr="009C0FEC">
        <w:trPr>
          <w:tblCellSpacing w:w="15" w:type="dxa"/>
          <w:jc w:val="center"/>
        </w:trPr>
        <w:tc>
          <w:tcPr>
            <w:tcW w:w="0" w:type="auto"/>
            <w:vAlign w:val="center"/>
            <w:hideMark/>
          </w:tcPr>
          <w:p w14:paraId="5F8DCA57" w14:textId="77777777" w:rsidR="009C0FEC" w:rsidRDefault="009C0FEC">
            <w:pPr>
              <w:jc w:val="left"/>
              <w:rPr>
                <w:rFonts w:eastAsia="Times New Roman"/>
              </w:rPr>
            </w:pPr>
            <w:r>
              <w:rPr>
                <w:rStyle w:val="Emphasis"/>
              </w:rPr>
              <w:t>Note:</w:t>
            </w:r>
          </w:p>
        </w:tc>
        <w:tc>
          <w:tcPr>
            <w:tcW w:w="0" w:type="auto"/>
            <w:vAlign w:val="center"/>
            <w:hideMark/>
          </w:tcPr>
          <w:p w14:paraId="5D985CAC" w14:textId="77777777" w:rsidR="009C0FEC" w:rsidRDefault="009C0FEC">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26EF10" w14:textId="076BA3CA" w:rsidR="005D2017" w:rsidRDefault="005D2017" w:rsidP="005D2017">
      <w:pPr>
        <w:ind w:firstLine="0"/>
      </w:pPr>
    </w:p>
    <w:p w14:paraId="3EDB582F" w14:textId="7FD2C6A8" w:rsidR="00565535" w:rsidRDefault="00565535">
      <w:pPr>
        <w:spacing w:line="240" w:lineRule="auto"/>
        <w:ind w:firstLine="0"/>
        <w:jc w:val="left"/>
      </w:pPr>
      <w:r>
        <w:br w:type="page"/>
      </w:r>
    </w:p>
    <w:p w14:paraId="13C75DAB" w14:textId="7ADE5E4D" w:rsidR="00D1305E" w:rsidRDefault="00D1305E" w:rsidP="00D1305E">
      <w:pPr>
        <w:pStyle w:val="Heading2"/>
      </w:pPr>
      <w:r>
        <w:lastRenderedPageBreak/>
        <w:t>Price Volatility</w:t>
      </w:r>
    </w:p>
    <w:p w14:paraId="5E7872EF" w14:textId="50F2F5AA" w:rsidR="00AF5C18" w:rsidRDefault="00930217" w:rsidP="00AF5C18">
      <w:r>
        <w:fldChar w:fldCharType="begin"/>
      </w:r>
      <w:r>
        <w:instrText xml:space="preserve"> REF _Ref170052233 \h </w:instrText>
      </w:r>
      <w:r>
        <w:fldChar w:fldCharType="separate"/>
      </w:r>
      <w:r w:rsidR="00A2102A">
        <w:t xml:space="preserve">Table </w:t>
      </w:r>
      <w:r w:rsidR="00A2102A">
        <w:rPr>
          <w:noProof/>
        </w:rPr>
        <w:t>14</w:t>
      </w:r>
      <w:r>
        <w:fldChar w:fldCharType="end"/>
      </w:r>
      <w:r w:rsidR="00681DD4">
        <w:t xml:space="preserve"> </w:t>
      </w:r>
      <w:r w:rsidR="00AF5C18">
        <w:t xml:space="preserve">shows the results of the price volatility difference-in-difference regression. Price volatility (as measured by realized volatility) </w:t>
      </w:r>
      <w:r w:rsidR="00767205">
        <w:t>does not appear to be</w:t>
      </w:r>
      <w:r w:rsidR="00AF5C18">
        <w:t xml:space="preserve"> affected by the clearing mandate. During “normal” trading periods, </w:t>
      </w:r>
      <w:r w:rsidR="00767205">
        <w:t xml:space="preserve">the clearing mandate might not be as impactful as during periods of market stress. </w:t>
      </w:r>
      <w:r w:rsidR="00260ADF">
        <w:t>To</w:t>
      </w:r>
      <w:r w:rsidR="00767205">
        <w:t xml:space="preserve"> test whether the clearing mandate had a “calming effect” on US markets (as compared to C</w:t>
      </w:r>
      <w:r w:rsidR="00260ADF">
        <w:t>anadian</w:t>
      </w:r>
      <w:r w:rsidR="00767205">
        <w:t xml:space="preserve"> markets) I compare realized volatility around the time of the </w:t>
      </w:r>
      <w:r w:rsidR="00AF5C18">
        <w:t xml:space="preserve">(second) “Grexit” vote. Caution should be exercised when interpreting these results, as the “control group” (CAD contracts) have different exposure to the Greek economy than the “treatment” group. </w:t>
      </w:r>
      <w:r w:rsidR="00260ADF">
        <w:t xml:space="preserve">The referendum on the second Greek bailout package was announced on June 26 with the vote taking place on July 5. An alternative arrangement between Greece and the Eurozone was reached on July 13. Thus, the period between June 27 and July 13 might be taken as a period of enhanced market stress. </w:t>
      </w:r>
      <w:r w:rsidR="00260ADF">
        <w:fldChar w:fldCharType="begin"/>
      </w:r>
      <w:r w:rsidR="00260ADF">
        <w:instrText xml:space="preserve"> REF _Ref178619195 \h </w:instrText>
      </w:r>
      <w:r w:rsidR="00260ADF">
        <w:fldChar w:fldCharType="separate"/>
      </w:r>
      <w:r w:rsidR="00A2102A">
        <w:t xml:space="preserve">Figure </w:t>
      </w:r>
      <w:r w:rsidR="00A2102A">
        <w:rPr>
          <w:noProof/>
        </w:rPr>
        <w:t>9</w:t>
      </w:r>
      <w:r w:rsidR="00260ADF">
        <w:fldChar w:fldCharType="end"/>
      </w:r>
      <w:r w:rsidR="00260ADF">
        <w:t xml:space="preserve"> shows the realized volatility of USD and CAD interest rate swaps contracts between June 1 and July 31, with important dates marked. </w:t>
      </w:r>
      <w:r w:rsidR="00767205">
        <w:t xml:space="preserve">We do not observe any </w:t>
      </w:r>
      <w:r w:rsidR="00260ADF">
        <w:t xml:space="preserve">consistent pattern of volatility for either the US or Canadian markets. </w:t>
      </w:r>
      <w:r w:rsidR="00260ADF">
        <w:fldChar w:fldCharType="begin"/>
      </w:r>
      <w:r w:rsidR="00260ADF">
        <w:instrText xml:space="preserve"> REF _Ref178619310 \h </w:instrText>
      </w:r>
      <w:r w:rsidR="00260ADF">
        <w:fldChar w:fldCharType="separate"/>
      </w:r>
      <w:r w:rsidR="00A2102A">
        <w:t xml:space="preserve">Table </w:t>
      </w:r>
      <w:r w:rsidR="00A2102A">
        <w:rPr>
          <w:noProof/>
        </w:rPr>
        <w:t>15</w:t>
      </w:r>
      <w:r w:rsidR="00260ADF">
        <w:fldChar w:fldCharType="end"/>
      </w:r>
      <w:r w:rsidR="00260ADF">
        <w:t xml:space="preserve"> shows the results of a “diff-in-diff” using the post-June 26 time frame as the treatment period and using the US market as the treatment group</w:t>
      </w:r>
      <w:r w:rsidR="00767205">
        <w:t>.</w:t>
      </w:r>
      <w:r w:rsidR="00260ADF">
        <w:t xml:space="preserve"> There is no significant difference in volatility between US and Canadian contracts in either the pre- or post-treatment </w:t>
      </w:r>
      <w:proofErr w:type="gramStart"/>
      <w:r w:rsidR="00260ADF">
        <w:t>time period</w:t>
      </w:r>
      <w:proofErr w:type="gramEnd"/>
      <w:r w:rsidR="00260ADF">
        <w:t>.</w:t>
      </w:r>
    </w:p>
    <w:p w14:paraId="1B0B1E14" w14:textId="148DA841" w:rsidR="00930217" w:rsidRDefault="00930217">
      <w:pPr>
        <w:spacing w:line="240" w:lineRule="auto"/>
        <w:ind w:firstLine="0"/>
        <w:jc w:val="left"/>
      </w:pPr>
      <w:r>
        <w:br w:type="page"/>
      </w:r>
    </w:p>
    <w:p w14:paraId="3B0D8B38" w14:textId="6FC7C862" w:rsidR="00930217" w:rsidRDefault="00930217" w:rsidP="00714654">
      <w:pPr>
        <w:pStyle w:val="Caption"/>
        <w:keepNext/>
        <w:jc w:val="center"/>
      </w:pPr>
      <w:bookmarkStart w:id="40" w:name="_Ref170052233"/>
      <w:r>
        <w:lastRenderedPageBreak/>
        <w:t xml:space="preserve">Table </w:t>
      </w:r>
      <w:fldSimple w:instr=" SEQ Table \* ARABIC ">
        <w:r w:rsidR="00A2102A">
          <w:rPr>
            <w:noProof/>
          </w:rPr>
          <w:t>14</w:t>
        </w:r>
      </w:fldSimple>
      <w:bookmarkEnd w:id="40"/>
      <w:r>
        <w:rPr>
          <w:noProof/>
        </w:rPr>
        <w:t xml:space="preserve"> </w:t>
      </w:r>
      <w:r w:rsidR="00B5286A">
        <w:rPr>
          <w:noProof/>
        </w:rPr>
        <w:t>Volatility Difference in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3894"/>
      </w:tblGrid>
      <w:tr w:rsidR="00C8363A" w:rsidRPr="00C8363A" w14:paraId="10BFDBAB" w14:textId="77777777" w:rsidTr="00C8363A">
        <w:trPr>
          <w:tblCellSpacing w:w="15" w:type="dxa"/>
          <w:jc w:val="center"/>
        </w:trPr>
        <w:tc>
          <w:tcPr>
            <w:tcW w:w="0" w:type="auto"/>
            <w:gridSpan w:val="2"/>
            <w:tcBorders>
              <w:top w:val="nil"/>
              <w:left w:val="nil"/>
              <w:bottom w:val="nil"/>
              <w:right w:val="nil"/>
            </w:tcBorders>
            <w:vAlign w:val="center"/>
            <w:hideMark/>
          </w:tcPr>
          <w:p w14:paraId="306E40FC" w14:textId="0401061F" w:rsidR="00C8363A" w:rsidRPr="00C8363A" w:rsidRDefault="00C8363A" w:rsidP="00C8363A">
            <w:pPr>
              <w:ind w:firstLine="0"/>
              <w:jc w:val="center"/>
              <w:rPr>
                <w:noProof/>
                <w14:ligatures w14:val="standardContextual"/>
              </w:rPr>
            </w:pPr>
            <w:r w:rsidRPr="00C8363A">
              <w:rPr>
                <w:b/>
                <w:bCs/>
                <w:noProof/>
                <w14:ligatures w14:val="standardContextual"/>
              </w:rPr>
              <w:t xml:space="preserve">Volatility </w:t>
            </w:r>
            <w:r>
              <w:rPr>
                <w:b/>
                <w:bCs/>
                <w:noProof/>
                <w14:ligatures w14:val="standardContextual"/>
              </w:rPr>
              <w:t>Diff-in-Diff</w:t>
            </w:r>
          </w:p>
        </w:tc>
      </w:tr>
      <w:tr w:rsidR="00C8363A" w:rsidRPr="00C8363A" w14:paraId="59E76B6A" w14:textId="77777777" w:rsidTr="00C8363A">
        <w:trPr>
          <w:tblCellSpacing w:w="15" w:type="dxa"/>
          <w:jc w:val="center"/>
        </w:trPr>
        <w:tc>
          <w:tcPr>
            <w:tcW w:w="0" w:type="auto"/>
            <w:gridSpan w:val="2"/>
            <w:tcBorders>
              <w:bottom w:val="single" w:sz="6" w:space="0" w:color="000000"/>
            </w:tcBorders>
            <w:vAlign w:val="center"/>
            <w:hideMark/>
          </w:tcPr>
          <w:p w14:paraId="2B5AEA9E" w14:textId="77777777" w:rsidR="00C8363A" w:rsidRPr="00C8363A" w:rsidRDefault="00C8363A" w:rsidP="00C8363A">
            <w:pPr>
              <w:ind w:firstLine="0"/>
              <w:rPr>
                <w:noProof/>
                <w14:ligatures w14:val="standardContextual"/>
              </w:rPr>
            </w:pPr>
          </w:p>
        </w:tc>
      </w:tr>
      <w:tr w:rsidR="00C8363A" w:rsidRPr="00C8363A" w14:paraId="538CE117" w14:textId="77777777" w:rsidTr="00C8363A">
        <w:trPr>
          <w:tblCellSpacing w:w="15" w:type="dxa"/>
          <w:jc w:val="center"/>
        </w:trPr>
        <w:tc>
          <w:tcPr>
            <w:tcW w:w="0" w:type="auto"/>
            <w:vAlign w:val="center"/>
            <w:hideMark/>
          </w:tcPr>
          <w:p w14:paraId="1E10AE4E" w14:textId="77777777" w:rsidR="00C8363A" w:rsidRPr="00C8363A" w:rsidRDefault="00C8363A" w:rsidP="00C8363A">
            <w:pPr>
              <w:ind w:firstLine="0"/>
              <w:rPr>
                <w:noProof/>
                <w14:ligatures w14:val="standardContextual"/>
              </w:rPr>
            </w:pPr>
          </w:p>
        </w:tc>
        <w:tc>
          <w:tcPr>
            <w:tcW w:w="0" w:type="auto"/>
            <w:vAlign w:val="center"/>
            <w:hideMark/>
          </w:tcPr>
          <w:p w14:paraId="00FBB64A" w14:textId="77777777" w:rsidR="00C8363A" w:rsidRPr="00C8363A" w:rsidRDefault="00C8363A" w:rsidP="00C8363A">
            <w:pPr>
              <w:ind w:firstLine="0"/>
              <w:rPr>
                <w:noProof/>
                <w14:ligatures w14:val="standardContextual"/>
              </w:rPr>
            </w:pPr>
            <w:r w:rsidRPr="00C8363A">
              <w:rPr>
                <w:noProof/>
                <w14:ligatures w14:val="standardContextual"/>
              </w:rPr>
              <w:t>Dependent variable: Realized Volatility</w:t>
            </w:r>
          </w:p>
        </w:tc>
      </w:tr>
      <w:tr w:rsidR="00C8363A" w:rsidRPr="00C8363A" w14:paraId="23170DF2" w14:textId="77777777" w:rsidTr="00C8363A">
        <w:trPr>
          <w:tblCellSpacing w:w="15" w:type="dxa"/>
          <w:jc w:val="center"/>
        </w:trPr>
        <w:tc>
          <w:tcPr>
            <w:tcW w:w="0" w:type="auto"/>
            <w:vAlign w:val="center"/>
            <w:hideMark/>
          </w:tcPr>
          <w:p w14:paraId="5EA40FA3" w14:textId="77777777" w:rsidR="00C8363A" w:rsidRPr="00C8363A" w:rsidRDefault="00C8363A" w:rsidP="00C8363A">
            <w:pPr>
              <w:ind w:firstLine="0"/>
              <w:rPr>
                <w:noProof/>
                <w14:ligatures w14:val="standardContextual"/>
              </w:rPr>
            </w:pPr>
          </w:p>
        </w:tc>
        <w:tc>
          <w:tcPr>
            <w:tcW w:w="0" w:type="auto"/>
            <w:tcBorders>
              <w:bottom w:val="single" w:sz="6" w:space="0" w:color="000000"/>
            </w:tcBorders>
            <w:vAlign w:val="center"/>
            <w:hideMark/>
          </w:tcPr>
          <w:p w14:paraId="56F8D52D" w14:textId="77777777" w:rsidR="00C8363A" w:rsidRPr="00C8363A" w:rsidRDefault="00C8363A" w:rsidP="00C8363A">
            <w:pPr>
              <w:ind w:firstLine="0"/>
              <w:rPr>
                <w:noProof/>
                <w14:ligatures w14:val="standardContextual"/>
              </w:rPr>
            </w:pPr>
          </w:p>
        </w:tc>
      </w:tr>
      <w:tr w:rsidR="00C8363A" w:rsidRPr="00C8363A" w14:paraId="05D73747" w14:textId="77777777" w:rsidTr="00C8363A">
        <w:trPr>
          <w:tblCellSpacing w:w="15" w:type="dxa"/>
          <w:jc w:val="center"/>
        </w:trPr>
        <w:tc>
          <w:tcPr>
            <w:tcW w:w="0" w:type="auto"/>
            <w:gridSpan w:val="2"/>
            <w:tcBorders>
              <w:bottom w:val="single" w:sz="6" w:space="0" w:color="000000"/>
            </w:tcBorders>
            <w:vAlign w:val="center"/>
            <w:hideMark/>
          </w:tcPr>
          <w:p w14:paraId="467EB449" w14:textId="77777777" w:rsidR="00C8363A" w:rsidRPr="00C8363A" w:rsidRDefault="00C8363A" w:rsidP="00C8363A">
            <w:pPr>
              <w:ind w:firstLine="0"/>
              <w:rPr>
                <w:noProof/>
                <w14:ligatures w14:val="standardContextual"/>
              </w:rPr>
            </w:pPr>
          </w:p>
        </w:tc>
      </w:tr>
      <w:tr w:rsidR="00C8363A" w:rsidRPr="00C8363A" w14:paraId="1DE64B87" w14:textId="77777777" w:rsidTr="00C8363A">
        <w:trPr>
          <w:tblCellSpacing w:w="15" w:type="dxa"/>
          <w:jc w:val="center"/>
        </w:trPr>
        <w:tc>
          <w:tcPr>
            <w:tcW w:w="0" w:type="auto"/>
            <w:vAlign w:val="center"/>
            <w:hideMark/>
          </w:tcPr>
          <w:p w14:paraId="2C7061B5" w14:textId="77777777" w:rsidR="00C8363A" w:rsidRPr="00C8363A" w:rsidRDefault="00C8363A" w:rsidP="00C8363A">
            <w:pPr>
              <w:ind w:firstLine="0"/>
              <w:rPr>
                <w:noProof/>
                <w14:ligatures w14:val="standardContextual"/>
              </w:rPr>
            </w:pPr>
            <w:r w:rsidRPr="00C8363A">
              <w:rPr>
                <w:noProof/>
                <w14:ligatures w14:val="standardContextual"/>
              </w:rPr>
              <w:t>Group</w:t>
            </w:r>
          </w:p>
        </w:tc>
        <w:tc>
          <w:tcPr>
            <w:tcW w:w="0" w:type="auto"/>
            <w:vAlign w:val="center"/>
            <w:hideMark/>
          </w:tcPr>
          <w:p w14:paraId="6E611818" w14:textId="77777777" w:rsidR="00C8363A" w:rsidRPr="00C8363A" w:rsidRDefault="00C8363A" w:rsidP="00C8363A">
            <w:pPr>
              <w:ind w:firstLine="0"/>
              <w:rPr>
                <w:noProof/>
                <w14:ligatures w14:val="standardContextual"/>
              </w:rPr>
            </w:pPr>
            <w:r w:rsidRPr="00C8363A">
              <w:rPr>
                <w:noProof/>
                <w14:ligatures w14:val="standardContextual"/>
              </w:rPr>
              <w:t>0.1733</w:t>
            </w:r>
            <w:r w:rsidRPr="00C8363A">
              <w:rPr>
                <w:noProof/>
                <w:vertAlign w:val="superscript"/>
                <w14:ligatures w14:val="standardContextual"/>
              </w:rPr>
              <w:t>***</w:t>
            </w:r>
          </w:p>
        </w:tc>
      </w:tr>
      <w:tr w:rsidR="00C8363A" w:rsidRPr="00C8363A" w14:paraId="1E390B81" w14:textId="77777777" w:rsidTr="00C8363A">
        <w:trPr>
          <w:tblCellSpacing w:w="15" w:type="dxa"/>
          <w:jc w:val="center"/>
        </w:trPr>
        <w:tc>
          <w:tcPr>
            <w:tcW w:w="0" w:type="auto"/>
            <w:vAlign w:val="center"/>
            <w:hideMark/>
          </w:tcPr>
          <w:p w14:paraId="26EC48CB" w14:textId="77777777" w:rsidR="00C8363A" w:rsidRPr="00C8363A" w:rsidRDefault="00C8363A" w:rsidP="00C8363A">
            <w:pPr>
              <w:ind w:firstLine="0"/>
              <w:rPr>
                <w:noProof/>
                <w14:ligatures w14:val="standardContextual"/>
              </w:rPr>
            </w:pPr>
          </w:p>
        </w:tc>
        <w:tc>
          <w:tcPr>
            <w:tcW w:w="0" w:type="auto"/>
            <w:vAlign w:val="center"/>
            <w:hideMark/>
          </w:tcPr>
          <w:p w14:paraId="51B169EA"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7E3CE713" w14:textId="77777777" w:rsidTr="00C8363A">
        <w:trPr>
          <w:tblCellSpacing w:w="15" w:type="dxa"/>
          <w:jc w:val="center"/>
        </w:trPr>
        <w:tc>
          <w:tcPr>
            <w:tcW w:w="0" w:type="auto"/>
            <w:vAlign w:val="center"/>
            <w:hideMark/>
          </w:tcPr>
          <w:p w14:paraId="0D7B1102" w14:textId="77777777" w:rsidR="00C8363A" w:rsidRPr="00C8363A" w:rsidRDefault="00C8363A" w:rsidP="00C8363A">
            <w:pPr>
              <w:ind w:firstLine="0"/>
              <w:rPr>
                <w:noProof/>
                <w14:ligatures w14:val="standardContextual"/>
              </w:rPr>
            </w:pPr>
            <w:r w:rsidRPr="00C8363A">
              <w:rPr>
                <w:noProof/>
                <w14:ligatures w14:val="standardContextual"/>
              </w:rPr>
              <w:t>Period</w:t>
            </w:r>
          </w:p>
        </w:tc>
        <w:tc>
          <w:tcPr>
            <w:tcW w:w="0" w:type="auto"/>
            <w:vAlign w:val="center"/>
            <w:hideMark/>
          </w:tcPr>
          <w:p w14:paraId="45483598" w14:textId="77777777" w:rsidR="00C8363A" w:rsidRPr="00C8363A" w:rsidRDefault="00C8363A" w:rsidP="00C8363A">
            <w:pPr>
              <w:ind w:firstLine="0"/>
              <w:rPr>
                <w:noProof/>
                <w14:ligatures w14:val="standardContextual"/>
              </w:rPr>
            </w:pPr>
            <w:r w:rsidRPr="00C8363A">
              <w:rPr>
                <w:noProof/>
                <w14:ligatures w14:val="standardContextual"/>
              </w:rPr>
              <w:t>0.0029</w:t>
            </w:r>
          </w:p>
        </w:tc>
      </w:tr>
      <w:tr w:rsidR="00C8363A" w:rsidRPr="00C8363A" w14:paraId="41523B5A" w14:textId="77777777" w:rsidTr="00C8363A">
        <w:trPr>
          <w:tblCellSpacing w:w="15" w:type="dxa"/>
          <w:jc w:val="center"/>
        </w:trPr>
        <w:tc>
          <w:tcPr>
            <w:tcW w:w="0" w:type="auto"/>
            <w:vAlign w:val="center"/>
            <w:hideMark/>
          </w:tcPr>
          <w:p w14:paraId="0179C276" w14:textId="77777777" w:rsidR="00C8363A" w:rsidRPr="00C8363A" w:rsidRDefault="00C8363A" w:rsidP="00C8363A">
            <w:pPr>
              <w:ind w:firstLine="0"/>
              <w:rPr>
                <w:noProof/>
                <w14:ligatures w14:val="standardContextual"/>
              </w:rPr>
            </w:pPr>
          </w:p>
        </w:tc>
        <w:tc>
          <w:tcPr>
            <w:tcW w:w="0" w:type="auto"/>
            <w:vAlign w:val="center"/>
            <w:hideMark/>
          </w:tcPr>
          <w:p w14:paraId="3725D467" w14:textId="77777777" w:rsidR="00C8363A" w:rsidRPr="00C8363A" w:rsidRDefault="00C8363A" w:rsidP="00C8363A">
            <w:pPr>
              <w:ind w:firstLine="0"/>
              <w:rPr>
                <w:noProof/>
                <w14:ligatures w14:val="standardContextual"/>
              </w:rPr>
            </w:pPr>
            <w:r w:rsidRPr="00C8363A">
              <w:rPr>
                <w:noProof/>
                <w14:ligatures w14:val="standardContextual"/>
              </w:rPr>
              <w:t>(0.0347)</w:t>
            </w:r>
          </w:p>
        </w:tc>
      </w:tr>
      <w:tr w:rsidR="00C8363A" w:rsidRPr="00C8363A" w14:paraId="0260B6B4" w14:textId="77777777" w:rsidTr="00C8363A">
        <w:trPr>
          <w:tblCellSpacing w:w="15" w:type="dxa"/>
          <w:jc w:val="center"/>
        </w:trPr>
        <w:tc>
          <w:tcPr>
            <w:tcW w:w="0" w:type="auto"/>
            <w:vAlign w:val="center"/>
            <w:hideMark/>
          </w:tcPr>
          <w:p w14:paraId="0ABBB906" w14:textId="77777777" w:rsidR="00C8363A" w:rsidRPr="00C8363A" w:rsidRDefault="00C8363A" w:rsidP="00C8363A">
            <w:pPr>
              <w:ind w:firstLine="0"/>
              <w:rPr>
                <w:noProof/>
                <w14:ligatures w14:val="standardContextual"/>
              </w:rPr>
            </w:pPr>
            <w:r w:rsidRPr="00C8363A">
              <w:rPr>
                <w:noProof/>
                <w14:ligatures w14:val="standardContextual"/>
              </w:rPr>
              <w:t>Group * Period</w:t>
            </w:r>
          </w:p>
        </w:tc>
        <w:tc>
          <w:tcPr>
            <w:tcW w:w="0" w:type="auto"/>
            <w:vAlign w:val="center"/>
            <w:hideMark/>
          </w:tcPr>
          <w:p w14:paraId="5EB5E00A" w14:textId="77777777" w:rsidR="00C8363A" w:rsidRPr="00C8363A" w:rsidRDefault="00C8363A" w:rsidP="00C8363A">
            <w:pPr>
              <w:ind w:firstLine="0"/>
              <w:rPr>
                <w:noProof/>
                <w14:ligatures w14:val="standardContextual"/>
              </w:rPr>
            </w:pPr>
            <w:r w:rsidRPr="00C8363A">
              <w:rPr>
                <w:noProof/>
                <w14:ligatures w14:val="standardContextual"/>
              </w:rPr>
              <w:t>0.0016</w:t>
            </w:r>
          </w:p>
        </w:tc>
      </w:tr>
      <w:tr w:rsidR="00C8363A" w:rsidRPr="00C8363A" w14:paraId="03AAE278" w14:textId="77777777" w:rsidTr="00C8363A">
        <w:trPr>
          <w:tblCellSpacing w:w="15" w:type="dxa"/>
          <w:jc w:val="center"/>
        </w:trPr>
        <w:tc>
          <w:tcPr>
            <w:tcW w:w="0" w:type="auto"/>
            <w:vAlign w:val="center"/>
            <w:hideMark/>
          </w:tcPr>
          <w:p w14:paraId="534DCD6A" w14:textId="77777777" w:rsidR="00C8363A" w:rsidRPr="00C8363A" w:rsidRDefault="00C8363A" w:rsidP="00C8363A">
            <w:pPr>
              <w:ind w:firstLine="0"/>
              <w:rPr>
                <w:noProof/>
                <w14:ligatures w14:val="standardContextual"/>
              </w:rPr>
            </w:pPr>
          </w:p>
        </w:tc>
        <w:tc>
          <w:tcPr>
            <w:tcW w:w="0" w:type="auto"/>
            <w:vAlign w:val="center"/>
            <w:hideMark/>
          </w:tcPr>
          <w:p w14:paraId="6ACE33EC" w14:textId="77777777" w:rsidR="00C8363A" w:rsidRPr="00C8363A" w:rsidRDefault="00C8363A" w:rsidP="00C8363A">
            <w:pPr>
              <w:ind w:firstLine="0"/>
              <w:rPr>
                <w:noProof/>
                <w14:ligatures w14:val="standardContextual"/>
              </w:rPr>
            </w:pPr>
            <w:r w:rsidRPr="00C8363A">
              <w:rPr>
                <w:noProof/>
                <w14:ligatures w14:val="standardContextual"/>
              </w:rPr>
              <w:t>(0.0391)</w:t>
            </w:r>
          </w:p>
        </w:tc>
      </w:tr>
      <w:tr w:rsidR="00C8363A" w:rsidRPr="00C8363A" w14:paraId="7058DD98" w14:textId="77777777" w:rsidTr="00C8363A">
        <w:trPr>
          <w:tblCellSpacing w:w="15" w:type="dxa"/>
          <w:jc w:val="center"/>
        </w:trPr>
        <w:tc>
          <w:tcPr>
            <w:tcW w:w="0" w:type="auto"/>
            <w:vAlign w:val="center"/>
            <w:hideMark/>
          </w:tcPr>
          <w:p w14:paraId="4DBEC120" w14:textId="77777777" w:rsidR="00C8363A" w:rsidRPr="00C8363A" w:rsidRDefault="00C8363A" w:rsidP="00C8363A">
            <w:pPr>
              <w:ind w:firstLine="0"/>
              <w:rPr>
                <w:noProof/>
                <w14:ligatures w14:val="standardContextual"/>
              </w:rPr>
            </w:pPr>
            <w:r w:rsidRPr="00C8363A">
              <w:rPr>
                <w:noProof/>
                <w14:ligatures w14:val="standardContextual"/>
              </w:rPr>
              <w:t>Constant</w:t>
            </w:r>
          </w:p>
        </w:tc>
        <w:tc>
          <w:tcPr>
            <w:tcW w:w="0" w:type="auto"/>
            <w:vAlign w:val="center"/>
            <w:hideMark/>
          </w:tcPr>
          <w:p w14:paraId="2A03D6EC"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34899E96" w14:textId="77777777" w:rsidTr="00C8363A">
        <w:trPr>
          <w:tblCellSpacing w:w="15" w:type="dxa"/>
          <w:jc w:val="center"/>
        </w:trPr>
        <w:tc>
          <w:tcPr>
            <w:tcW w:w="0" w:type="auto"/>
            <w:vAlign w:val="center"/>
            <w:hideMark/>
          </w:tcPr>
          <w:p w14:paraId="1C3A0376" w14:textId="77777777" w:rsidR="00C8363A" w:rsidRPr="00C8363A" w:rsidRDefault="00C8363A" w:rsidP="00C8363A">
            <w:pPr>
              <w:ind w:firstLine="0"/>
              <w:rPr>
                <w:noProof/>
                <w14:ligatures w14:val="standardContextual"/>
              </w:rPr>
            </w:pPr>
          </w:p>
        </w:tc>
        <w:tc>
          <w:tcPr>
            <w:tcW w:w="0" w:type="auto"/>
            <w:vAlign w:val="center"/>
            <w:hideMark/>
          </w:tcPr>
          <w:p w14:paraId="78A38747" w14:textId="77777777" w:rsidR="00C8363A" w:rsidRPr="00C8363A" w:rsidRDefault="00C8363A" w:rsidP="00C8363A">
            <w:pPr>
              <w:ind w:firstLine="0"/>
              <w:rPr>
                <w:noProof/>
                <w14:ligatures w14:val="standardContextual"/>
              </w:rPr>
            </w:pPr>
            <w:r w:rsidRPr="00C8363A">
              <w:rPr>
                <w:noProof/>
                <w14:ligatures w14:val="standardContextual"/>
              </w:rPr>
              <w:t>(0.0245)</w:t>
            </w:r>
          </w:p>
        </w:tc>
      </w:tr>
      <w:tr w:rsidR="00C8363A" w:rsidRPr="00C8363A" w14:paraId="7125A008" w14:textId="77777777" w:rsidTr="00C8363A">
        <w:trPr>
          <w:tblCellSpacing w:w="15" w:type="dxa"/>
          <w:jc w:val="center"/>
        </w:trPr>
        <w:tc>
          <w:tcPr>
            <w:tcW w:w="0" w:type="auto"/>
            <w:gridSpan w:val="2"/>
            <w:tcBorders>
              <w:bottom w:val="single" w:sz="6" w:space="0" w:color="000000"/>
            </w:tcBorders>
            <w:vAlign w:val="center"/>
            <w:hideMark/>
          </w:tcPr>
          <w:p w14:paraId="1E95BAA2" w14:textId="77777777" w:rsidR="00C8363A" w:rsidRPr="00C8363A" w:rsidRDefault="00C8363A" w:rsidP="00C8363A">
            <w:pPr>
              <w:ind w:firstLine="0"/>
              <w:rPr>
                <w:noProof/>
                <w14:ligatures w14:val="standardContextual"/>
              </w:rPr>
            </w:pPr>
          </w:p>
        </w:tc>
      </w:tr>
      <w:tr w:rsidR="00C8363A" w:rsidRPr="00C8363A" w14:paraId="5E2FDE70" w14:textId="77777777" w:rsidTr="00C8363A">
        <w:trPr>
          <w:tblCellSpacing w:w="15" w:type="dxa"/>
          <w:jc w:val="center"/>
        </w:trPr>
        <w:tc>
          <w:tcPr>
            <w:tcW w:w="0" w:type="auto"/>
            <w:vAlign w:val="center"/>
            <w:hideMark/>
          </w:tcPr>
          <w:p w14:paraId="4B79422D" w14:textId="77777777" w:rsidR="00C8363A" w:rsidRPr="00C8363A" w:rsidRDefault="00C8363A" w:rsidP="00C8363A">
            <w:pPr>
              <w:ind w:firstLine="0"/>
              <w:rPr>
                <w:noProof/>
                <w14:ligatures w14:val="standardContextual"/>
              </w:rPr>
            </w:pPr>
            <w:r w:rsidRPr="00C8363A">
              <w:rPr>
                <w:noProof/>
                <w14:ligatures w14:val="standardContextual"/>
              </w:rPr>
              <w:t>Observations</w:t>
            </w:r>
          </w:p>
        </w:tc>
        <w:tc>
          <w:tcPr>
            <w:tcW w:w="0" w:type="auto"/>
            <w:vAlign w:val="center"/>
            <w:hideMark/>
          </w:tcPr>
          <w:p w14:paraId="05EC8826" w14:textId="77777777" w:rsidR="00C8363A" w:rsidRPr="00C8363A" w:rsidRDefault="00C8363A" w:rsidP="00C8363A">
            <w:pPr>
              <w:ind w:firstLine="0"/>
              <w:rPr>
                <w:noProof/>
                <w14:ligatures w14:val="standardContextual"/>
              </w:rPr>
            </w:pPr>
            <w:r w:rsidRPr="00C8363A">
              <w:rPr>
                <w:noProof/>
                <w14:ligatures w14:val="standardContextual"/>
              </w:rPr>
              <w:t>861</w:t>
            </w:r>
          </w:p>
        </w:tc>
      </w:tr>
      <w:tr w:rsidR="00C8363A" w:rsidRPr="00C8363A" w14:paraId="0B183C72" w14:textId="77777777" w:rsidTr="00C8363A">
        <w:trPr>
          <w:tblCellSpacing w:w="15" w:type="dxa"/>
          <w:jc w:val="center"/>
        </w:trPr>
        <w:tc>
          <w:tcPr>
            <w:tcW w:w="0" w:type="auto"/>
            <w:vAlign w:val="center"/>
            <w:hideMark/>
          </w:tcPr>
          <w:p w14:paraId="6D755736" w14:textId="77777777" w:rsidR="00C8363A" w:rsidRPr="00C8363A" w:rsidRDefault="00C8363A" w:rsidP="00C8363A">
            <w:pPr>
              <w:ind w:firstLine="0"/>
              <w:rPr>
                <w:noProof/>
                <w14:ligatures w14:val="standardContextual"/>
              </w:rPr>
            </w:pPr>
            <w:r w:rsidRPr="00C8363A">
              <w:rPr>
                <w:noProof/>
                <w14:ligatures w14:val="standardContextual"/>
              </w:rPr>
              <w:t>R</w:t>
            </w:r>
            <w:r w:rsidRPr="00C8363A">
              <w:rPr>
                <w:noProof/>
                <w:vertAlign w:val="superscript"/>
                <w14:ligatures w14:val="standardContextual"/>
              </w:rPr>
              <w:t>2</w:t>
            </w:r>
          </w:p>
        </w:tc>
        <w:tc>
          <w:tcPr>
            <w:tcW w:w="0" w:type="auto"/>
            <w:vAlign w:val="center"/>
            <w:hideMark/>
          </w:tcPr>
          <w:p w14:paraId="499F9B5E" w14:textId="77777777" w:rsidR="00C8363A" w:rsidRPr="00C8363A" w:rsidRDefault="00C8363A" w:rsidP="00C8363A">
            <w:pPr>
              <w:ind w:firstLine="0"/>
              <w:rPr>
                <w:noProof/>
                <w14:ligatures w14:val="standardContextual"/>
              </w:rPr>
            </w:pPr>
            <w:r w:rsidRPr="00C8363A">
              <w:rPr>
                <w:noProof/>
                <w14:ligatures w14:val="standardContextual"/>
              </w:rPr>
              <w:t>0.0849</w:t>
            </w:r>
          </w:p>
        </w:tc>
      </w:tr>
      <w:tr w:rsidR="00C8363A" w:rsidRPr="00C8363A" w14:paraId="554077A6" w14:textId="77777777" w:rsidTr="00C8363A">
        <w:trPr>
          <w:tblCellSpacing w:w="15" w:type="dxa"/>
          <w:jc w:val="center"/>
        </w:trPr>
        <w:tc>
          <w:tcPr>
            <w:tcW w:w="0" w:type="auto"/>
            <w:vAlign w:val="center"/>
            <w:hideMark/>
          </w:tcPr>
          <w:p w14:paraId="3BD385FB" w14:textId="77777777" w:rsidR="00C8363A" w:rsidRPr="00C8363A" w:rsidRDefault="00C8363A" w:rsidP="00C8363A">
            <w:pPr>
              <w:ind w:firstLine="0"/>
              <w:rPr>
                <w:noProof/>
                <w14:ligatures w14:val="standardContextual"/>
              </w:rPr>
            </w:pPr>
            <w:r w:rsidRPr="00C8363A">
              <w:rPr>
                <w:noProof/>
                <w14:ligatures w14:val="standardContextual"/>
              </w:rPr>
              <w:t>Adjusted R</w:t>
            </w:r>
            <w:r w:rsidRPr="00C8363A">
              <w:rPr>
                <w:noProof/>
                <w:vertAlign w:val="superscript"/>
                <w14:ligatures w14:val="standardContextual"/>
              </w:rPr>
              <w:t>2</w:t>
            </w:r>
          </w:p>
        </w:tc>
        <w:tc>
          <w:tcPr>
            <w:tcW w:w="0" w:type="auto"/>
            <w:vAlign w:val="center"/>
            <w:hideMark/>
          </w:tcPr>
          <w:p w14:paraId="3CC7BA3D" w14:textId="77777777" w:rsidR="00C8363A" w:rsidRPr="00C8363A" w:rsidRDefault="00C8363A" w:rsidP="00C8363A">
            <w:pPr>
              <w:ind w:firstLine="0"/>
              <w:rPr>
                <w:noProof/>
                <w14:ligatures w14:val="standardContextual"/>
              </w:rPr>
            </w:pPr>
            <w:r w:rsidRPr="00C8363A">
              <w:rPr>
                <w:noProof/>
                <w14:ligatures w14:val="standardContextual"/>
              </w:rPr>
              <w:t>0.0817</w:t>
            </w:r>
          </w:p>
        </w:tc>
      </w:tr>
      <w:tr w:rsidR="00C8363A" w:rsidRPr="00C8363A" w14:paraId="710E39B3" w14:textId="77777777" w:rsidTr="00C8363A">
        <w:trPr>
          <w:tblCellSpacing w:w="15" w:type="dxa"/>
          <w:jc w:val="center"/>
        </w:trPr>
        <w:tc>
          <w:tcPr>
            <w:tcW w:w="0" w:type="auto"/>
            <w:vAlign w:val="center"/>
            <w:hideMark/>
          </w:tcPr>
          <w:p w14:paraId="253AEBB4" w14:textId="77777777" w:rsidR="00C8363A" w:rsidRPr="00C8363A" w:rsidRDefault="00C8363A" w:rsidP="00C8363A">
            <w:pPr>
              <w:ind w:firstLine="0"/>
              <w:rPr>
                <w:noProof/>
                <w14:ligatures w14:val="standardContextual"/>
              </w:rPr>
            </w:pPr>
            <w:r w:rsidRPr="00C8363A">
              <w:rPr>
                <w:noProof/>
                <w14:ligatures w14:val="standardContextual"/>
              </w:rPr>
              <w:t>Residual Std. Error</w:t>
            </w:r>
          </w:p>
        </w:tc>
        <w:tc>
          <w:tcPr>
            <w:tcW w:w="0" w:type="auto"/>
            <w:vAlign w:val="center"/>
            <w:hideMark/>
          </w:tcPr>
          <w:p w14:paraId="60712E68" w14:textId="77777777" w:rsidR="00C8363A" w:rsidRPr="00C8363A" w:rsidRDefault="00C8363A" w:rsidP="00C8363A">
            <w:pPr>
              <w:ind w:firstLine="0"/>
              <w:rPr>
                <w:noProof/>
                <w14:ligatures w14:val="standardContextual"/>
              </w:rPr>
            </w:pPr>
            <w:r w:rsidRPr="00C8363A">
              <w:rPr>
                <w:noProof/>
                <w14:ligatures w14:val="standardContextual"/>
              </w:rPr>
              <w:t>0.2346 (df = 857)</w:t>
            </w:r>
          </w:p>
        </w:tc>
      </w:tr>
      <w:tr w:rsidR="00C8363A" w:rsidRPr="00C8363A" w14:paraId="02C9260D" w14:textId="77777777" w:rsidTr="00C8363A">
        <w:trPr>
          <w:tblCellSpacing w:w="15" w:type="dxa"/>
          <w:jc w:val="center"/>
        </w:trPr>
        <w:tc>
          <w:tcPr>
            <w:tcW w:w="0" w:type="auto"/>
            <w:vAlign w:val="center"/>
            <w:hideMark/>
          </w:tcPr>
          <w:p w14:paraId="49C873C6" w14:textId="77777777" w:rsidR="00C8363A" w:rsidRPr="00C8363A" w:rsidRDefault="00C8363A" w:rsidP="00C8363A">
            <w:pPr>
              <w:ind w:firstLine="0"/>
              <w:rPr>
                <w:noProof/>
                <w14:ligatures w14:val="standardContextual"/>
              </w:rPr>
            </w:pPr>
            <w:r w:rsidRPr="00C8363A">
              <w:rPr>
                <w:noProof/>
                <w14:ligatures w14:val="standardContextual"/>
              </w:rPr>
              <w:t>F Statistic</w:t>
            </w:r>
          </w:p>
        </w:tc>
        <w:tc>
          <w:tcPr>
            <w:tcW w:w="0" w:type="auto"/>
            <w:vAlign w:val="center"/>
            <w:hideMark/>
          </w:tcPr>
          <w:p w14:paraId="2A0E546A" w14:textId="77777777" w:rsidR="00C8363A" w:rsidRPr="00C8363A" w:rsidRDefault="00C8363A" w:rsidP="00C8363A">
            <w:pPr>
              <w:ind w:firstLine="0"/>
              <w:rPr>
                <w:noProof/>
                <w14:ligatures w14:val="standardContextual"/>
              </w:rPr>
            </w:pPr>
            <w:r w:rsidRPr="00C8363A">
              <w:rPr>
                <w:noProof/>
                <w14:ligatures w14:val="standardContextual"/>
              </w:rPr>
              <w:t>26.5000</w:t>
            </w:r>
            <w:r w:rsidRPr="00C8363A">
              <w:rPr>
                <w:noProof/>
                <w:vertAlign w:val="superscript"/>
                <w14:ligatures w14:val="standardContextual"/>
              </w:rPr>
              <w:t>***</w:t>
            </w:r>
            <w:r w:rsidRPr="00C8363A">
              <w:rPr>
                <w:noProof/>
                <w14:ligatures w14:val="standardContextual"/>
              </w:rPr>
              <w:t xml:space="preserve"> (df = 3; 857)</w:t>
            </w:r>
          </w:p>
        </w:tc>
      </w:tr>
      <w:tr w:rsidR="00C8363A" w:rsidRPr="00C8363A" w14:paraId="27359822" w14:textId="77777777" w:rsidTr="00C8363A">
        <w:trPr>
          <w:tblCellSpacing w:w="15" w:type="dxa"/>
          <w:jc w:val="center"/>
        </w:trPr>
        <w:tc>
          <w:tcPr>
            <w:tcW w:w="0" w:type="auto"/>
            <w:gridSpan w:val="2"/>
            <w:tcBorders>
              <w:bottom w:val="single" w:sz="6" w:space="0" w:color="000000"/>
            </w:tcBorders>
            <w:vAlign w:val="center"/>
            <w:hideMark/>
          </w:tcPr>
          <w:p w14:paraId="79C57565" w14:textId="77777777" w:rsidR="00C8363A" w:rsidRPr="00C8363A" w:rsidRDefault="00C8363A" w:rsidP="00C8363A">
            <w:pPr>
              <w:ind w:firstLine="0"/>
              <w:rPr>
                <w:noProof/>
                <w14:ligatures w14:val="standardContextual"/>
              </w:rPr>
            </w:pPr>
          </w:p>
        </w:tc>
      </w:tr>
      <w:tr w:rsidR="00C8363A" w:rsidRPr="00C8363A" w14:paraId="1E60B9C9" w14:textId="77777777" w:rsidTr="00C8363A">
        <w:trPr>
          <w:tblCellSpacing w:w="15" w:type="dxa"/>
          <w:jc w:val="center"/>
        </w:trPr>
        <w:tc>
          <w:tcPr>
            <w:tcW w:w="0" w:type="auto"/>
            <w:vAlign w:val="center"/>
            <w:hideMark/>
          </w:tcPr>
          <w:p w14:paraId="4E1A2518" w14:textId="77777777" w:rsidR="00C8363A" w:rsidRPr="00C8363A" w:rsidRDefault="00C8363A" w:rsidP="00C8363A">
            <w:pPr>
              <w:ind w:firstLine="0"/>
              <w:rPr>
                <w:noProof/>
                <w14:ligatures w14:val="standardContextual"/>
              </w:rPr>
            </w:pPr>
            <w:r w:rsidRPr="00C8363A">
              <w:rPr>
                <w:i/>
                <w:iCs/>
                <w:noProof/>
                <w14:ligatures w14:val="standardContextual"/>
              </w:rPr>
              <w:t>Note:</w:t>
            </w:r>
          </w:p>
        </w:tc>
        <w:tc>
          <w:tcPr>
            <w:tcW w:w="0" w:type="auto"/>
            <w:vAlign w:val="center"/>
            <w:hideMark/>
          </w:tcPr>
          <w:p w14:paraId="5C0DF444" w14:textId="77777777" w:rsidR="00C8363A" w:rsidRPr="00C8363A" w:rsidRDefault="00C8363A" w:rsidP="00C8363A">
            <w:pPr>
              <w:ind w:firstLine="0"/>
              <w:rPr>
                <w:noProof/>
                <w14:ligatures w14:val="standardContextual"/>
              </w:rPr>
            </w:pPr>
            <w:r w:rsidRPr="00C8363A">
              <w:rPr>
                <w:noProof/>
                <w:vertAlign w:val="superscript"/>
                <w14:ligatures w14:val="standardContextual"/>
              </w:rPr>
              <w:t>*</w:t>
            </w:r>
            <w:r w:rsidRPr="00C8363A">
              <w:rPr>
                <w:noProof/>
                <w14:ligatures w14:val="standardContextual"/>
              </w:rPr>
              <w:t xml:space="preserve">p&lt;0.1; </w:t>
            </w:r>
            <w:r w:rsidRPr="00C8363A">
              <w:rPr>
                <w:noProof/>
                <w:vertAlign w:val="superscript"/>
                <w14:ligatures w14:val="standardContextual"/>
              </w:rPr>
              <w:t>**</w:t>
            </w:r>
            <w:r w:rsidRPr="00C8363A">
              <w:rPr>
                <w:noProof/>
                <w14:ligatures w14:val="standardContextual"/>
              </w:rPr>
              <w:t xml:space="preserve">p&lt;0.05; </w:t>
            </w:r>
            <w:r w:rsidRPr="00C8363A">
              <w:rPr>
                <w:noProof/>
                <w:vertAlign w:val="superscript"/>
                <w14:ligatures w14:val="standardContextual"/>
              </w:rPr>
              <w:t>***</w:t>
            </w:r>
            <w:r w:rsidRPr="00C8363A">
              <w:rPr>
                <w:noProof/>
                <w14:ligatures w14:val="standardContextual"/>
              </w:rPr>
              <w:t>p&lt;0.01</w:t>
            </w:r>
          </w:p>
        </w:tc>
      </w:tr>
    </w:tbl>
    <w:p w14:paraId="197C87ED" w14:textId="57BF2675" w:rsidR="00930217" w:rsidRDefault="00930217" w:rsidP="00930217">
      <w:pPr>
        <w:ind w:firstLine="0"/>
        <w:rPr>
          <w:noProof/>
          <w14:ligatures w14:val="standardContextual"/>
        </w:rPr>
      </w:pPr>
    </w:p>
    <w:p w14:paraId="45136D2F" w14:textId="134A6FC6" w:rsidR="00930217" w:rsidRDefault="00930217" w:rsidP="00930217">
      <w:pPr>
        <w:spacing w:line="240" w:lineRule="auto"/>
        <w:ind w:firstLine="0"/>
        <w:jc w:val="left"/>
        <w:rPr>
          <w:noProof/>
          <w14:ligatures w14:val="standardContextual"/>
        </w:rPr>
      </w:pPr>
      <w:r>
        <w:rPr>
          <w:noProof/>
          <w14:ligatures w14:val="standardContextual"/>
        </w:rPr>
        <w:br w:type="page"/>
      </w:r>
    </w:p>
    <w:p w14:paraId="32890B26" w14:textId="77777777" w:rsidR="00767205" w:rsidRDefault="00767205" w:rsidP="00767205">
      <w:pPr>
        <w:keepNext/>
        <w:spacing w:line="240" w:lineRule="auto"/>
        <w:ind w:firstLine="0"/>
        <w:jc w:val="left"/>
      </w:pPr>
      <w:r w:rsidRPr="00767205">
        <w:rPr>
          <w:noProof/>
          <w14:ligatures w14:val="standardContextual"/>
        </w:rPr>
        <w:lastRenderedPageBreak/>
        <w:drawing>
          <wp:inline distT="0" distB="0" distL="0" distR="0" wp14:anchorId="6DB80CAF" wp14:editId="38FCD11B">
            <wp:extent cx="5934710" cy="3956685"/>
            <wp:effectExtent l="0" t="0" r="0" b="5715"/>
            <wp:docPr id="2084368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105" name="Picture 1" descr="A graph of a graph&#10;&#10;Description automatically generated"/>
                    <pic:cNvPicPr/>
                  </pic:nvPicPr>
                  <pic:blipFill>
                    <a:blip r:embed="rId28"/>
                    <a:stretch>
                      <a:fillRect/>
                    </a:stretch>
                  </pic:blipFill>
                  <pic:spPr>
                    <a:xfrm>
                      <a:off x="0" y="0"/>
                      <a:ext cx="5934710" cy="3956685"/>
                    </a:xfrm>
                    <a:prstGeom prst="rect">
                      <a:avLst/>
                    </a:prstGeom>
                  </pic:spPr>
                </pic:pic>
              </a:graphicData>
            </a:graphic>
          </wp:inline>
        </w:drawing>
      </w:r>
    </w:p>
    <w:p w14:paraId="5AE511CC" w14:textId="30CB982E" w:rsidR="00767205" w:rsidRDefault="00767205" w:rsidP="00767205">
      <w:pPr>
        <w:pStyle w:val="Caption"/>
        <w:jc w:val="left"/>
      </w:pPr>
      <w:bookmarkStart w:id="41" w:name="_Ref178619195"/>
      <w:r>
        <w:t xml:space="preserve">Figure </w:t>
      </w:r>
      <w:fldSimple w:instr=" SEQ Figure \* ARABIC ">
        <w:r w:rsidR="00A2102A">
          <w:rPr>
            <w:noProof/>
          </w:rPr>
          <w:t>9</w:t>
        </w:r>
      </w:fldSimple>
      <w:bookmarkEnd w:id="41"/>
      <w:r>
        <w:t xml:space="preserve"> Realized Volatility around GREXIT</w:t>
      </w:r>
    </w:p>
    <w:p w14:paraId="09964F29" w14:textId="66677BC8" w:rsidR="00767205" w:rsidRDefault="00767205">
      <w:pPr>
        <w:spacing w:line="240" w:lineRule="auto"/>
        <w:ind w:firstLine="0"/>
        <w:jc w:val="left"/>
      </w:pPr>
      <w:r>
        <w:br w:type="page"/>
      </w:r>
    </w:p>
    <w:p w14:paraId="2B04A816" w14:textId="77777777" w:rsidR="00767205" w:rsidRPr="00767205" w:rsidRDefault="00767205" w:rsidP="00767205"/>
    <w:p w14:paraId="3B0EEB7C" w14:textId="0D6EF5CF" w:rsidR="00767205" w:rsidRDefault="00767205" w:rsidP="00714654">
      <w:pPr>
        <w:pStyle w:val="Caption"/>
        <w:keepNext/>
        <w:jc w:val="center"/>
      </w:pPr>
      <w:bookmarkStart w:id="42" w:name="_Ref178619310"/>
      <w:r>
        <w:t xml:space="preserve">Table </w:t>
      </w:r>
      <w:fldSimple w:instr=" SEQ Table \* ARABIC ">
        <w:r w:rsidR="00A2102A">
          <w:rPr>
            <w:noProof/>
          </w:rPr>
          <w:t>15</w:t>
        </w:r>
      </w:fldSimple>
      <w:bookmarkEnd w:id="42"/>
      <w:r>
        <w:t xml:space="preserve"> Volatility diff-in-diff during GREXIT </w:t>
      </w:r>
      <w:proofErr w:type="gramStart"/>
      <w:r>
        <w:t>time period</w:t>
      </w:r>
      <w:proofErr w:type="gramEnd"/>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275"/>
        <w:gridCol w:w="3061"/>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77777777" w:rsidR="00767205" w:rsidRPr="00EC20E0" w:rsidRDefault="00767205">
            <w:pPr>
              <w:jc w:val="center"/>
              <w:rPr>
                <w:rFonts w:eastAsia="Times New Roman"/>
                <w:sz w:val="22"/>
                <w:szCs w:val="22"/>
              </w:rPr>
            </w:pPr>
            <w:r w:rsidRPr="00EC20E0">
              <w:rPr>
                <w:rStyle w:val="Strong"/>
                <w:sz w:val="22"/>
                <w:szCs w:val="22"/>
              </w:rPr>
              <w:t>Difference-in-Differences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77777777" w:rsidR="00767205" w:rsidRPr="00EC20E0" w:rsidRDefault="00767205">
            <w:pPr>
              <w:jc w:val="left"/>
              <w:rPr>
                <w:rFonts w:eastAsia="Times New Roman"/>
                <w:sz w:val="22"/>
                <w:szCs w:val="22"/>
              </w:rPr>
            </w:pPr>
            <w:r w:rsidRPr="00EC20E0">
              <w:rPr>
                <w:rFonts w:eastAsia="Times New Roman"/>
                <w:sz w:val="22"/>
                <w:szCs w:val="22"/>
              </w:rPr>
              <w:t>Post 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77777777" w:rsidR="00767205" w:rsidRPr="00EC20E0" w:rsidRDefault="00767205">
            <w:pPr>
              <w:jc w:val="left"/>
              <w:rPr>
                <w:rFonts w:eastAsia="Times New Roman"/>
                <w:sz w:val="22"/>
                <w:szCs w:val="22"/>
              </w:rPr>
            </w:pPr>
            <w:r w:rsidRPr="00EC20E0">
              <w:rPr>
                <w:rFonts w:eastAsia="Times New Roman"/>
                <w:sz w:val="22"/>
                <w:szCs w:val="22"/>
              </w:rPr>
              <w:t>USD Market</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77777777" w:rsidR="00767205" w:rsidRPr="00EC20E0" w:rsidRDefault="00767205">
            <w:pPr>
              <w:jc w:val="left"/>
              <w:rPr>
                <w:rFonts w:eastAsia="Times New Roman"/>
                <w:sz w:val="22"/>
                <w:szCs w:val="22"/>
              </w:rPr>
            </w:pPr>
            <w:r w:rsidRPr="00EC20E0">
              <w:rPr>
                <w:rFonts w:eastAsia="Times New Roman"/>
                <w:sz w:val="22"/>
                <w:szCs w:val="22"/>
              </w:rPr>
              <w:t>Post Period x USD Market</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7777777" w:rsidR="00767205" w:rsidRDefault="00767205" w:rsidP="00930217">
      <w:pPr>
        <w:spacing w:line="240" w:lineRule="auto"/>
        <w:ind w:firstLine="0"/>
        <w:jc w:val="left"/>
        <w:rPr>
          <w:noProof/>
          <w14:ligatures w14:val="standardContextual"/>
        </w:rPr>
      </w:pPr>
    </w:p>
    <w:p w14:paraId="5EC949C8" w14:textId="77777777" w:rsidR="00767205" w:rsidRPr="00930217" w:rsidRDefault="00767205" w:rsidP="00930217">
      <w:pPr>
        <w:spacing w:line="240" w:lineRule="auto"/>
        <w:ind w:firstLine="0"/>
        <w:jc w:val="left"/>
        <w:rPr>
          <w:noProof/>
          <w14:ligatures w14:val="standardContextual"/>
        </w:rPr>
      </w:pPr>
    </w:p>
    <w:p w14:paraId="07CBAAE9" w14:textId="439CE1DF" w:rsidR="00E162B2" w:rsidRPr="002853F0" w:rsidRDefault="00E162B2" w:rsidP="00076D05">
      <w:pPr>
        <w:pStyle w:val="Heading1"/>
      </w:pPr>
      <w:bookmarkStart w:id="43" w:name="_Ref169916090"/>
      <w:r>
        <w:t>Conclusion</w:t>
      </w:r>
      <w:bookmarkEnd w:id="43"/>
    </w:p>
    <w:p w14:paraId="2E8F0D6B" w14:textId="7CA0DC3D" w:rsidR="00C802D3" w:rsidRDefault="00C802D3" w:rsidP="00C802D3">
      <w:pPr>
        <w:rPr>
          <w:rFonts w:eastAsia="Times New Roman"/>
        </w:rPr>
      </w:pPr>
      <w:r>
        <w:t>This study investigates the causal impact of the central clearing mandate on the interest rate swaps (IRS) market, focusing on key outcomes such as pricing, liquidity, and volatility. Using a difference-in-differences approach, I can isolate the effects of the clearing mandate, providing a comprehensive view of its influence on market dynamics.</w:t>
      </w:r>
    </w:p>
    <w:p w14:paraId="41028768" w14:textId="77777777" w:rsidR="00C802D3" w:rsidRDefault="00C802D3" w:rsidP="00C802D3">
      <w:r>
        <w:lastRenderedPageBreak/>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liquidity measure show no substantial change in liquidity as a result of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7E05E8C9" w14:textId="77777777" w:rsidR="003C2AB6" w:rsidRPr="003C2AB6" w:rsidRDefault="002A62E7" w:rsidP="003C2AB6">
      <w:pPr>
        <w:pStyle w:val="Bibliography"/>
      </w:pPr>
      <w:r>
        <w:lastRenderedPageBreak/>
        <w:fldChar w:fldCharType="begin"/>
      </w:r>
      <w:r>
        <w:instrText xml:space="preserve"> ADDIN ZOTERO_BIBL {"uncited":[],"omitted":[],"custom":[]} CSL_BIBLIOGRAPHY </w:instrText>
      </w:r>
      <w:r>
        <w:fldChar w:fldCharType="separate"/>
      </w:r>
      <w:r w:rsidR="003C2AB6" w:rsidRPr="003C2AB6">
        <w:t xml:space="preserve">Abadie, Alberto. 2005. “Semiparametric Difference-in-Differences Estimators.” </w:t>
      </w:r>
      <w:r w:rsidR="003C2AB6" w:rsidRPr="003C2AB6">
        <w:rPr>
          <w:i/>
          <w:iCs/>
        </w:rPr>
        <w:t>The Review of Economic Studies</w:t>
      </w:r>
      <w:r w:rsidR="003C2AB6" w:rsidRPr="003C2AB6">
        <w:t xml:space="preserve"> 72 (1): 1–19.</w:t>
      </w:r>
    </w:p>
    <w:p w14:paraId="43C06D37" w14:textId="77777777" w:rsidR="003C2AB6" w:rsidRPr="003C2AB6" w:rsidRDefault="003C2AB6" w:rsidP="003C2AB6">
      <w:pPr>
        <w:pStyle w:val="Bibliography"/>
      </w:pPr>
      <w:r w:rsidRPr="003C2AB6">
        <w:t xml:space="preserve">Allen, Franklin, and Douglas Gale. 2000. “Financial Contagion.” </w:t>
      </w:r>
      <w:r w:rsidRPr="003C2AB6">
        <w:rPr>
          <w:i/>
          <w:iCs/>
        </w:rPr>
        <w:t>Journal of Political Economy</w:t>
      </w:r>
      <w:r w:rsidRPr="003C2AB6">
        <w:t xml:space="preserve"> 108 (1): 1–33. https://doi.org/10.1086/262109.</w:t>
      </w:r>
    </w:p>
    <w:p w14:paraId="482ABD1C" w14:textId="77777777" w:rsidR="003C2AB6" w:rsidRPr="003C2AB6" w:rsidRDefault="003C2AB6" w:rsidP="003C2AB6">
      <w:pPr>
        <w:pStyle w:val="Bibliography"/>
      </w:pPr>
      <w:r w:rsidRPr="003C2AB6">
        <w:t>Allen, Franklin, and Douglas M. Gale. 2007. “An Introduction to Financial Crises.” SSRN Scholarly Paper. Rochester, NY. https://doi.org/10.2139/ssrn.1008311.</w:t>
      </w:r>
    </w:p>
    <w:p w14:paraId="2AA5A4C1" w14:textId="77777777" w:rsidR="003C2AB6" w:rsidRPr="003C2AB6" w:rsidRDefault="003C2AB6" w:rsidP="003C2AB6">
      <w:pPr>
        <w:pStyle w:val="Bibliography"/>
      </w:pPr>
      <w:r w:rsidRPr="003C2AB6">
        <w:t xml:space="preserve">Azad, A. S. M. </w:t>
      </w:r>
      <w:proofErr w:type="spellStart"/>
      <w:r w:rsidRPr="003C2AB6">
        <w:t>Sohel</w:t>
      </w:r>
      <w:proofErr w:type="spellEnd"/>
      <w:r w:rsidRPr="003C2AB6">
        <w:t>, Victor Fang, and Chi-</w:t>
      </w:r>
      <w:proofErr w:type="spellStart"/>
      <w:r w:rsidRPr="003C2AB6">
        <w:t>Hsiou</w:t>
      </w:r>
      <w:proofErr w:type="spellEnd"/>
      <w:r w:rsidRPr="003C2AB6">
        <w:t xml:space="preserve"> Hung. 2012. “Linking the Interest Rate Swap Markets to the Macroeconomic Risk: The UK and Us Evidence.” </w:t>
      </w:r>
      <w:r w:rsidRPr="003C2AB6">
        <w:rPr>
          <w:i/>
          <w:iCs/>
        </w:rPr>
        <w:t>International Review of Financial Analysis</w:t>
      </w:r>
      <w:r w:rsidRPr="003C2AB6">
        <w:t xml:space="preserve"> 22 (April):38–47. https://doi.org/10.1016/j.irfa.2012.03.001.</w:t>
      </w:r>
    </w:p>
    <w:p w14:paraId="2FAE41D4" w14:textId="77777777" w:rsidR="003C2AB6" w:rsidRPr="003C2AB6" w:rsidRDefault="003C2AB6" w:rsidP="003C2AB6">
      <w:pPr>
        <w:pStyle w:val="Bibliography"/>
      </w:pPr>
      <w:r w:rsidRPr="003C2AB6">
        <w:t xml:space="preserve">Bebchuk, Lucian A., and Itay Goldstein. 2011. “Self-Fulfilling Credit Market Freezes.” </w:t>
      </w:r>
      <w:r w:rsidRPr="003C2AB6">
        <w:rPr>
          <w:i/>
          <w:iCs/>
        </w:rPr>
        <w:t>The Review of Financial Studies</w:t>
      </w:r>
      <w:r w:rsidRPr="003C2AB6">
        <w:t xml:space="preserve"> 24 (11): 3519–55. https://doi.org/10.1093/rfs/hhr086.</w:t>
      </w:r>
    </w:p>
    <w:p w14:paraId="4B2020F4" w14:textId="77777777" w:rsidR="003C2AB6" w:rsidRPr="003C2AB6" w:rsidRDefault="003C2AB6" w:rsidP="003C2AB6">
      <w:pPr>
        <w:pStyle w:val="Bibliography"/>
      </w:pPr>
      <w:r w:rsidRPr="003C2AB6">
        <w:t xml:space="preserve">Benos, Evangelos, </w:t>
      </w:r>
      <w:proofErr w:type="spellStart"/>
      <w:r w:rsidRPr="003C2AB6">
        <w:t>Wenqian</w:t>
      </w:r>
      <w:proofErr w:type="spellEnd"/>
      <w:r w:rsidRPr="003C2AB6">
        <w:t xml:space="preserve"> Huang, Albert J. </w:t>
      </w:r>
      <w:proofErr w:type="spellStart"/>
      <w:r w:rsidRPr="003C2AB6">
        <w:t>Menkveld</w:t>
      </w:r>
      <w:proofErr w:type="spellEnd"/>
      <w:r w:rsidRPr="003C2AB6">
        <w:t xml:space="preserve">, and Michalis </w:t>
      </w:r>
      <w:proofErr w:type="spellStart"/>
      <w:r w:rsidRPr="003C2AB6">
        <w:t>Vasios</w:t>
      </w:r>
      <w:proofErr w:type="spellEnd"/>
      <w:r w:rsidRPr="003C2AB6">
        <w:t>. 2019. “The Cost of Clearing Fragmentation.” SSRN Scholarly Paper ID 3502465. Rochester, NY: Social Science Research Network. https://papers.ssrn.com/abstract=3502465.</w:t>
      </w:r>
    </w:p>
    <w:p w14:paraId="2A9D20A9" w14:textId="77777777" w:rsidR="003C2AB6" w:rsidRPr="003C2AB6" w:rsidRDefault="003C2AB6" w:rsidP="003C2AB6">
      <w:pPr>
        <w:pStyle w:val="Bibliography"/>
      </w:pPr>
      <w:r w:rsidRPr="003C2AB6">
        <w:t xml:space="preserve">Benos, Evangelos, Richard Payne, and Michalis </w:t>
      </w:r>
      <w:proofErr w:type="spellStart"/>
      <w:r w:rsidRPr="003C2AB6">
        <w:t>Vasios</w:t>
      </w:r>
      <w:proofErr w:type="spellEnd"/>
      <w:r w:rsidRPr="003C2AB6">
        <w:t xml:space="preserve">. 2020. “Centralized Trading, Transparency, and Interest Rate Swap Market Liquidity: Evidence from the Implementation of the Dodd–Frank Act.” </w:t>
      </w:r>
      <w:r w:rsidRPr="003C2AB6">
        <w:rPr>
          <w:i/>
          <w:iCs/>
        </w:rPr>
        <w:t>Journal of Financial and Quantitative Analysis</w:t>
      </w:r>
      <w:r w:rsidRPr="003C2AB6">
        <w:t xml:space="preserve"> 55 (1): 159–92. https://doi.org/10.1017/S0022109018001527.</w:t>
      </w:r>
    </w:p>
    <w:p w14:paraId="68FABC13" w14:textId="77777777" w:rsidR="003C2AB6" w:rsidRPr="003C2AB6" w:rsidRDefault="003C2AB6" w:rsidP="003C2AB6">
      <w:pPr>
        <w:pStyle w:val="Bibliography"/>
      </w:pPr>
      <w:r w:rsidRPr="003C2AB6">
        <w:t xml:space="preserve">Bernstein, Asaf, Eric Hughson, and Marc </w:t>
      </w:r>
      <w:proofErr w:type="spellStart"/>
      <w:r w:rsidRPr="003C2AB6">
        <w:t>Weidenmier</w:t>
      </w:r>
      <w:proofErr w:type="spellEnd"/>
      <w:r w:rsidRPr="003C2AB6">
        <w:t xml:space="preserve">. 2019. “Counterparty Risk and the Establishment of the New York Stock Exchange Clearinghouse.” </w:t>
      </w:r>
      <w:r w:rsidRPr="003C2AB6">
        <w:rPr>
          <w:i/>
          <w:iCs/>
        </w:rPr>
        <w:t>Journal of Political Economy</w:t>
      </w:r>
      <w:r w:rsidRPr="003C2AB6">
        <w:t xml:space="preserve"> 127 (2): 689–729. https://doi.org/10.1086/701033.</w:t>
      </w:r>
    </w:p>
    <w:p w14:paraId="760E0615" w14:textId="77777777" w:rsidR="003C2AB6" w:rsidRPr="003C2AB6" w:rsidRDefault="003C2AB6" w:rsidP="003C2AB6">
      <w:pPr>
        <w:pStyle w:val="Bibliography"/>
      </w:pPr>
      <w:r w:rsidRPr="003C2AB6">
        <w:t xml:space="preserve">Biais, Bruno. 1993. “Price Formation and Equilibrium Liquidity in Fragmented and Centralized Markets.” </w:t>
      </w:r>
      <w:r w:rsidRPr="003C2AB6">
        <w:rPr>
          <w:i/>
          <w:iCs/>
        </w:rPr>
        <w:t>The Journal of Finance</w:t>
      </w:r>
      <w:r w:rsidRPr="003C2AB6">
        <w:t xml:space="preserve"> 48 (1): 157–85. https://doi.org/10.1111/j.1540-6261.1993.tb04705.x.</w:t>
      </w:r>
    </w:p>
    <w:p w14:paraId="130C4406" w14:textId="77777777" w:rsidR="003C2AB6" w:rsidRPr="003C2AB6" w:rsidRDefault="003C2AB6" w:rsidP="003C2AB6">
      <w:pPr>
        <w:pStyle w:val="Bibliography"/>
      </w:pPr>
      <w:r w:rsidRPr="003C2AB6">
        <w:t xml:space="preserve">Bicksler, James, and Andrew H. Chen. 1986. “An Economic Analysis of Interest Rate Swaps.” </w:t>
      </w:r>
      <w:r w:rsidRPr="003C2AB6">
        <w:rPr>
          <w:i/>
          <w:iCs/>
        </w:rPr>
        <w:t>The Journal of Finance</w:t>
      </w:r>
      <w:r w:rsidRPr="003C2AB6">
        <w:t xml:space="preserve"> 41 (3): 645–55. https://doi.org/10.2307/2328495.</w:t>
      </w:r>
    </w:p>
    <w:p w14:paraId="589A5F56" w14:textId="77777777" w:rsidR="003C2AB6" w:rsidRPr="003C2AB6" w:rsidRDefault="003C2AB6" w:rsidP="003C2AB6">
      <w:pPr>
        <w:pStyle w:val="Bibliography"/>
      </w:pPr>
      <w:r w:rsidRPr="003C2AB6">
        <w:t>Bolandnazar, Mohammadreza. 2020. “The Market Structure of Dealer-to-Client Interest Rate Swaps.” SSRN Scholarly Paper 3752367. Rochester, NY: Social Science Research Network. https://doi.org/10.2139/ssrn.3752367.</w:t>
      </w:r>
    </w:p>
    <w:p w14:paraId="3548592F" w14:textId="77777777" w:rsidR="003C2AB6" w:rsidRPr="003C2AB6" w:rsidRDefault="003C2AB6" w:rsidP="003C2AB6">
      <w:pPr>
        <w:pStyle w:val="Bibliography"/>
      </w:pPr>
      <w:r w:rsidRPr="003C2AB6">
        <w:t xml:space="preserve">Boudiaf, Ismael Alexander, </w:t>
      </w:r>
      <w:proofErr w:type="spellStart"/>
      <w:r w:rsidRPr="003C2AB6">
        <w:t>Immo</w:t>
      </w:r>
      <w:proofErr w:type="spellEnd"/>
      <w:r w:rsidRPr="003C2AB6">
        <w:t xml:space="preserve"> Frieden, and Martin </w:t>
      </w:r>
      <w:proofErr w:type="spellStart"/>
      <w:r w:rsidRPr="003C2AB6">
        <w:t>Scheicher</w:t>
      </w:r>
      <w:proofErr w:type="spellEnd"/>
      <w:r w:rsidRPr="003C2AB6">
        <w:t>. 2024. “The Market Liquidity of Interest Rate Swaps.” SSRN Scholarly Paper. Rochester, NY. https://doi.org/10.2139/ssrn.4745740.</w:t>
      </w:r>
    </w:p>
    <w:p w14:paraId="33922BFA" w14:textId="77777777" w:rsidR="003C2AB6" w:rsidRPr="003C2AB6" w:rsidRDefault="003C2AB6" w:rsidP="003C2AB6">
      <w:pPr>
        <w:pStyle w:val="Bibliography"/>
      </w:pPr>
      <w:r w:rsidRPr="003C2AB6">
        <w:t xml:space="preserve">Brunnermeier, Markus K. 2009. “Deciphering the Liquidity and Credit Crunch 2007-2008.” </w:t>
      </w:r>
      <w:r w:rsidRPr="003C2AB6">
        <w:rPr>
          <w:i/>
          <w:iCs/>
        </w:rPr>
        <w:t>Journal of Economic Perspectives</w:t>
      </w:r>
      <w:r w:rsidRPr="003C2AB6">
        <w:t xml:space="preserve"> 23 (1): 77–100. https://doi.org/10.1257/jep.23.1.77.</w:t>
      </w:r>
    </w:p>
    <w:p w14:paraId="09ADEFBD" w14:textId="77777777" w:rsidR="003C2AB6" w:rsidRPr="003C2AB6" w:rsidRDefault="003C2AB6" w:rsidP="003C2AB6">
      <w:pPr>
        <w:pStyle w:val="Bibliography"/>
      </w:pPr>
      <w:r w:rsidRPr="003C2AB6">
        <w:t xml:space="preserve">Capponi, Agostino, and Martin Larsson. 2015. “Price Contagion through Balance Sheet Linkages.” </w:t>
      </w:r>
      <w:r w:rsidRPr="003C2AB6">
        <w:rPr>
          <w:i/>
          <w:iCs/>
        </w:rPr>
        <w:t>The Review of Asset Pricing Studies</w:t>
      </w:r>
      <w:r w:rsidRPr="003C2AB6">
        <w:t xml:space="preserve"> 5 (2): 227–53. https://doi.org/10.1093/rapstu/rav006.</w:t>
      </w:r>
    </w:p>
    <w:p w14:paraId="70D2D7EF" w14:textId="77777777" w:rsidR="003C2AB6" w:rsidRPr="003C2AB6" w:rsidRDefault="003C2AB6" w:rsidP="003C2AB6">
      <w:pPr>
        <w:pStyle w:val="Bibliography"/>
      </w:pPr>
      <w:r w:rsidRPr="003C2AB6">
        <w:t xml:space="preserve">Cifuentes, Rodrigo, Gianluigi Ferrucci, and Hyun Song Shin. 2005. “Liquidity Risk and Contagion.” </w:t>
      </w:r>
      <w:r w:rsidRPr="003C2AB6">
        <w:rPr>
          <w:i/>
          <w:iCs/>
        </w:rPr>
        <w:t>Journal of the European Economic Association</w:t>
      </w:r>
      <w:r w:rsidRPr="003C2AB6">
        <w:t xml:space="preserve"> 3 (2–3): 556–66. https://doi.org/10.1162/jeea.2005.3.2-3.556.</w:t>
      </w:r>
    </w:p>
    <w:p w14:paraId="63B2E774" w14:textId="77777777" w:rsidR="003C2AB6" w:rsidRPr="003C2AB6" w:rsidRDefault="003C2AB6" w:rsidP="003C2AB6">
      <w:pPr>
        <w:pStyle w:val="Bibliography"/>
      </w:pPr>
      <w:r w:rsidRPr="003C2AB6">
        <w:t xml:space="preserve">Diamond, Douglas W., and Philip H. Dybvig. 1983. “Bank Runs, Deposit Insurance, and Liquidity.” </w:t>
      </w:r>
      <w:r w:rsidRPr="003C2AB6">
        <w:rPr>
          <w:i/>
          <w:iCs/>
        </w:rPr>
        <w:t>Journal of Political Economy</w:t>
      </w:r>
      <w:r w:rsidRPr="003C2AB6">
        <w:t xml:space="preserve"> 91 (3): 401–19. https://doi.org/10.1086/261155.</w:t>
      </w:r>
    </w:p>
    <w:p w14:paraId="6166421A" w14:textId="77777777" w:rsidR="003C2AB6" w:rsidRPr="003C2AB6" w:rsidRDefault="003C2AB6" w:rsidP="003C2AB6">
      <w:pPr>
        <w:pStyle w:val="Bibliography"/>
      </w:pPr>
      <w:r w:rsidRPr="003C2AB6">
        <w:t xml:space="preserve">Diamond, Douglas W., and Raghuram G. Rajan. 2011. “Fear of Fire Sales, Illiquidity Seeking, and Credit Freezes *.” </w:t>
      </w:r>
      <w:r w:rsidRPr="003C2AB6">
        <w:rPr>
          <w:i/>
          <w:iCs/>
        </w:rPr>
        <w:t>The Quarterly Journal of Economics</w:t>
      </w:r>
      <w:r w:rsidRPr="003C2AB6">
        <w:t xml:space="preserve"> 126 (2): 557–91. https://doi.org/10.1093/qje/qjr012.</w:t>
      </w:r>
    </w:p>
    <w:p w14:paraId="2B02CE0B" w14:textId="77777777" w:rsidR="003C2AB6" w:rsidRPr="003C2AB6" w:rsidRDefault="003C2AB6" w:rsidP="003C2AB6">
      <w:pPr>
        <w:pStyle w:val="Bibliography"/>
      </w:pPr>
      <w:r w:rsidRPr="003C2AB6">
        <w:lastRenderedPageBreak/>
        <w:t xml:space="preserve">Duffie, Darrell, and </w:t>
      </w:r>
      <w:proofErr w:type="spellStart"/>
      <w:r w:rsidRPr="003C2AB6">
        <w:t>Haoxiang</w:t>
      </w:r>
      <w:proofErr w:type="spellEnd"/>
      <w:r w:rsidRPr="003C2AB6">
        <w:t xml:space="preserve"> Zhu. 2011. “Does a Central Clearing Counterparty Reduce Counterparty Risk?” </w:t>
      </w:r>
      <w:r w:rsidRPr="003C2AB6">
        <w:rPr>
          <w:i/>
          <w:iCs/>
        </w:rPr>
        <w:t>Review of Asset Pricing Studies</w:t>
      </w:r>
      <w:r w:rsidRPr="003C2AB6">
        <w:t xml:space="preserve"> 1 (1): 74–95.</w:t>
      </w:r>
    </w:p>
    <w:p w14:paraId="25A7335F" w14:textId="77777777" w:rsidR="003C2AB6" w:rsidRPr="003C2AB6" w:rsidRDefault="003C2AB6" w:rsidP="003C2AB6">
      <w:pPr>
        <w:pStyle w:val="Bibliography"/>
      </w:pPr>
      <w:r w:rsidRPr="003C2AB6">
        <w:t xml:space="preserve">Gai, Prasanna, and Sujit Kapadia. 2010. “Contagion in Financial Networks.” </w:t>
      </w:r>
      <w:r w:rsidRPr="003C2AB6">
        <w:rPr>
          <w:i/>
          <w:iCs/>
        </w:rPr>
        <w:t>Proceedings of the Royal Society A: Mathematical, Physical and Engineering Sciences</w:t>
      </w:r>
      <w:r w:rsidRPr="003C2AB6">
        <w:t xml:space="preserve"> 466 (2120): 2401–23. https://doi.org/10.1098/rspa.2009.0410.</w:t>
      </w:r>
    </w:p>
    <w:p w14:paraId="1A6A7FE8" w14:textId="77777777" w:rsidR="003C2AB6" w:rsidRPr="003C2AB6" w:rsidRDefault="003C2AB6" w:rsidP="003C2AB6">
      <w:pPr>
        <w:pStyle w:val="Bibliography"/>
      </w:pPr>
      <w:r w:rsidRPr="003C2AB6">
        <w:t xml:space="preserve">Golan, Amos. 2017. </w:t>
      </w:r>
      <w:r w:rsidRPr="003C2AB6">
        <w:rPr>
          <w:i/>
          <w:iCs/>
        </w:rPr>
        <w:t>Foundations of Info-Metrics: Modeling and Inference with Imperfect Information</w:t>
      </w:r>
      <w:r w:rsidRPr="003C2AB6">
        <w:t>. New York, NY: Oxford University Press.</w:t>
      </w:r>
    </w:p>
    <w:p w14:paraId="02B9AA32" w14:textId="77777777" w:rsidR="003C2AB6" w:rsidRPr="003C2AB6" w:rsidRDefault="003C2AB6" w:rsidP="003C2AB6">
      <w:pPr>
        <w:pStyle w:val="Bibliography"/>
      </w:pPr>
      <w:r w:rsidRPr="003C2AB6">
        <w:t xml:space="preserve">Golan, Amos, George Judge, and Jeffrey M. Perloff. 1996. “A Maximum Entropy Approach to Recovering Information </w:t>
      </w:r>
      <w:proofErr w:type="gramStart"/>
      <w:r w:rsidRPr="003C2AB6">
        <w:t>From</w:t>
      </w:r>
      <w:proofErr w:type="gramEnd"/>
      <w:r w:rsidRPr="003C2AB6">
        <w:t xml:space="preserve"> Multinomial Response Data.” </w:t>
      </w:r>
      <w:r w:rsidRPr="003C2AB6">
        <w:rPr>
          <w:i/>
          <w:iCs/>
        </w:rPr>
        <w:t>Journal of the American Statistical Association</w:t>
      </w:r>
      <w:r w:rsidRPr="003C2AB6">
        <w:t xml:space="preserve"> 91 (434): 841–53. https://doi.org/10.2307/2291679.</w:t>
      </w:r>
    </w:p>
    <w:p w14:paraId="27C2FB82" w14:textId="77777777" w:rsidR="003C2AB6" w:rsidRPr="003C2AB6" w:rsidRDefault="003C2AB6" w:rsidP="003C2AB6">
      <w:pPr>
        <w:pStyle w:val="Bibliography"/>
      </w:pPr>
      <w:r w:rsidRPr="003C2AB6">
        <w:t xml:space="preserve">Greenwood, Robin, Augustin </w:t>
      </w:r>
      <w:proofErr w:type="spellStart"/>
      <w:r w:rsidRPr="003C2AB6">
        <w:t>Landier</w:t>
      </w:r>
      <w:proofErr w:type="spellEnd"/>
      <w:r w:rsidRPr="003C2AB6">
        <w:t xml:space="preserve">, and David </w:t>
      </w:r>
      <w:proofErr w:type="spellStart"/>
      <w:r w:rsidRPr="003C2AB6">
        <w:t>Thesmar</w:t>
      </w:r>
      <w:proofErr w:type="spellEnd"/>
      <w:r w:rsidRPr="003C2AB6">
        <w:t xml:space="preserve">. 2015. “Vulnerable Banks.” </w:t>
      </w:r>
      <w:r w:rsidRPr="003C2AB6">
        <w:rPr>
          <w:i/>
          <w:iCs/>
        </w:rPr>
        <w:t>Journal of Financial Economics</w:t>
      </w:r>
      <w:r w:rsidRPr="003C2AB6">
        <w:t xml:space="preserve"> 115 (3): 471–85. https://doi.org/10.1016/j.jfineco.2014.11.006.</w:t>
      </w:r>
    </w:p>
    <w:p w14:paraId="7E377EAB" w14:textId="77777777" w:rsidR="003C2AB6" w:rsidRPr="003C2AB6" w:rsidRDefault="003C2AB6" w:rsidP="003C2AB6">
      <w:pPr>
        <w:pStyle w:val="Bibliography"/>
      </w:pPr>
      <w:r w:rsidRPr="003C2AB6">
        <w:t xml:space="preserve">Heckman, James J., Hidehiko </w:t>
      </w:r>
      <w:proofErr w:type="spellStart"/>
      <w:r w:rsidRPr="003C2AB6">
        <w:t>Ichimura</w:t>
      </w:r>
      <w:proofErr w:type="spellEnd"/>
      <w:r w:rsidRPr="003C2AB6">
        <w:t xml:space="preserve">, and Petra E. Todd. 1997. “Matching </w:t>
      </w:r>
      <w:proofErr w:type="gramStart"/>
      <w:r w:rsidRPr="003C2AB6">
        <w:t>As</w:t>
      </w:r>
      <w:proofErr w:type="gramEnd"/>
      <w:r w:rsidRPr="003C2AB6">
        <w:t xml:space="preserve"> An Econometric Evaluation Estimator: Evidence from Evaluating a Job Training </w:t>
      </w:r>
      <w:proofErr w:type="spellStart"/>
      <w:r w:rsidRPr="003C2AB6">
        <w:t>Programme</w:t>
      </w:r>
      <w:proofErr w:type="spellEnd"/>
      <w:r w:rsidRPr="003C2AB6">
        <w:t xml:space="preserve">.” </w:t>
      </w:r>
      <w:r w:rsidRPr="003C2AB6">
        <w:rPr>
          <w:i/>
          <w:iCs/>
        </w:rPr>
        <w:t>The Review of Economic Studies</w:t>
      </w:r>
      <w:r w:rsidRPr="003C2AB6">
        <w:t xml:space="preserve"> 64 (4): 605–54. https://doi.org/10.2307/2971733.</w:t>
      </w:r>
    </w:p>
    <w:p w14:paraId="3203722A" w14:textId="77777777" w:rsidR="003C2AB6" w:rsidRPr="003C2AB6" w:rsidRDefault="003C2AB6" w:rsidP="003C2AB6">
      <w:pPr>
        <w:pStyle w:val="Bibliography"/>
      </w:pPr>
      <w:r w:rsidRPr="003C2AB6">
        <w:t xml:space="preserve">Jackson, Matthew O., and Agathe Pernoud. 2021. “Systemic Risk in Financial Networks: A Survey.” </w:t>
      </w:r>
      <w:r w:rsidRPr="003C2AB6">
        <w:rPr>
          <w:i/>
          <w:iCs/>
        </w:rPr>
        <w:t>Annual Review of Economics</w:t>
      </w:r>
      <w:r w:rsidRPr="003C2AB6">
        <w:t xml:space="preserve"> 13 (1): 171–202. https://doi.org/10.1146/annurev-economics-083120-111540.</w:t>
      </w:r>
    </w:p>
    <w:p w14:paraId="493F7B77" w14:textId="77777777" w:rsidR="003C2AB6" w:rsidRPr="003C2AB6" w:rsidRDefault="003C2AB6" w:rsidP="003C2AB6">
      <w:pPr>
        <w:pStyle w:val="Bibliography"/>
      </w:pPr>
      <w:r w:rsidRPr="003C2AB6">
        <w:t xml:space="preserve">Kiyotaki, </w:t>
      </w:r>
      <w:proofErr w:type="spellStart"/>
      <w:r w:rsidRPr="003C2AB6">
        <w:t>Nobuhiro</w:t>
      </w:r>
      <w:proofErr w:type="spellEnd"/>
      <w:r w:rsidRPr="003C2AB6">
        <w:t xml:space="preserve">, and John Moore. 1997. “Credit Cycles.” </w:t>
      </w:r>
      <w:r w:rsidRPr="003C2AB6">
        <w:rPr>
          <w:i/>
          <w:iCs/>
        </w:rPr>
        <w:t>Journal of Political Economy</w:t>
      </w:r>
      <w:r w:rsidRPr="003C2AB6">
        <w:t xml:space="preserve"> 105 (2): 211–48. https://doi.org/10.1086/262072.</w:t>
      </w:r>
    </w:p>
    <w:p w14:paraId="237065A4" w14:textId="77777777" w:rsidR="003C2AB6" w:rsidRPr="003C2AB6" w:rsidRDefault="003C2AB6" w:rsidP="003C2AB6">
      <w:pPr>
        <w:pStyle w:val="Bibliography"/>
      </w:pPr>
      <w:r w:rsidRPr="003C2AB6">
        <w:t>Kleist, Karsten von, and C. Mallo. 2011. “OTC Derivatives Market Activity in the Second Half of 2010.” Bank of International Settlements. https://www.bis.org/publ/otc_hy1105.pdf.</w:t>
      </w:r>
    </w:p>
    <w:p w14:paraId="29F7FD27" w14:textId="77777777" w:rsidR="003C2AB6" w:rsidRPr="003C2AB6" w:rsidRDefault="003C2AB6" w:rsidP="003C2AB6">
      <w:pPr>
        <w:pStyle w:val="Bibliography"/>
      </w:pPr>
      <w:r w:rsidRPr="003C2AB6">
        <w:t xml:space="preserve">Liu, Jun, Francis A. Longstaff, and </w:t>
      </w:r>
      <w:proofErr w:type="spellStart"/>
      <w:r w:rsidRPr="003C2AB6">
        <w:t>Ravit</w:t>
      </w:r>
      <w:proofErr w:type="spellEnd"/>
      <w:r w:rsidRPr="003C2AB6">
        <w:t xml:space="preserve"> E. Mandell. 2006. “The Market Price of Risk in Interest Rate Swaps: The Roles of Default and Liquidity Risks.” </w:t>
      </w:r>
      <w:r w:rsidRPr="003C2AB6">
        <w:rPr>
          <w:i/>
          <w:iCs/>
        </w:rPr>
        <w:t>The Journal of Business</w:t>
      </w:r>
      <w:r w:rsidRPr="003C2AB6">
        <w:t xml:space="preserve"> 79 (5): 2337–59. https://doi.org/10.1086/505237.</w:t>
      </w:r>
    </w:p>
    <w:p w14:paraId="29B779F7" w14:textId="77777777" w:rsidR="003C2AB6" w:rsidRPr="003C2AB6" w:rsidRDefault="003C2AB6" w:rsidP="003C2AB6">
      <w:pPr>
        <w:pStyle w:val="Bibliography"/>
      </w:pPr>
      <w:r w:rsidRPr="003C2AB6">
        <w:t xml:space="preserve">Loon, Yee Cheng, and </w:t>
      </w:r>
      <w:proofErr w:type="spellStart"/>
      <w:r w:rsidRPr="003C2AB6">
        <w:t>Zhaodong</w:t>
      </w:r>
      <w:proofErr w:type="spellEnd"/>
      <w:r w:rsidRPr="003C2AB6">
        <w:t xml:space="preserve"> Ken Zhong. 2014. “The Impact of Central Clearing on Counterparty Risk, Liquidity, and Trading: Evidence from the Credit Default Swap Market.” </w:t>
      </w:r>
      <w:r w:rsidRPr="003C2AB6">
        <w:rPr>
          <w:i/>
          <w:iCs/>
        </w:rPr>
        <w:t>Journal of Financial Economics</w:t>
      </w:r>
      <w:r w:rsidRPr="003C2AB6">
        <w:t xml:space="preserve"> 112 (1): 91–115. https://doi.org/10.1016/j.jfineco.2013.12.001.</w:t>
      </w:r>
    </w:p>
    <w:p w14:paraId="7ECEC66D" w14:textId="77777777" w:rsidR="003C2AB6" w:rsidRPr="003C2AB6" w:rsidRDefault="003C2AB6" w:rsidP="003C2AB6">
      <w:pPr>
        <w:pStyle w:val="Bibliography"/>
      </w:pPr>
      <w:r w:rsidRPr="003C2AB6">
        <w:t xml:space="preserve">McPartland, John W. 2009. “Clearing and Settlement of Exchange Traded Derivatives.” </w:t>
      </w:r>
      <w:r w:rsidRPr="003C2AB6">
        <w:rPr>
          <w:i/>
          <w:iCs/>
        </w:rPr>
        <w:t>Chicago Fed Letter</w:t>
      </w:r>
      <w:r w:rsidRPr="003C2AB6">
        <w:t xml:space="preserve"> 267 (2). https://fraser.stlouisfed.org/files/docs/historical/frbchi/policydiscussion/frbchi_policy_2009-02.pdf.</w:t>
      </w:r>
    </w:p>
    <w:p w14:paraId="5D9F51A9" w14:textId="77777777" w:rsidR="003C2AB6" w:rsidRPr="003C2AB6" w:rsidRDefault="003C2AB6" w:rsidP="003C2AB6">
      <w:pPr>
        <w:pStyle w:val="Bibliography"/>
      </w:pPr>
      <w:r w:rsidRPr="003C2AB6">
        <w:t xml:space="preserve">Minton, Bernadette A. 1997. “An Empirical Examination of Basic Valuation Models for Plain Vanilla U.S. Interest Rate Swaps.” </w:t>
      </w:r>
      <w:r w:rsidRPr="003C2AB6">
        <w:rPr>
          <w:i/>
          <w:iCs/>
        </w:rPr>
        <w:t>Journal of Financial Economics</w:t>
      </w:r>
      <w:r w:rsidRPr="003C2AB6">
        <w:t xml:space="preserve"> 44 (2): 251–77. https://doi.org/10.1016/S0304-405X(97)00005-6.</w:t>
      </w:r>
    </w:p>
    <w:p w14:paraId="440CA938" w14:textId="77777777" w:rsidR="003C2AB6" w:rsidRPr="003C2AB6" w:rsidRDefault="003C2AB6" w:rsidP="003C2AB6">
      <w:pPr>
        <w:pStyle w:val="Bibliography"/>
      </w:pPr>
      <w:r w:rsidRPr="003C2AB6">
        <w:t>Pirrong, Craig. 2011. “The Economics of Central Clearing: Theory and Practice.”</w:t>
      </w:r>
    </w:p>
    <w:p w14:paraId="34C4A79B" w14:textId="77777777" w:rsidR="003C2AB6" w:rsidRPr="003C2AB6" w:rsidRDefault="003C2AB6" w:rsidP="003C2AB6">
      <w:pPr>
        <w:pStyle w:val="Bibliography"/>
      </w:pPr>
      <w:r w:rsidRPr="003C2AB6">
        <w:t xml:space="preserve">Rochet, Jean-Charles, and Jean Tirole. 1996. “Interbank Lending and Systemic Risk.” </w:t>
      </w:r>
      <w:r w:rsidRPr="003C2AB6">
        <w:rPr>
          <w:i/>
          <w:iCs/>
        </w:rPr>
        <w:t>Journal of Money, Credit and Banking</w:t>
      </w:r>
      <w:r w:rsidRPr="003C2AB6">
        <w:t xml:space="preserve"> 28 (4): 733–62. https://doi.org/10.2307/2077918.</w:t>
      </w:r>
    </w:p>
    <w:p w14:paraId="775EAC1D" w14:textId="77777777" w:rsidR="003C2AB6" w:rsidRPr="003C2AB6" w:rsidRDefault="003C2AB6" w:rsidP="003C2AB6">
      <w:pPr>
        <w:pStyle w:val="Bibliography"/>
      </w:pPr>
      <w:r w:rsidRPr="003C2AB6">
        <w:t xml:space="preserve">Roll, Richard. 1984. “A Simple Implicit Measure of the Effective Bid-Ask Spread in an Efficient Market.” </w:t>
      </w:r>
      <w:r w:rsidRPr="003C2AB6">
        <w:rPr>
          <w:i/>
          <w:iCs/>
        </w:rPr>
        <w:t>The Journal of Finance</w:t>
      </w:r>
      <w:r w:rsidRPr="003C2AB6">
        <w:t xml:space="preserve"> 39 (4): 1127–39. https://doi.org/10.1111/j.1540-6261.1984.tb03897.x.</w:t>
      </w:r>
    </w:p>
    <w:p w14:paraId="05FDC754" w14:textId="77777777" w:rsidR="003C2AB6" w:rsidRPr="003C2AB6" w:rsidRDefault="003C2AB6" w:rsidP="003C2AB6">
      <w:pPr>
        <w:pStyle w:val="Bibliography"/>
      </w:pPr>
      <w:proofErr w:type="spellStart"/>
      <w:r w:rsidRPr="003C2AB6">
        <w:t>Skarr</w:t>
      </w:r>
      <w:proofErr w:type="spellEnd"/>
      <w:r w:rsidRPr="003C2AB6">
        <w:t xml:space="preserve">, Doug, and Kristin </w:t>
      </w:r>
      <w:proofErr w:type="spellStart"/>
      <w:r w:rsidRPr="003C2AB6">
        <w:t>Szakaly</w:t>
      </w:r>
      <w:proofErr w:type="spellEnd"/>
      <w:r w:rsidRPr="003C2AB6">
        <w:t>-Moore. 2007. “Understanding Interest Rate Swap Math &amp; Pricing.” California Debt and Investment Advisory Commission. https://www.treasurer.ca.gov/cdiac/publications/math.pdf.</w:t>
      </w:r>
    </w:p>
    <w:p w14:paraId="73D49F7A" w14:textId="77777777" w:rsidR="003C2AB6" w:rsidRPr="003C2AB6" w:rsidRDefault="003C2AB6" w:rsidP="003C2AB6">
      <w:pPr>
        <w:pStyle w:val="Bibliography"/>
      </w:pPr>
      <w:r w:rsidRPr="003C2AB6">
        <w:lastRenderedPageBreak/>
        <w:t xml:space="preserve">Smith, Clifford W., Charles W. Smithson, and Lee Macdonald Wakeman. 1988. “The Market for Interest Rate Swaps.” </w:t>
      </w:r>
      <w:r w:rsidRPr="003C2AB6">
        <w:rPr>
          <w:i/>
          <w:iCs/>
        </w:rPr>
        <w:t>Financial Management</w:t>
      </w:r>
      <w:r w:rsidRPr="003C2AB6">
        <w:t xml:space="preserve"> 17 (4): 34–44. https://doi.org/10.2307/3665765.</w:t>
      </w:r>
    </w:p>
    <w:p w14:paraId="3EF713D7" w14:textId="77777777" w:rsidR="003C2AB6" w:rsidRPr="003C2AB6" w:rsidRDefault="003C2AB6" w:rsidP="003C2AB6">
      <w:pPr>
        <w:pStyle w:val="Bibliography"/>
      </w:pPr>
      <w:r w:rsidRPr="003C2AB6">
        <w:t xml:space="preserve">Sun, Tong-sheng, Suresh Sundaresan, and Ching Wang. 1993. “Interest Rate Swaps: An Empirical Investigation.” </w:t>
      </w:r>
      <w:r w:rsidRPr="003C2AB6">
        <w:rPr>
          <w:i/>
          <w:iCs/>
        </w:rPr>
        <w:t>Journal of Financial Economics</w:t>
      </w:r>
      <w:r w:rsidRPr="003C2AB6">
        <w:t xml:space="preserve"> 34 (1): 77–99. https://doi.org/10.1016/0304-405X(93)90041-9.</w:t>
      </w:r>
    </w:p>
    <w:p w14:paraId="0490112E" w14:textId="53F30AAC"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44" w:name="_Ref181435687"/>
      <w:r>
        <w:lastRenderedPageBreak/>
        <w:t>Contract Characteristics</w:t>
      </w:r>
      <w:bookmarkEnd w:id="44"/>
    </w:p>
    <w:p w14:paraId="186C04B7" w14:textId="3E0AFF51" w:rsidR="00260ADF" w:rsidRDefault="00260ADF" w:rsidP="00260ADF">
      <w:r>
        <w:t xml:space="preserve">This appendix lists the detailed characteristics of the “standard” (most liquid) interest-rate swaps contract for the currencies studied in this </w:t>
      </w:r>
      <w:r w:rsidR="00254288">
        <w:t>dissertation</w:t>
      </w:r>
      <w:r>
        <w:t>.</w:t>
      </w:r>
    </w:p>
    <w:tbl>
      <w:tblPr>
        <w:tblStyle w:val="PlainTable5"/>
        <w:tblW w:w="0" w:type="auto"/>
        <w:tblLook w:val="06A0" w:firstRow="1" w:lastRow="0" w:firstColumn="1" w:lastColumn="0" w:noHBand="1" w:noVBand="1"/>
      </w:tblPr>
      <w:tblGrid>
        <w:gridCol w:w="1751"/>
        <w:gridCol w:w="1702"/>
        <w:gridCol w:w="2092"/>
        <w:gridCol w:w="2092"/>
        <w:gridCol w:w="1709"/>
      </w:tblGrid>
      <w:tr w:rsidR="00260ADF" w14:paraId="2F732E1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02FDA019" w14:textId="77777777" w:rsidR="00260ADF" w:rsidRDefault="00260ADF">
            <w:r>
              <w:t>Currency</w:t>
            </w:r>
          </w:p>
        </w:tc>
        <w:tc>
          <w:tcPr>
            <w:tcW w:w="1870" w:type="dxa"/>
          </w:tcPr>
          <w:p w14:paraId="56F39AB9" w14:textId="77777777" w:rsidR="00260ADF" w:rsidRDefault="00260ADF">
            <w:pPr>
              <w:cnfStyle w:val="100000000000" w:firstRow="1" w:lastRow="0" w:firstColumn="0" w:lastColumn="0" w:oddVBand="0" w:evenVBand="0" w:oddHBand="0" w:evenHBand="0" w:firstRowFirstColumn="0" w:firstRowLastColumn="0" w:lastRowFirstColumn="0" w:lastRowLastColumn="0"/>
            </w:pPr>
            <w:r>
              <w:t>USD</w:t>
            </w:r>
          </w:p>
        </w:tc>
        <w:tc>
          <w:tcPr>
            <w:tcW w:w="1870" w:type="dxa"/>
          </w:tcPr>
          <w:p w14:paraId="5A839B87" w14:textId="77777777" w:rsidR="00260ADF" w:rsidRDefault="00260ADF">
            <w:pPr>
              <w:cnfStyle w:val="100000000000" w:firstRow="1" w:lastRow="0" w:firstColumn="0" w:lastColumn="0" w:oddVBand="0" w:evenVBand="0" w:oddHBand="0" w:evenHBand="0" w:firstRowFirstColumn="0" w:firstRowLastColumn="0" w:lastRowFirstColumn="0" w:lastRowLastColumn="0"/>
            </w:pPr>
            <w:r>
              <w:t>CAD</w:t>
            </w:r>
          </w:p>
        </w:tc>
        <w:tc>
          <w:tcPr>
            <w:tcW w:w="1870" w:type="dxa"/>
          </w:tcPr>
          <w:p w14:paraId="05F25F3E" w14:textId="77777777" w:rsidR="00260ADF" w:rsidRDefault="00260ADF">
            <w:pPr>
              <w:cnfStyle w:val="100000000000" w:firstRow="1" w:lastRow="0" w:firstColumn="0" w:lastColumn="0" w:oddVBand="0" w:evenVBand="0" w:oddHBand="0" w:evenHBand="0" w:firstRowFirstColumn="0" w:firstRowLastColumn="0" w:lastRowFirstColumn="0" w:lastRowLastColumn="0"/>
            </w:pPr>
            <w:r>
              <w:t>GBP</w:t>
            </w:r>
          </w:p>
        </w:tc>
        <w:tc>
          <w:tcPr>
            <w:tcW w:w="1870" w:type="dxa"/>
          </w:tcPr>
          <w:p w14:paraId="3E3C6ECB" w14:textId="77777777" w:rsidR="00260ADF" w:rsidRDefault="00260ADF">
            <w:pPr>
              <w:cnfStyle w:val="100000000000" w:firstRow="1" w:lastRow="0" w:firstColumn="0" w:lastColumn="0" w:oddVBand="0" w:evenVBand="0" w:oddHBand="0" w:evenHBand="0" w:firstRowFirstColumn="0" w:firstRowLastColumn="0" w:lastRowFirstColumn="0" w:lastRowLastColumn="0"/>
            </w:pPr>
            <w:r>
              <w:t>CHF</w:t>
            </w:r>
          </w:p>
        </w:tc>
      </w:tr>
      <w:tr w:rsidR="00260ADF" w14:paraId="6420EE4B" w14:textId="77777777">
        <w:tc>
          <w:tcPr>
            <w:cnfStyle w:val="001000000000" w:firstRow="0" w:lastRow="0" w:firstColumn="1" w:lastColumn="0" w:oddVBand="0" w:evenVBand="0" w:oddHBand="0" w:evenHBand="0" w:firstRowFirstColumn="0" w:firstRowLastColumn="0" w:lastRowFirstColumn="0" w:lastRowLastColumn="0"/>
            <w:tcW w:w="1870" w:type="dxa"/>
          </w:tcPr>
          <w:p w14:paraId="70BC5271" w14:textId="77777777" w:rsidR="00260ADF" w:rsidRDefault="00260ADF">
            <w:r>
              <w:t>Settlement</w:t>
            </w:r>
          </w:p>
        </w:tc>
        <w:tc>
          <w:tcPr>
            <w:tcW w:w="1870" w:type="dxa"/>
          </w:tcPr>
          <w:p w14:paraId="03B39F55"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c>
          <w:tcPr>
            <w:tcW w:w="1870" w:type="dxa"/>
          </w:tcPr>
          <w:p w14:paraId="1CF4311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5F0CBF9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071FA59B"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r>
      <w:tr w:rsidR="00260ADF" w14:paraId="08047D10" w14:textId="77777777">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E629BEB" w14:textId="77777777" w:rsidR="00260ADF" w:rsidRDefault="00260ADF">
            <w:pPr>
              <w:jc w:val="left"/>
            </w:pPr>
            <w:r>
              <w:t>Fixed Leg</w:t>
            </w:r>
          </w:p>
        </w:tc>
      </w:tr>
      <w:tr w:rsidR="00260ADF" w14:paraId="20AF48FD" w14:textId="77777777">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F3E7780" w14:textId="77777777" w:rsidR="00260ADF" w:rsidRDefault="00260ADF">
            <w:r>
              <w:t>Day Count Convention</w:t>
            </w:r>
          </w:p>
        </w:tc>
        <w:tc>
          <w:tcPr>
            <w:tcW w:w="1870" w:type="dxa"/>
            <w:tcBorders>
              <w:top w:val="single" w:sz="4" w:space="0" w:color="auto"/>
            </w:tcBorders>
          </w:tcPr>
          <w:p w14:paraId="0A7B352E" w14:textId="77777777" w:rsidR="00260ADF" w:rsidRDefault="00260ADF">
            <w:pPr>
              <w:cnfStyle w:val="000000000000" w:firstRow="0" w:lastRow="0" w:firstColumn="0" w:lastColumn="0" w:oddVBand="0" w:evenVBand="0" w:oddHBand="0" w:evenHBand="0" w:firstRowFirstColumn="0" w:firstRowLastColumn="0" w:lastRowFirstColumn="0" w:lastRowLastColumn="0"/>
            </w:pPr>
            <w:r>
              <w:t>30I/360</w:t>
            </w:r>
          </w:p>
        </w:tc>
        <w:tc>
          <w:tcPr>
            <w:tcW w:w="1870" w:type="dxa"/>
            <w:tcBorders>
              <w:top w:val="single" w:sz="4" w:space="0" w:color="auto"/>
            </w:tcBorders>
          </w:tcPr>
          <w:p w14:paraId="33B3EAB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184079DA"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7C8F4DF9" w14:textId="77777777" w:rsidR="00260ADF" w:rsidRDefault="00260ADF">
            <w:pPr>
              <w:cnfStyle w:val="000000000000" w:firstRow="0" w:lastRow="0" w:firstColumn="0" w:lastColumn="0" w:oddVBand="0" w:evenVBand="0" w:oddHBand="0" w:evenHBand="0" w:firstRowFirstColumn="0" w:firstRowLastColumn="0" w:lastRowFirstColumn="0" w:lastRowLastColumn="0"/>
            </w:pPr>
            <w:r>
              <w:t>30E/360</w:t>
            </w:r>
          </w:p>
        </w:tc>
      </w:tr>
      <w:tr w:rsidR="00260ADF" w14:paraId="65DCC86F" w14:textId="77777777">
        <w:tc>
          <w:tcPr>
            <w:cnfStyle w:val="001000000000" w:firstRow="0" w:lastRow="0" w:firstColumn="1" w:lastColumn="0" w:oddVBand="0" w:evenVBand="0" w:oddHBand="0" w:evenHBand="0" w:firstRowFirstColumn="0" w:firstRowLastColumn="0" w:lastRowFirstColumn="0" w:lastRowLastColumn="0"/>
            <w:tcW w:w="1870" w:type="dxa"/>
          </w:tcPr>
          <w:p w14:paraId="7F8FCB3A" w14:textId="77777777" w:rsidR="00260ADF" w:rsidRDefault="00260ADF">
            <w:r>
              <w:t>Payment Frequency</w:t>
            </w:r>
          </w:p>
        </w:tc>
        <w:tc>
          <w:tcPr>
            <w:tcW w:w="1870" w:type="dxa"/>
          </w:tcPr>
          <w:p w14:paraId="4A746E8D"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FC1E213"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7C0ADE59"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4800E84E" w14:textId="77777777" w:rsidR="00260ADF" w:rsidRDefault="00260ADF">
            <w:pPr>
              <w:cnfStyle w:val="000000000000" w:firstRow="0" w:lastRow="0" w:firstColumn="0" w:lastColumn="0" w:oddVBand="0" w:evenVBand="0" w:oddHBand="0" w:evenHBand="0" w:firstRowFirstColumn="0" w:firstRowLastColumn="0" w:lastRowFirstColumn="0" w:lastRowLastColumn="0"/>
            </w:pPr>
            <w:r>
              <w:t>Annual</w:t>
            </w:r>
          </w:p>
        </w:tc>
      </w:tr>
      <w:tr w:rsidR="00260ADF" w14:paraId="15FFA191" w14:textId="77777777">
        <w:tc>
          <w:tcPr>
            <w:cnfStyle w:val="001000000000" w:firstRow="0" w:lastRow="0" w:firstColumn="1" w:lastColumn="0" w:oddVBand="0" w:evenVBand="0" w:oddHBand="0" w:evenHBand="0" w:firstRowFirstColumn="0" w:firstRowLastColumn="0" w:lastRowFirstColumn="0" w:lastRowLastColumn="0"/>
            <w:tcW w:w="1870" w:type="dxa"/>
          </w:tcPr>
          <w:p w14:paraId="62022AD5" w14:textId="77777777" w:rsidR="00260ADF" w:rsidRDefault="00260ADF">
            <w:r>
              <w:t>Business Day Adjustment Convention</w:t>
            </w:r>
          </w:p>
        </w:tc>
        <w:tc>
          <w:tcPr>
            <w:tcW w:w="1870" w:type="dxa"/>
          </w:tcPr>
          <w:p w14:paraId="0832056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0206C42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9EA277"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CB9AD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74548013" w14:textId="77777777">
        <w:tc>
          <w:tcPr>
            <w:cnfStyle w:val="001000000000" w:firstRow="0" w:lastRow="0" w:firstColumn="1" w:lastColumn="0" w:oddVBand="0" w:evenVBand="0" w:oddHBand="0" w:evenHBand="0" w:firstRowFirstColumn="0" w:firstRowLastColumn="0" w:lastRowFirstColumn="0" w:lastRowLastColumn="0"/>
            <w:tcW w:w="1870" w:type="dxa"/>
          </w:tcPr>
          <w:p w14:paraId="0AE5F665" w14:textId="77777777" w:rsidR="00260ADF" w:rsidRDefault="00260ADF">
            <w:r>
              <w:t>Adjustment Type</w:t>
            </w:r>
          </w:p>
        </w:tc>
        <w:tc>
          <w:tcPr>
            <w:tcW w:w="1870" w:type="dxa"/>
          </w:tcPr>
          <w:p w14:paraId="332A357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551051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403D49C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A44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42152265" w14:textId="77777777">
        <w:tc>
          <w:tcPr>
            <w:cnfStyle w:val="001000000000" w:firstRow="0" w:lastRow="0" w:firstColumn="1" w:lastColumn="0" w:oddVBand="0" w:evenVBand="0" w:oddHBand="0" w:evenHBand="0" w:firstRowFirstColumn="0" w:firstRowLastColumn="0" w:lastRowFirstColumn="0" w:lastRowLastColumn="0"/>
            <w:tcW w:w="1870" w:type="dxa"/>
          </w:tcPr>
          <w:p w14:paraId="68C24638" w14:textId="77777777" w:rsidR="00260ADF" w:rsidRDefault="00260ADF">
            <w:r>
              <w:t>Roll Convention</w:t>
            </w:r>
          </w:p>
        </w:tc>
        <w:tc>
          <w:tcPr>
            <w:tcW w:w="1870" w:type="dxa"/>
          </w:tcPr>
          <w:p w14:paraId="000CD32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70D1580"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1BFE87ED"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0EB1479E"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507CA936" w14:textId="77777777">
        <w:tc>
          <w:tcPr>
            <w:cnfStyle w:val="001000000000" w:firstRow="0" w:lastRow="0" w:firstColumn="1" w:lastColumn="0" w:oddVBand="0" w:evenVBand="0" w:oddHBand="0" w:evenHBand="0" w:firstRowFirstColumn="0" w:firstRowLastColumn="0" w:lastRowFirstColumn="0" w:lastRowLastColumn="0"/>
            <w:tcW w:w="1870" w:type="dxa"/>
          </w:tcPr>
          <w:p w14:paraId="3FD56268" w14:textId="77777777" w:rsidR="00260ADF" w:rsidRDefault="00260ADF">
            <w:r>
              <w:t>Accrual Calculation Calendar</w:t>
            </w:r>
          </w:p>
        </w:tc>
        <w:tc>
          <w:tcPr>
            <w:tcW w:w="1870" w:type="dxa"/>
          </w:tcPr>
          <w:p w14:paraId="782D0C9D"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7349E542"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74ED0956"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448C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2CD07F60" w14:textId="77777777">
        <w:tc>
          <w:tcPr>
            <w:cnfStyle w:val="001000000000" w:firstRow="0" w:lastRow="0" w:firstColumn="1" w:lastColumn="0" w:oddVBand="0" w:evenVBand="0" w:oddHBand="0" w:evenHBand="0" w:firstRowFirstColumn="0" w:firstRowLastColumn="0" w:lastRowFirstColumn="0" w:lastRowLastColumn="0"/>
            <w:tcW w:w="1870" w:type="dxa"/>
          </w:tcPr>
          <w:p w14:paraId="59745F39" w14:textId="77777777" w:rsidR="00260ADF" w:rsidRDefault="00260ADF">
            <w:r>
              <w:t>Pay Delay</w:t>
            </w:r>
          </w:p>
        </w:tc>
        <w:tc>
          <w:tcPr>
            <w:tcW w:w="1870" w:type="dxa"/>
          </w:tcPr>
          <w:p w14:paraId="6075E90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67A34F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394DFB9C"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7FBA6563"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5CD647E0" w14:textId="77777777">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5B35BD1" w14:textId="77777777" w:rsidR="00260ADF" w:rsidRDefault="00260ADF">
            <w:pPr>
              <w:jc w:val="left"/>
            </w:pPr>
            <w:r>
              <w:t>Floating Leg</w:t>
            </w:r>
          </w:p>
        </w:tc>
      </w:tr>
      <w:tr w:rsidR="00260ADF" w14:paraId="15C7CA4F" w14:textId="77777777">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3904C3F" w14:textId="77777777" w:rsidR="00260ADF" w:rsidRDefault="00260ADF">
            <w:r>
              <w:t>Day Count Convention</w:t>
            </w:r>
          </w:p>
        </w:tc>
        <w:tc>
          <w:tcPr>
            <w:tcW w:w="1870" w:type="dxa"/>
            <w:tcBorders>
              <w:top w:val="single" w:sz="4" w:space="0" w:color="auto"/>
            </w:tcBorders>
          </w:tcPr>
          <w:p w14:paraId="71C9C7A1"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c>
          <w:tcPr>
            <w:tcW w:w="1870" w:type="dxa"/>
            <w:tcBorders>
              <w:top w:val="single" w:sz="4" w:space="0" w:color="auto"/>
            </w:tcBorders>
          </w:tcPr>
          <w:p w14:paraId="64FC54E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3F525E5D"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55FAE8F4"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r>
      <w:tr w:rsidR="00260ADF" w14:paraId="2F051760" w14:textId="77777777">
        <w:tc>
          <w:tcPr>
            <w:cnfStyle w:val="001000000000" w:firstRow="0" w:lastRow="0" w:firstColumn="1" w:lastColumn="0" w:oddVBand="0" w:evenVBand="0" w:oddHBand="0" w:evenHBand="0" w:firstRowFirstColumn="0" w:firstRowLastColumn="0" w:lastRowFirstColumn="0" w:lastRowLastColumn="0"/>
            <w:tcW w:w="1870" w:type="dxa"/>
          </w:tcPr>
          <w:p w14:paraId="2CA9013B" w14:textId="77777777" w:rsidR="00260ADF" w:rsidRDefault="00260ADF">
            <w:r>
              <w:t>Payment Frequency</w:t>
            </w:r>
          </w:p>
        </w:tc>
        <w:tc>
          <w:tcPr>
            <w:tcW w:w="1870" w:type="dxa"/>
          </w:tcPr>
          <w:p w14:paraId="6AA107AD"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EB0707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11D80976"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27EFA120"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06744F4A" w14:textId="77777777">
        <w:tc>
          <w:tcPr>
            <w:cnfStyle w:val="001000000000" w:firstRow="0" w:lastRow="0" w:firstColumn="1" w:lastColumn="0" w:oddVBand="0" w:evenVBand="0" w:oddHBand="0" w:evenHBand="0" w:firstRowFirstColumn="0" w:firstRowLastColumn="0" w:lastRowFirstColumn="0" w:lastRowLastColumn="0"/>
            <w:tcW w:w="1870" w:type="dxa"/>
          </w:tcPr>
          <w:p w14:paraId="715E940A" w14:textId="77777777" w:rsidR="00260ADF" w:rsidRDefault="00260ADF">
            <w:r>
              <w:lastRenderedPageBreak/>
              <w:t>Reference Index</w:t>
            </w:r>
          </w:p>
        </w:tc>
        <w:tc>
          <w:tcPr>
            <w:tcW w:w="1870" w:type="dxa"/>
          </w:tcPr>
          <w:p w14:paraId="54623F7D" w14:textId="77777777" w:rsidR="00260ADF" w:rsidRDefault="00260ADF">
            <w:pPr>
              <w:cnfStyle w:val="000000000000" w:firstRow="0" w:lastRow="0" w:firstColumn="0" w:lastColumn="0" w:oddVBand="0" w:evenVBand="0" w:oddHBand="0" w:evenHBand="0" w:firstRowFirstColumn="0" w:firstRowLastColumn="0" w:lastRowFirstColumn="0" w:lastRowLastColumn="0"/>
            </w:pPr>
            <w:r>
              <w:t>USD LIBOR 3M</w:t>
            </w:r>
          </w:p>
        </w:tc>
        <w:tc>
          <w:tcPr>
            <w:tcW w:w="1870" w:type="dxa"/>
          </w:tcPr>
          <w:p w14:paraId="582A81FD" w14:textId="77777777" w:rsidR="00260ADF" w:rsidRDefault="00260ADF">
            <w:pPr>
              <w:cnfStyle w:val="000000000000" w:firstRow="0" w:lastRow="0" w:firstColumn="0" w:lastColumn="0" w:oddVBand="0" w:evenVBand="0" w:oddHBand="0" w:evenHBand="0" w:firstRowFirstColumn="0" w:firstRowLastColumn="0" w:lastRowFirstColumn="0" w:lastRowLastColumn="0"/>
            </w:pPr>
            <w:r>
              <w:t>CDOR 3M</w:t>
            </w:r>
          </w:p>
        </w:tc>
        <w:tc>
          <w:tcPr>
            <w:tcW w:w="1870" w:type="dxa"/>
          </w:tcPr>
          <w:p w14:paraId="71C9B01B" w14:textId="77777777" w:rsidR="00260ADF" w:rsidRDefault="00260ADF">
            <w:pPr>
              <w:cnfStyle w:val="000000000000" w:firstRow="0" w:lastRow="0" w:firstColumn="0" w:lastColumn="0" w:oddVBand="0" w:evenVBand="0" w:oddHBand="0" w:evenHBand="0" w:firstRowFirstColumn="0" w:firstRowLastColumn="0" w:lastRowFirstColumn="0" w:lastRowLastColumn="0"/>
            </w:pPr>
            <w:r>
              <w:t>GBP LIBOR 6M</w:t>
            </w:r>
          </w:p>
        </w:tc>
        <w:tc>
          <w:tcPr>
            <w:tcW w:w="1870" w:type="dxa"/>
          </w:tcPr>
          <w:p w14:paraId="6175FCE9" w14:textId="77777777" w:rsidR="00260ADF" w:rsidRDefault="00260ADF">
            <w:pPr>
              <w:cnfStyle w:val="000000000000" w:firstRow="0" w:lastRow="0" w:firstColumn="0" w:lastColumn="0" w:oddVBand="0" w:evenVBand="0" w:oddHBand="0" w:evenHBand="0" w:firstRowFirstColumn="0" w:firstRowLastColumn="0" w:lastRowFirstColumn="0" w:lastRowLastColumn="0"/>
            </w:pPr>
            <w:r>
              <w:t>CHF LIBOR 6M</w:t>
            </w:r>
          </w:p>
        </w:tc>
      </w:tr>
      <w:tr w:rsidR="00260ADF" w14:paraId="3DB3A1E2" w14:textId="77777777">
        <w:tc>
          <w:tcPr>
            <w:cnfStyle w:val="001000000000" w:firstRow="0" w:lastRow="0" w:firstColumn="1" w:lastColumn="0" w:oddVBand="0" w:evenVBand="0" w:oddHBand="0" w:evenHBand="0" w:firstRowFirstColumn="0" w:firstRowLastColumn="0" w:lastRowFirstColumn="0" w:lastRowLastColumn="0"/>
            <w:tcW w:w="1870" w:type="dxa"/>
          </w:tcPr>
          <w:p w14:paraId="371278CA" w14:textId="77777777" w:rsidR="00260ADF" w:rsidRDefault="00260ADF">
            <w:r>
              <w:t>Reset Frequency</w:t>
            </w:r>
          </w:p>
        </w:tc>
        <w:tc>
          <w:tcPr>
            <w:tcW w:w="1870" w:type="dxa"/>
          </w:tcPr>
          <w:p w14:paraId="5AB0ABFB"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46C2AAC7"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51E7207"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C09594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2631A834" w14:textId="77777777">
        <w:tc>
          <w:tcPr>
            <w:cnfStyle w:val="001000000000" w:firstRow="0" w:lastRow="0" w:firstColumn="1" w:lastColumn="0" w:oddVBand="0" w:evenVBand="0" w:oddHBand="0" w:evenHBand="0" w:firstRowFirstColumn="0" w:firstRowLastColumn="0" w:lastRowFirstColumn="0" w:lastRowLastColumn="0"/>
            <w:tcW w:w="1870" w:type="dxa"/>
          </w:tcPr>
          <w:p w14:paraId="2F563CE2" w14:textId="77777777" w:rsidR="00260ADF" w:rsidRDefault="00260ADF">
            <w:r>
              <w:t>Business Day Adjustment</w:t>
            </w:r>
          </w:p>
        </w:tc>
        <w:tc>
          <w:tcPr>
            <w:tcW w:w="1870" w:type="dxa"/>
          </w:tcPr>
          <w:p w14:paraId="1A6A858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 Business Day</w:t>
            </w:r>
          </w:p>
        </w:tc>
        <w:tc>
          <w:tcPr>
            <w:tcW w:w="1870" w:type="dxa"/>
          </w:tcPr>
          <w:p w14:paraId="0390E383"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874C1C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23BAB9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1125E2B5" w14:textId="77777777">
        <w:tc>
          <w:tcPr>
            <w:cnfStyle w:val="001000000000" w:firstRow="0" w:lastRow="0" w:firstColumn="1" w:lastColumn="0" w:oddVBand="0" w:evenVBand="0" w:oddHBand="0" w:evenHBand="0" w:firstRowFirstColumn="0" w:firstRowLastColumn="0" w:lastRowFirstColumn="0" w:lastRowLastColumn="0"/>
            <w:tcW w:w="1870" w:type="dxa"/>
          </w:tcPr>
          <w:p w14:paraId="5A0E9427" w14:textId="77777777" w:rsidR="00260ADF" w:rsidRDefault="00260ADF">
            <w:r>
              <w:t>Adjustment Type</w:t>
            </w:r>
          </w:p>
        </w:tc>
        <w:tc>
          <w:tcPr>
            <w:tcW w:w="1870" w:type="dxa"/>
          </w:tcPr>
          <w:p w14:paraId="7C567E05"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1D2D8E90"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7C2F0D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C9D7F36"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59B36B35" w14:textId="77777777">
        <w:tc>
          <w:tcPr>
            <w:cnfStyle w:val="001000000000" w:firstRow="0" w:lastRow="0" w:firstColumn="1" w:lastColumn="0" w:oddVBand="0" w:evenVBand="0" w:oddHBand="0" w:evenHBand="0" w:firstRowFirstColumn="0" w:firstRowLastColumn="0" w:lastRowFirstColumn="0" w:lastRowLastColumn="0"/>
            <w:tcW w:w="1870" w:type="dxa"/>
          </w:tcPr>
          <w:p w14:paraId="7576F40C" w14:textId="77777777" w:rsidR="00260ADF" w:rsidRDefault="00260ADF">
            <w:r>
              <w:t>Roll Convention</w:t>
            </w:r>
          </w:p>
        </w:tc>
        <w:tc>
          <w:tcPr>
            <w:tcW w:w="1870" w:type="dxa"/>
          </w:tcPr>
          <w:p w14:paraId="6F7D565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36660353"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29A5827"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76349134"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6516644C" w14:textId="77777777">
        <w:tc>
          <w:tcPr>
            <w:cnfStyle w:val="001000000000" w:firstRow="0" w:lastRow="0" w:firstColumn="1" w:lastColumn="0" w:oddVBand="0" w:evenVBand="0" w:oddHBand="0" w:evenHBand="0" w:firstRowFirstColumn="0" w:firstRowLastColumn="0" w:lastRowFirstColumn="0" w:lastRowLastColumn="0"/>
            <w:tcW w:w="1870" w:type="dxa"/>
          </w:tcPr>
          <w:p w14:paraId="5324AFA3" w14:textId="77777777" w:rsidR="00260ADF" w:rsidRDefault="00260ADF">
            <w:r>
              <w:t>Calculation Calendar</w:t>
            </w:r>
          </w:p>
        </w:tc>
        <w:tc>
          <w:tcPr>
            <w:tcW w:w="1870" w:type="dxa"/>
          </w:tcPr>
          <w:p w14:paraId="4172E2D2"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6F746DA0"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609E7D12"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B311599"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1E81B24D" w14:textId="77777777">
        <w:tc>
          <w:tcPr>
            <w:cnfStyle w:val="001000000000" w:firstRow="0" w:lastRow="0" w:firstColumn="1" w:lastColumn="0" w:oddVBand="0" w:evenVBand="0" w:oddHBand="0" w:evenHBand="0" w:firstRowFirstColumn="0" w:firstRowLastColumn="0" w:lastRowFirstColumn="0" w:lastRowLastColumn="0"/>
            <w:tcW w:w="1870" w:type="dxa"/>
          </w:tcPr>
          <w:p w14:paraId="2712B005" w14:textId="77777777" w:rsidR="00260ADF" w:rsidRDefault="00260ADF">
            <w:r>
              <w:t>Fixing Calendar</w:t>
            </w:r>
          </w:p>
        </w:tc>
        <w:tc>
          <w:tcPr>
            <w:tcW w:w="1870" w:type="dxa"/>
          </w:tcPr>
          <w:p w14:paraId="12F785B0"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CD06A8F"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2294BD94"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F399123"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r>
      <w:tr w:rsidR="00260ADF" w14:paraId="51F3CB6B" w14:textId="77777777">
        <w:tc>
          <w:tcPr>
            <w:cnfStyle w:val="001000000000" w:firstRow="0" w:lastRow="0" w:firstColumn="1" w:lastColumn="0" w:oddVBand="0" w:evenVBand="0" w:oddHBand="0" w:evenHBand="0" w:firstRowFirstColumn="0" w:firstRowLastColumn="0" w:lastRowFirstColumn="0" w:lastRowLastColumn="0"/>
            <w:tcW w:w="1870" w:type="dxa"/>
          </w:tcPr>
          <w:p w14:paraId="70A1EB7E" w14:textId="77777777" w:rsidR="00260ADF" w:rsidRDefault="00260ADF">
            <w:r>
              <w:t>Fixing Lag</w:t>
            </w:r>
          </w:p>
        </w:tc>
        <w:tc>
          <w:tcPr>
            <w:tcW w:w="1870" w:type="dxa"/>
          </w:tcPr>
          <w:p w14:paraId="0ED43178"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c>
          <w:tcPr>
            <w:tcW w:w="1870" w:type="dxa"/>
          </w:tcPr>
          <w:p w14:paraId="7D7A834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00A83C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E6EF683"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r>
      <w:tr w:rsidR="00260ADF" w14:paraId="034A471C" w14:textId="77777777">
        <w:tc>
          <w:tcPr>
            <w:cnfStyle w:val="001000000000" w:firstRow="0" w:lastRow="0" w:firstColumn="1" w:lastColumn="0" w:oddVBand="0" w:evenVBand="0" w:oddHBand="0" w:evenHBand="0" w:firstRowFirstColumn="0" w:firstRowLastColumn="0" w:lastRowFirstColumn="0" w:lastRowLastColumn="0"/>
            <w:tcW w:w="1870" w:type="dxa"/>
          </w:tcPr>
          <w:p w14:paraId="10CF9AD2" w14:textId="77777777" w:rsidR="00260ADF" w:rsidRDefault="00260ADF">
            <w:r>
              <w:t>Pay Delay</w:t>
            </w:r>
          </w:p>
        </w:tc>
        <w:tc>
          <w:tcPr>
            <w:tcW w:w="1870" w:type="dxa"/>
          </w:tcPr>
          <w:p w14:paraId="077320B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6B9D4D4"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226C18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3DA2857"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387485FF" w14:textId="77777777">
        <w:tc>
          <w:tcPr>
            <w:cnfStyle w:val="001000000000" w:firstRow="0" w:lastRow="0" w:firstColumn="1" w:lastColumn="0" w:oddVBand="0" w:evenVBand="0" w:oddHBand="0" w:evenHBand="0" w:firstRowFirstColumn="0" w:firstRowLastColumn="0" w:lastRowFirstColumn="0" w:lastRowLastColumn="0"/>
            <w:tcW w:w="1870" w:type="dxa"/>
          </w:tcPr>
          <w:p w14:paraId="5396BBD0" w14:textId="77777777" w:rsidR="00260ADF" w:rsidRDefault="00260ADF">
            <w:r>
              <w:t>Reset Position</w:t>
            </w:r>
          </w:p>
        </w:tc>
        <w:tc>
          <w:tcPr>
            <w:tcW w:w="1870" w:type="dxa"/>
          </w:tcPr>
          <w:p w14:paraId="58AFEEB5"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706585E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01CF855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113BA6A3"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r>
    </w:tbl>
    <w:p w14:paraId="69455CC1" w14:textId="63707EF0" w:rsidR="00FC3085" w:rsidRDefault="00FC3085" w:rsidP="00260ADF"/>
    <w:p w14:paraId="3AE7A34C" w14:textId="0AA50B8B" w:rsidR="00260ADF" w:rsidRDefault="00FC3085" w:rsidP="00FC3085">
      <w:pPr>
        <w:spacing w:line="240" w:lineRule="auto"/>
        <w:ind w:firstLine="0"/>
        <w:jc w:val="left"/>
      </w:pPr>
      <w:r>
        <w:br w:type="page"/>
      </w:r>
    </w:p>
    <w:p w14:paraId="25043F24" w14:textId="22E5E247" w:rsidR="00260ADF" w:rsidRDefault="00C77059" w:rsidP="00260ADF">
      <w:r>
        <w:lastRenderedPageBreak/>
        <w:t>Definitions</w:t>
      </w:r>
    </w:p>
    <w:p w14:paraId="2E60BB47" w14:textId="77777777" w:rsidR="00C77059" w:rsidRDefault="00C77059" w:rsidP="00260ADF">
      <w:pPr>
        <w:rPr>
          <w:b/>
          <w:bCs/>
        </w:rPr>
      </w:pPr>
    </w:p>
    <w:p w14:paraId="2EF7188D" w14:textId="1D24F892" w:rsidR="00260ADF" w:rsidRPr="002061F0" w:rsidRDefault="00260ADF" w:rsidP="00260ADF">
      <w:pPr>
        <w:rPr>
          <w:b/>
          <w:bCs/>
        </w:rPr>
      </w:pPr>
      <w:r w:rsidRPr="002061F0">
        <w:rPr>
          <w:b/>
          <w:bCs/>
        </w:rPr>
        <w:t>Settlement</w:t>
      </w:r>
    </w:p>
    <w:p w14:paraId="5875B635" w14:textId="592B8B21" w:rsidR="00260ADF" w:rsidRPr="002061F0" w:rsidRDefault="00260ADF" w:rsidP="00260ADF">
      <w:r w:rsidRPr="002061F0">
        <w:t xml:space="preserve">Settlement refers to the number of business days after the trade date when the swap contract is </w:t>
      </w:r>
      <w:r w:rsidR="00FC3085" w:rsidRPr="002061F0">
        <w:t>finalized,</w:t>
      </w:r>
      <w:r w:rsidRPr="002061F0">
        <w:t xml:space="preserve"> and payments are made.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260ADF">
      <w:pPr>
        <w:rPr>
          <w:b/>
          <w:bCs/>
        </w:rPr>
      </w:pPr>
      <w:r w:rsidRPr="002061F0">
        <w:rPr>
          <w:b/>
          <w:bCs/>
        </w:rPr>
        <w:t>Fixed Leg</w:t>
      </w:r>
    </w:p>
    <w:p w14:paraId="2FEE53D8" w14:textId="77777777"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 The characteristics below describe various conventions associated with this leg.</w:t>
      </w:r>
    </w:p>
    <w:p w14:paraId="6513636D" w14:textId="77777777" w:rsidR="00260ADF" w:rsidRPr="002061F0" w:rsidRDefault="00260ADF" w:rsidP="00714654">
      <w:pPr>
        <w:pStyle w:val="ListParagraph"/>
        <w:numPr>
          <w:ilvl w:val="0"/>
          <w:numId w:val="8"/>
        </w:numPr>
      </w:pPr>
      <w:r w:rsidRPr="002061F0">
        <w:t>Day Count Convention: This convention determines how interest accrues over time, using fractions of a year based on the number of days between two dates. Common conventions include:</w:t>
      </w:r>
    </w:p>
    <w:p w14:paraId="33DA4442" w14:textId="77777777"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p>
    <w:p w14:paraId="577974E3" w14:textId="77777777" w:rsidR="00260ADF" w:rsidRPr="002061F0" w:rsidRDefault="00260ADF" w:rsidP="00714654">
      <w:pPr>
        <w:pStyle w:val="ListParagraph"/>
        <w:numPr>
          <w:ilvl w:val="1"/>
          <w:numId w:val="8"/>
        </w:numPr>
      </w:pPr>
      <w:r w:rsidRPr="002061F0">
        <w:t>ACT/365.FIXED: Uses the actual number of days in a period, dividing by a fixed 365-day year.</w:t>
      </w:r>
    </w:p>
    <w:p w14:paraId="69860B4B" w14:textId="77777777" w:rsidR="00260ADF" w:rsidRPr="002061F0" w:rsidRDefault="00260ADF" w:rsidP="00714654">
      <w:pPr>
        <w:pStyle w:val="ListParagraph"/>
        <w:numPr>
          <w:ilvl w:val="0"/>
          <w:numId w:val="8"/>
        </w:numPr>
      </w:pPr>
      <w:r w:rsidRPr="002061F0">
        <w:t>Payment Frequency: This defines how often payments are made on the fixed leg. For instance, "semiannual" means payments are made twice a year, while "annual" means once a year.</w:t>
      </w:r>
    </w:p>
    <w:p w14:paraId="566C2C7D" w14:textId="77777777" w:rsidR="00260ADF" w:rsidRPr="002061F0" w:rsidRDefault="00260ADF" w:rsidP="00714654">
      <w:pPr>
        <w:pStyle w:val="ListParagraph"/>
        <w:numPr>
          <w:ilvl w:val="0"/>
          <w:numId w:val="8"/>
        </w:numPr>
      </w:pPr>
      <w:r w:rsidRPr="002061F0">
        <w:t>Business Day Adjustment Convention: When a payment date falls on a non-business day, this convention dictates how the date is adjusted. A "Modified Following" convention means payments are pushed to the next business day unless that day falls in the next month, in which case payments are moved backward to the preceding business day.</w:t>
      </w:r>
    </w:p>
    <w:p w14:paraId="0EF39500" w14:textId="77777777" w:rsidR="00260ADF" w:rsidRPr="002061F0" w:rsidRDefault="00260ADF" w:rsidP="00714654">
      <w:pPr>
        <w:pStyle w:val="ListParagraph"/>
        <w:numPr>
          <w:ilvl w:val="0"/>
          <w:numId w:val="8"/>
        </w:numPr>
      </w:pPr>
      <w:r w:rsidRPr="002061F0">
        <w:t>Adjustment Type: Adjustment type refers to which dates are adjusted when a business day adjustment is necessary. For example, in "Accrual and Payment Dates" adjustment, both the accrual period and the payment date will be adjusted if necessary.</w:t>
      </w:r>
    </w:p>
    <w:p w14:paraId="31A7CF75" w14:textId="77777777" w:rsidR="00260ADF" w:rsidRPr="002061F0" w:rsidRDefault="00260ADF" w:rsidP="00714654">
      <w:pPr>
        <w:pStyle w:val="ListParagraph"/>
        <w:numPr>
          <w:ilvl w:val="0"/>
          <w:numId w:val="8"/>
        </w:numPr>
      </w:pPr>
      <w:r w:rsidRPr="002061F0">
        <w:lastRenderedPageBreak/>
        <w:t>Roll Convention: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77777777" w:rsidR="00260ADF" w:rsidRPr="002061F0" w:rsidRDefault="00260ADF" w:rsidP="00714654">
      <w:pPr>
        <w:pStyle w:val="ListParagraph"/>
        <w:numPr>
          <w:ilvl w:val="0"/>
          <w:numId w:val="8"/>
        </w:numPr>
      </w:pPr>
      <w:r w:rsidRPr="002061F0">
        <w:t>Accrual Calculation Calendar: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77777777" w:rsidR="00260ADF" w:rsidRPr="002061F0" w:rsidRDefault="00260ADF" w:rsidP="00714654">
      <w:pPr>
        <w:pStyle w:val="ListParagraph"/>
        <w:numPr>
          <w:ilvl w:val="0"/>
          <w:numId w:val="8"/>
        </w:numPr>
      </w:pPr>
      <w:r w:rsidRPr="002061F0">
        <w:t>Pay Delay: Pay delay refers to the number of days between the payment due date and the actual date the payment is made. For instance, "0 days" means payments are made on the due date.</w:t>
      </w:r>
    </w:p>
    <w:p w14:paraId="6808B465" w14:textId="77777777" w:rsidR="00260ADF" w:rsidRPr="002061F0" w:rsidRDefault="00260ADF" w:rsidP="00260ADF">
      <w:pPr>
        <w:rPr>
          <w:b/>
          <w:bCs/>
        </w:rPr>
      </w:pPr>
      <w:r w:rsidRPr="002061F0">
        <w:rPr>
          <w:b/>
          <w:bCs/>
        </w:rPr>
        <w:t>Floating Leg</w:t>
      </w:r>
    </w:p>
    <w:p w14:paraId="30FD7E94" w14:textId="77777777" w:rsidR="00260ADF" w:rsidRPr="002061F0" w:rsidRDefault="00260ADF" w:rsidP="00260ADF">
      <w:r w:rsidRPr="002061F0">
        <w:t>The floating leg of the swap is where payments are made based on a variable interest rate, which changes over time based on a reference index. The conventions below describe how these payments are structured.</w:t>
      </w:r>
    </w:p>
    <w:p w14:paraId="07EDBF39" w14:textId="77777777" w:rsidR="00260ADF" w:rsidRPr="002061F0" w:rsidRDefault="00260ADF" w:rsidP="00485C34">
      <w:pPr>
        <w:pStyle w:val="ListParagraph"/>
        <w:numPr>
          <w:ilvl w:val="0"/>
          <w:numId w:val="13"/>
        </w:numPr>
      </w:pPr>
      <w:r w:rsidRPr="002061F0">
        <w:t>Reference Index: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t>CHF LIBOR 6M: Swiss Franc LIBOR for 6 months.</w:t>
      </w:r>
    </w:p>
    <w:p w14:paraId="2528F377" w14:textId="77777777" w:rsidR="00260ADF" w:rsidRPr="002061F0" w:rsidRDefault="00260ADF" w:rsidP="00485C34">
      <w:pPr>
        <w:pStyle w:val="ListParagraph"/>
        <w:numPr>
          <w:ilvl w:val="0"/>
          <w:numId w:val="13"/>
        </w:numPr>
      </w:pPr>
      <w:r w:rsidRPr="002061F0">
        <w:t>Reset Frequency: This determines how often the floating rate is recalculated or "reset." For example, a quarterly reset means the floating rate is updated every three months.</w:t>
      </w:r>
    </w:p>
    <w:p w14:paraId="2F10EEBA" w14:textId="77777777" w:rsidR="00260ADF" w:rsidRPr="002061F0" w:rsidRDefault="00260ADF" w:rsidP="00485C34">
      <w:pPr>
        <w:pStyle w:val="ListParagraph"/>
        <w:numPr>
          <w:ilvl w:val="0"/>
          <w:numId w:val="13"/>
        </w:numPr>
      </w:pPr>
      <w:r w:rsidRPr="002061F0">
        <w:t>Fixing Calendar: This refers to the calendar used to determine when the floating rate is fixed or set. For example, the "England" fixing calendar means rates are set according to U.K. business days.</w:t>
      </w:r>
    </w:p>
    <w:p w14:paraId="37A32EE3" w14:textId="77777777"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lastRenderedPageBreak/>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3B782DDB" w:rsidR="00260ADF" w:rsidRDefault="002651C1" w:rsidP="00485C34">
      <w:pPr>
        <w:pStyle w:val="Heading1"/>
        <w:numPr>
          <w:ilvl w:val="0"/>
          <w:numId w:val="11"/>
        </w:numPr>
        <w:rPr>
          <w:rFonts w:eastAsiaTheme="minorEastAsia"/>
        </w:rPr>
      </w:pPr>
      <w:r>
        <w:rPr>
          <w:rFonts w:eastAsiaTheme="minorEastAsia"/>
        </w:rPr>
        <w:lastRenderedPageBreak/>
        <w:t>Results from unfiltered dataset</w:t>
      </w:r>
    </w:p>
    <w:p w14:paraId="4B603D04" w14:textId="06630741" w:rsidR="002651C1" w:rsidRDefault="002651C1" w:rsidP="00260ADF">
      <w:pPr>
        <w:rPr>
          <w:rFonts w:eastAsiaTheme="minorEastAsia"/>
        </w:rPr>
      </w:pPr>
      <w:r>
        <w:rPr>
          <w:rFonts w:eastAsiaTheme="minorEastAsia"/>
        </w:rPr>
        <w:t xml:space="preserve">This appendix presents an alternate version of tables </w:t>
      </w:r>
      <w:r>
        <w:rPr>
          <w:rFonts w:eastAsiaTheme="minorEastAsia"/>
        </w:rPr>
        <w:fldChar w:fldCharType="begin"/>
      </w:r>
      <w:r>
        <w:rPr>
          <w:rFonts w:eastAsiaTheme="minorEastAsia"/>
        </w:rPr>
        <w:instrText xml:space="preserve"> REF _Ref169917265 \h </w:instrText>
      </w:r>
      <w:r>
        <w:rPr>
          <w:rFonts w:eastAsiaTheme="minorEastAsia"/>
        </w:rPr>
      </w:r>
      <w:r>
        <w:rPr>
          <w:rFonts w:eastAsiaTheme="minorEastAsia"/>
        </w:rPr>
        <w:fldChar w:fldCharType="separate"/>
      </w:r>
      <w:r w:rsidR="00A2102A">
        <w:t xml:space="preserve">Table </w:t>
      </w:r>
      <w:r w:rsidR="00A2102A">
        <w:rPr>
          <w:noProof/>
        </w:rPr>
        <w:t>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_Ref169917329 \h </w:instrText>
      </w:r>
      <w:r>
        <w:rPr>
          <w:rFonts w:eastAsiaTheme="minorEastAsia"/>
        </w:rPr>
      </w:r>
      <w:r>
        <w:rPr>
          <w:rFonts w:eastAsiaTheme="minorEastAsia"/>
        </w:rPr>
        <w:fldChar w:fldCharType="separate"/>
      </w:r>
      <w:r w:rsidR="00A2102A">
        <w:t xml:space="preserve">Table </w:t>
      </w:r>
      <w:r w:rsidR="00A2102A">
        <w:rPr>
          <w:noProof/>
        </w:rPr>
        <w:t>9</w:t>
      </w:r>
      <w:r>
        <w:rPr>
          <w:rFonts w:eastAsiaTheme="minorEastAsia"/>
        </w:rPr>
        <w:fldChar w:fldCharType="end"/>
      </w:r>
      <w:r>
        <w:rPr>
          <w:rFonts w:eastAsiaTheme="minorEastAsia"/>
        </w:rPr>
        <w:t>, removing filters for outliers (contracts with premium (discount) more than +/- 50 bps). Note that the rise in premium for the treatment group remains large and statistically significant even after including these outliers.</w:t>
      </w:r>
    </w:p>
    <w:p w14:paraId="756DB059" w14:textId="77777777" w:rsidR="002651C1"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trPr>
          <w:tblCellSpacing w:w="15" w:type="dxa"/>
        </w:trPr>
        <w:tc>
          <w:tcPr>
            <w:tcW w:w="0" w:type="auto"/>
            <w:gridSpan w:val="3"/>
            <w:tcBorders>
              <w:top w:val="nil"/>
              <w:left w:val="nil"/>
              <w:bottom w:val="nil"/>
              <w:right w:val="nil"/>
            </w:tcBorders>
            <w:vAlign w:val="center"/>
            <w:hideMark/>
          </w:tcPr>
          <w:p w14:paraId="676B1BA2" w14:textId="77777777" w:rsidR="002651C1" w:rsidRDefault="002651C1">
            <w:pPr>
              <w:jc w:val="center"/>
              <w:rPr>
                <w:rFonts w:eastAsia="Times New Roman"/>
              </w:rPr>
            </w:pPr>
            <w:r>
              <w:rPr>
                <w:rStyle w:val="Strong"/>
                <w:rFonts w:eastAsia="Times New Roman"/>
              </w:rPr>
              <w:t>Difference-in-Differences Regression Results</w:t>
            </w:r>
          </w:p>
        </w:tc>
      </w:tr>
      <w:tr w:rsidR="002651C1" w14:paraId="0407CFD5" w14:textId="77777777">
        <w:trPr>
          <w:tblCellSpacing w:w="15" w:type="dxa"/>
        </w:trPr>
        <w:tc>
          <w:tcPr>
            <w:tcW w:w="0" w:type="auto"/>
            <w:gridSpan w:val="3"/>
            <w:tcBorders>
              <w:bottom w:val="single" w:sz="6" w:space="0" w:color="000000"/>
            </w:tcBorders>
            <w:vAlign w:val="center"/>
            <w:hideMark/>
          </w:tcPr>
          <w:p w14:paraId="69873BA3" w14:textId="77777777" w:rsidR="002651C1" w:rsidRDefault="002651C1">
            <w:pPr>
              <w:jc w:val="center"/>
              <w:rPr>
                <w:rFonts w:eastAsia="Times New Roman"/>
              </w:rPr>
            </w:pPr>
          </w:p>
        </w:tc>
      </w:tr>
      <w:tr w:rsidR="002651C1" w14:paraId="14A47FA1" w14:textId="77777777">
        <w:trPr>
          <w:tblCellSpacing w:w="15" w:type="dxa"/>
        </w:trPr>
        <w:tc>
          <w:tcPr>
            <w:tcW w:w="0" w:type="auto"/>
            <w:vAlign w:val="center"/>
            <w:hideMark/>
          </w:tcPr>
          <w:p w14:paraId="3ABCDC45" w14:textId="77777777" w:rsidR="002651C1" w:rsidRDefault="002651C1">
            <w:pPr>
              <w:jc w:val="center"/>
              <w:rPr>
                <w:rFonts w:eastAsia="Times New Roman"/>
                <w:sz w:val="20"/>
                <w:szCs w:val="20"/>
              </w:rPr>
            </w:pPr>
          </w:p>
        </w:tc>
        <w:tc>
          <w:tcPr>
            <w:tcW w:w="0" w:type="auto"/>
            <w:gridSpan w:val="2"/>
            <w:vAlign w:val="center"/>
            <w:hideMark/>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trPr>
          <w:tblCellSpacing w:w="15" w:type="dxa"/>
        </w:trPr>
        <w:tc>
          <w:tcPr>
            <w:tcW w:w="0" w:type="auto"/>
            <w:vAlign w:val="center"/>
            <w:hideMark/>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pPr>
              <w:jc w:val="center"/>
              <w:rPr>
                <w:rFonts w:eastAsia="Times New Roman"/>
                <w:sz w:val="20"/>
                <w:szCs w:val="20"/>
              </w:rPr>
            </w:pPr>
          </w:p>
        </w:tc>
      </w:tr>
      <w:tr w:rsidR="002651C1" w14:paraId="1CEBDAB2" w14:textId="77777777">
        <w:trPr>
          <w:tblCellSpacing w:w="15" w:type="dxa"/>
        </w:trPr>
        <w:tc>
          <w:tcPr>
            <w:tcW w:w="0" w:type="auto"/>
            <w:vAlign w:val="center"/>
            <w:hideMark/>
          </w:tcPr>
          <w:p w14:paraId="31D0CC1A" w14:textId="77777777" w:rsidR="002651C1" w:rsidRDefault="002651C1">
            <w:pPr>
              <w:jc w:val="center"/>
              <w:rPr>
                <w:rFonts w:eastAsia="Times New Roman"/>
                <w:sz w:val="20"/>
                <w:szCs w:val="20"/>
              </w:rPr>
            </w:pPr>
          </w:p>
        </w:tc>
        <w:tc>
          <w:tcPr>
            <w:tcW w:w="0" w:type="auto"/>
            <w:vAlign w:val="center"/>
            <w:hideMark/>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trPr>
          <w:tblCellSpacing w:w="15" w:type="dxa"/>
        </w:trPr>
        <w:tc>
          <w:tcPr>
            <w:tcW w:w="0" w:type="auto"/>
            <w:vAlign w:val="center"/>
            <w:hideMark/>
          </w:tcPr>
          <w:p w14:paraId="1F319284" w14:textId="77777777" w:rsidR="002651C1" w:rsidRDefault="002651C1">
            <w:pPr>
              <w:jc w:val="center"/>
              <w:rPr>
                <w:rFonts w:eastAsia="Times New Roman"/>
              </w:rPr>
            </w:pPr>
          </w:p>
        </w:tc>
        <w:tc>
          <w:tcPr>
            <w:tcW w:w="0" w:type="auto"/>
            <w:vAlign w:val="center"/>
            <w:hideMark/>
          </w:tcPr>
          <w:p w14:paraId="4BCEA01A" w14:textId="77777777" w:rsidR="002651C1" w:rsidRDefault="002651C1">
            <w:pPr>
              <w:jc w:val="center"/>
              <w:rPr>
                <w:rFonts w:eastAsia="Times New Roman"/>
              </w:rPr>
            </w:pPr>
            <w:r>
              <w:rPr>
                <w:rFonts w:eastAsia="Times New Roman"/>
              </w:rPr>
              <w:t>(1)</w:t>
            </w:r>
          </w:p>
        </w:tc>
        <w:tc>
          <w:tcPr>
            <w:tcW w:w="0" w:type="auto"/>
            <w:vAlign w:val="center"/>
            <w:hideMark/>
          </w:tcPr>
          <w:p w14:paraId="50E0F098" w14:textId="77777777" w:rsidR="002651C1" w:rsidRDefault="002651C1">
            <w:pPr>
              <w:jc w:val="center"/>
              <w:rPr>
                <w:rFonts w:eastAsia="Times New Roman"/>
              </w:rPr>
            </w:pPr>
            <w:r>
              <w:rPr>
                <w:rFonts w:eastAsia="Times New Roman"/>
              </w:rPr>
              <w:t>(2)</w:t>
            </w:r>
          </w:p>
        </w:tc>
      </w:tr>
      <w:tr w:rsidR="002651C1" w14:paraId="0809FEDE" w14:textId="77777777">
        <w:trPr>
          <w:tblCellSpacing w:w="15" w:type="dxa"/>
        </w:trPr>
        <w:tc>
          <w:tcPr>
            <w:tcW w:w="0" w:type="auto"/>
            <w:gridSpan w:val="3"/>
            <w:tcBorders>
              <w:bottom w:val="single" w:sz="6" w:space="0" w:color="000000"/>
            </w:tcBorders>
            <w:vAlign w:val="center"/>
            <w:hideMark/>
          </w:tcPr>
          <w:p w14:paraId="613D4EEF" w14:textId="77777777" w:rsidR="002651C1" w:rsidRDefault="002651C1">
            <w:pPr>
              <w:jc w:val="center"/>
              <w:rPr>
                <w:rFonts w:eastAsia="Times New Roman"/>
              </w:rPr>
            </w:pPr>
          </w:p>
        </w:tc>
      </w:tr>
      <w:tr w:rsidR="002651C1" w14:paraId="71EF25A0" w14:textId="77777777">
        <w:trPr>
          <w:tblCellSpacing w:w="15" w:type="dxa"/>
        </w:trPr>
        <w:tc>
          <w:tcPr>
            <w:tcW w:w="0" w:type="auto"/>
            <w:vAlign w:val="center"/>
            <w:hideMark/>
          </w:tcPr>
          <w:p w14:paraId="02834E8A" w14:textId="77777777" w:rsidR="002651C1" w:rsidRDefault="002651C1">
            <w:pPr>
              <w:rPr>
                <w:rFonts w:eastAsia="Times New Roman"/>
              </w:rPr>
            </w:pPr>
            <w:r>
              <w:rPr>
                <w:rFonts w:eastAsia="Times New Roman"/>
              </w:rPr>
              <w:t>Group</w:t>
            </w:r>
          </w:p>
        </w:tc>
        <w:tc>
          <w:tcPr>
            <w:tcW w:w="0" w:type="auto"/>
            <w:vAlign w:val="center"/>
            <w:hideMark/>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trPr>
          <w:tblCellSpacing w:w="15" w:type="dxa"/>
        </w:trPr>
        <w:tc>
          <w:tcPr>
            <w:tcW w:w="0" w:type="auto"/>
            <w:vAlign w:val="center"/>
            <w:hideMark/>
          </w:tcPr>
          <w:p w14:paraId="7E836EEF" w14:textId="77777777" w:rsidR="002651C1" w:rsidRDefault="002651C1">
            <w:pPr>
              <w:jc w:val="center"/>
              <w:rPr>
                <w:rFonts w:eastAsia="Times New Roman"/>
              </w:rPr>
            </w:pPr>
          </w:p>
        </w:tc>
        <w:tc>
          <w:tcPr>
            <w:tcW w:w="0" w:type="auto"/>
            <w:vAlign w:val="center"/>
            <w:hideMark/>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
          <w:p w14:paraId="2ACCA291" w14:textId="77777777" w:rsidR="002651C1" w:rsidRDefault="002651C1">
            <w:pPr>
              <w:jc w:val="center"/>
              <w:rPr>
                <w:rFonts w:eastAsia="Times New Roman"/>
              </w:rPr>
            </w:pPr>
            <w:r>
              <w:rPr>
                <w:rFonts w:eastAsia="Times New Roman"/>
              </w:rPr>
              <w:t>(1.2786)</w:t>
            </w:r>
          </w:p>
        </w:tc>
      </w:tr>
      <w:tr w:rsidR="002651C1" w14:paraId="626772DE" w14:textId="77777777">
        <w:trPr>
          <w:tblCellSpacing w:w="15" w:type="dxa"/>
        </w:trPr>
        <w:tc>
          <w:tcPr>
            <w:tcW w:w="0" w:type="auto"/>
            <w:vAlign w:val="center"/>
            <w:hideMark/>
          </w:tcPr>
          <w:p w14:paraId="22894B2C" w14:textId="77777777" w:rsidR="002651C1" w:rsidRDefault="002651C1">
            <w:pPr>
              <w:rPr>
                <w:rFonts w:eastAsia="Times New Roman"/>
              </w:rPr>
            </w:pPr>
            <w:r>
              <w:rPr>
                <w:rFonts w:eastAsia="Times New Roman"/>
              </w:rPr>
              <w:t>Period</w:t>
            </w:r>
          </w:p>
        </w:tc>
        <w:tc>
          <w:tcPr>
            <w:tcW w:w="0" w:type="auto"/>
            <w:vAlign w:val="center"/>
            <w:hideMark/>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trPr>
          <w:tblCellSpacing w:w="15" w:type="dxa"/>
        </w:trPr>
        <w:tc>
          <w:tcPr>
            <w:tcW w:w="0" w:type="auto"/>
            <w:vAlign w:val="center"/>
            <w:hideMark/>
          </w:tcPr>
          <w:p w14:paraId="35AE8A23" w14:textId="77777777" w:rsidR="002651C1" w:rsidRDefault="002651C1">
            <w:pPr>
              <w:jc w:val="center"/>
              <w:rPr>
                <w:rFonts w:eastAsia="Times New Roman"/>
              </w:rPr>
            </w:pPr>
          </w:p>
        </w:tc>
        <w:tc>
          <w:tcPr>
            <w:tcW w:w="0" w:type="auto"/>
            <w:vAlign w:val="center"/>
            <w:hideMark/>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
          <w:p w14:paraId="16F2199E" w14:textId="77777777" w:rsidR="002651C1" w:rsidRDefault="002651C1">
            <w:pPr>
              <w:jc w:val="center"/>
              <w:rPr>
                <w:rFonts w:eastAsia="Times New Roman"/>
              </w:rPr>
            </w:pPr>
            <w:r>
              <w:rPr>
                <w:rFonts w:eastAsia="Times New Roman"/>
              </w:rPr>
              <w:t>(1.6921)</w:t>
            </w:r>
          </w:p>
        </w:tc>
      </w:tr>
      <w:tr w:rsidR="002651C1" w14:paraId="5438CF0B" w14:textId="77777777">
        <w:trPr>
          <w:tblCellSpacing w:w="15" w:type="dxa"/>
        </w:trPr>
        <w:tc>
          <w:tcPr>
            <w:tcW w:w="0" w:type="auto"/>
            <w:vAlign w:val="center"/>
            <w:hideMark/>
          </w:tcPr>
          <w:p w14:paraId="44AE89DE" w14:textId="77777777" w:rsidR="002651C1" w:rsidRDefault="002651C1">
            <w:pPr>
              <w:rPr>
                <w:rFonts w:eastAsia="Times New Roman"/>
              </w:rPr>
            </w:pPr>
            <w:r>
              <w:rPr>
                <w:rFonts w:eastAsia="Times New Roman"/>
              </w:rPr>
              <w:t>Tenor</w:t>
            </w:r>
          </w:p>
        </w:tc>
        <w:tc>
          <w:tcPr>
            <w:tcW w:w="0" w:type="auto"/>
            <w:vAlign w:val="center"/>
            <w:hideMark/>
          </w:tcPr>
          <w:p w14:paraId="76EBDCAA" w14:textId="77777777" w:rsidR="002651C1" w:rsidRDefault="002651C1">
            <w:pPr>
              <w:rPr>
                <w:rFonts w:eastAsia="Times New Roman"/>
              </w:rPr>
            </w:pPr>
          </w:p>
        </w:tc>
        <w:tc>
          <w:tcPr>
            <w:tcW w:w="0" w:type="auto"/>
            <w:vAlign w:val="center"/>
            <w:hideMark/>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trPr>
          <w:tblCellSpacing w:w="15" w:type="dxa"/>
        </w:trPr>
        <w:tc>
          <w:tcPr>
            <w:tcW w:w="0" w:type="auto"/>
            <w:vAlign w:val="center"/>
            <w:hideMark/>
          </w:tcPr>
          <w:p w14:paraId="226BB276" w14:textId="77777777" w:rsidR="002651C1" w:rsidRDefault="002651C1">
            <w:pPr>
              <w:jc w:val="center"/>
              <w:rPr>
                <w:rFonts w:eastAsia="Times New Roman"/>
              </w:rPr>
            </w:pPr>
          </w:p>
        </w:tc>
        <w:tc>
          <w:tcPr>
            <w:tcW w:w="0" w:type="auto"/>
            <w:vAlign w:val="center"/>
            <w:hideMark/>
          </w:tcPr>
          <w:p w14:paraId="18AA2E10" w14:textId="77777777" w:rsidR="002651C1" w:rsidRDefault="002651C1">
            <w:pPr>
              <w:rPr>
                <w:rFonts w:eastAsia="Times New Roman"/>
                <w:sz w:val="20"/>
                <w:szCs w:val="20"/>
              </w:rPr>
            </w:pPr>
          </w:p>
        </w:tc>
        <w:tc>
          <w:tcPr>
            <w:tcW w:w="0" w:type="auto"/>
            <w:vAlign w:val="center"/>
            <w:hideMark/>
          </w:tcPr>
          <w:p w14:paraId="53B5E371" w14:textId="77777777" w:rsidR="002651C1" w:rsidRDefault="002651C1">
            <w:pPr>
              <w:jc w:val="center"/>
              <w:rPr>
                <w:rFonts w:eastAsia="Times New Roman"/>
              </w:rPr>
            </w:pPr>
            <w:r>
              <w:rPr>
                <w:rFonts w:eastAsia="Times New Roman"/>
              </w:rPr>
              <w:t>(0.0226)</w:t>
            </w:r>
          </w:p>
        </w:tc>
      </w:tr>
      <w:tr w:rsidR="002651C1" w14:paraId="22A78259" w14:textId="77777777">
        <w:trPr>
          <w:tblCellSpacing w:w="15" w:type="dxa"/>
        </w:trPr>
        <w:tc>
          <w:tcPr>
            <w:tcW w:w="0" w:type="auto"/>
            <w:vAlign w:val="center"/>
            <w:hideMark/>
          </w:tcPr>
          <w:p w14:paraId="43D13490" w14:textId="77777777" w:rsidR="002651C1" w:rsidRDefault="002651C1">
            <w:pPr>
              <w:rPr>
                <w:rFonts w:eastAsia="Times New Roman"/>
              </w:rPr>
            </w:pPr>
            <w:r>
              <w:rPr>
                <w:rFonts w:eastAsia="Times New Roman"/>
              </w:rPr>
              <w:t>Log Notional</w:t>
            </w:r>
          </w:p>
        </w:tc>
        <w:tc>
          <w:tcPr>
            <w:tcW w:w="0" w:type="auto"/>
            <w:vAlign w:val="center"/>
            <w:hideMark/>
          </w:tcPr>
          <w:p w14:paraId="4BDA5E97" w14:textId="77777777" w:rsidR="002651C1" w:rsidRDefault="002651C1">
            <w:pPr>
              <w:rPr>
                <w:rFonts w:eastAsia="Times New Roman"/>
              </w:rPr>
            </w:pPr>
          </w:p>
        </w:tc>
        <w:tc>
          <w:tcPr>
            <w:tcW w:w="0" w:type="auto"/>
            <w:vAlign w:val="center"/>
            <w:hideMark/>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trPr>
          <w:tblCellSpacing w:w="15" w:type="dxa"/>
        </w:trPr>
        <w:tc>
          <w:tcPr>
            <w:tcW w:w="0" w:type="auto"/>
            <w:vAlign w:val="center"/>
            <w:hideMark/>
          </w:tcPr>
          <w:p w14:paraId="0F405006" w14:textId="77777777" w:rsidR="002651C1" w:rsidRDefault="002651C1">
            <w:pPr>
              <w:jc w:val="center"/>
              <w:rPr>
                <w:rFonts w:eastAsia="Times New Roman"/>
              </w:rPr>
            </w:pPr>
          </w:p>
        </w:tc>
        <w:tc>
          <w:tcPr>
            <w:tcW w:w="0" w:type="auto"/>
            <w:vAlign w:val="center"/>
            <w:hideMark/>
          </w:tcPr>
          <w:p w14:paraId="314AB8CB" w14:textId="77777777" w:rsidR="002651C1" w:rsidRDefault="002651C1">
            <w:pPr>
              <w:rPr>
                <w:rFonts w:eastAsia="Times New Roman"/>
                <w:sz w:val="20"/>
                <w:szCs w:val="20"/>
              </w:rPr>
            </w:pPr>
          </w:p>
        </w:tc>
        <w:tc>
          <w:tcPr>
            <w:tcW w:w="0" w:type="auto"/>
            <w:vAlign w:val="center"/>
            <w:hideMark/>
          </w:tcPr>
          <w:p w14:paraId="1AA00995" w14:textId="77777777" w:rsidR="002651C1" w:rsidRDefault="002651C1">
            <w:pPr>
              <w:jc w:val="center"/>
              <w:rPr>
                <w:rFonts w:eastAsia="Times New Roman"/>
              </w:rPr>
            </w:pPr>
            <w:r>
              <w:rPr>
                <w:rFonts w:eastAsia="Times New Roman"/>
              </w:rPr>
              <w:t>(0.1730)</w:t>
            </w:r>
          </w:p>
        </w:tc>
      </w:tr>
      <w:tr w:rsidR="002651C1" w14:paraId="48A098CC" w14:textId="77777777">
        <w:trPr>
          <w:tblCellSpacing w:w="15" w:type="dxa"/>
        </w:trPr>
        <w:tc>
          <w:tcPr>
            <w:tcW w:w="0" w:type="auto"/>
            <w:vAlign w:val="center"/>
            <w:hideMark/>
          </w:tcPr>
          <w:p w14:paraId="70DD14D6" w14:textId="77777777" w:rsidR="002651C1" w:rsidRDefault="002651C1">
            <w:pPr>
              <w:rPr>
                <w:rFonts w:eastAsia="Times New Roman"/>
              </w:rPr>
            </w:pPr>
            <w:r>
              <w:rPr>
                <w:rFonts w:eastAsia="Times New Roman"/>
              </w:rPr>
              <w:t>Capped</w:t>
            </w:r>
          </w:p>
        </w:tc>
        <w:tc>
          <w:tcPr>
            <w:tcW w:w="0" w:type="auto"/>
            <w:vAlign w:val="center"/>
            <w:hideMark/>
          </w:tcPr>
          <w:p w14:paraId="6C755964" w14:textId="77777777" w:rsidR="002651C1" w:rsidRDefault="002651C1">
            <w:pPr>
              <w:rPr>
                <w:rFonts w:eastAsia="Times New Roman"/>
              </w:rPr>
            </w:pPr>
          </w:p>
        </w:tc>
        <w:tc>
          <w:tcPr>
            <w:tcW w:w="0" w:type="auto"/>
            <w:vAlign w:val="center"/>
            <w:hideMark/>
          </w:tcPr>
          <w:p w14:paraId="6CF330B6" w14:textId="77777777" w:rsidR="002651C1" w:rsidRDefault="002651C1">
            <w:pPr>
              <w:jc w:val="center"/>
              <w:rPr>
                <w:rFonts w:eastAsia="Times New Roman"/>
              </w:rPr>
            </w:pPr>
            <w:r>
              <w:rPr>
                <w:rFonts w:eastAsia="Times New Roman"/>
              </w:rPr>
              <w:t>-0.3432</w:t>
            </w:r>
          </w:p>
        </w:tc>
      </w:tr>
      <w:tr w:rsidR="002651C1" w14:paraId="07E4FE8A" w14:textId="77777777">
        <w:trPr>
          <w:tblCellSpacing w:w="15" w:type="dxa"/>
        </w:trPr>
        <w:tc>
          <w:tcPr>
            <w:tcW w:w="0" w:type="auto"/>
            <w:vAlign w:val="center"/>
            <w:hideMark/>
          </w:tcPr>
          <w:p w14:paraId="5412AC7D" w14:textId="77777777" w:rsidR="002651C1" w:rsidRDefault="002651C1">
            <w:pPr>
              <w:jc w:val="center"/>
              <w:rPr>
                <w:rFonts w:eastAsia="Times New Roman"/>
              </w:rPr>
            </w:pPr>
          </w:p>
        </w:tc>
        <w:tc>
          <w:tcPr>
            <w:tcW w:w="0" w:type="auto"/>
            <w:vAlign w:val="center"/>
            <w:hideMark/>
          </w:tcPr>
          <w:p w14:paraId="6B702434" w14:textId="77777777" w:rsidR="002651C1" w:rsidRDefault="002651C1">
            <w:pPr>
              <w:rPr>
                <w:rFonts w:eastAsia="Times New Roman"/>
                <w:sz w:val="20"/>
                <w:szCs w:val="20"/>
              </w:rPr>
            </w:pPr>
          </w:p>
        </w:tc>
        <w:tc>
          <w:tcPr>
            <w:tcW w:w="0" w:type="auto"/>
            <w:vAlign w:val="center"/>
            <w:hideMark/>
          </w:tcPr>
          <w:p w14:paraId="4829D534" w14:textId="77777777" w:rsidR="002651C1" w:rsidRDefault="002651C1">
            <w:pPr>
              <w:jc w:val="center"/>
              <w:rPr>
                <w:rFonts w:eastAsia="Times New Roman"/>
              </w:rPr>
            </w:pPr>
            <w:r>
              <w:rPr>
                <w:rFonts w:eastAsia="Times New Roman"/>
              </w:rPr>
              <w:t>(0.4880)</w:t>
            </w:r>
          </w:p>
        </w:tc>
      </w:tr>
      <w:tr w:rsidR="002651C1" w14:paraId="582E55D0" w14:textId="77777777">
        <w:trPr>
          <w:tblCellSpacing w:w="15" w:type="dxa"/>
        </w:trPr>
        <w:tc>
          <w:tcPr>
            <w:tcW w:w="0" w:type="auto"/>
            <w:vAlign w:val="center"/>
            <w:hideMark/>
          </w:tcPr>
          <w:p w14:paraId="7705B505" w14:textId="77777777" w:rsidR="002651C1" w:rsidRDefault="002651C1">
            <w:pPr>
              <w:rPr>
                <w:rFonts w:eastAsia="Times New Roman"/>
              </w:rPr>
            </w:pPr>
            <w:r>
              <w:rPr>
                <w:rFonts w:eastAsia="Times New Roman"/>
              </w:rPr>
              <w:t>SEF</w:t>
            </w:r>
          </w:p>
        </w:tc>
        <w:tc>
          <w:tcPr>
            <w:tcW w:w="0" w:type="auto"/>
            <w:vAlign w:val="center"/>
            <w:hideMark/>
          </w:tcPr>
          <w:p w14:paraId="30FE6632" w14:textId="77777777" w:rsidR="002651C1" w:rsidRDefault="002651C1">
            <w:pPr>
              <w:rPr>
                <w:rFonts w:eastAsia="Times New Roman"/>
              </w:rPr>
            </w:pPr>
          </w:p>
        </w:tc>
        <w:tc>
          <w:tcPr>
            <w:tcW w:w="0" w:type="auto"/>
            <w:vAlign w:val="center"/>
            <w:hideMark/>
          </w:tcPr>
          <w:p w14:paraId="2AA35CDD" w14:textId="77777777" w:rsidR="002651C1" w:rsidRDefault="002651C1">
            <w:pPr>
              <w:jc w:val="center"/>
              <w:rPr>
                <w:rFonts w:eastAsia="Times New Roman"/>
              </w:rPr>
            </w:pPr>
            <w:r>
              <w:rPr>
                <w:rFonts w:eastAsia="Times New Roman"/>
              </w:rPr>
              <w:t>-4.2437</w:t>
            </w:r>
          </w:p>
        </w:tc>
      </w:tr>
      <w:tr w:rsidR="002651C1" w14:paraId="6A7C3D58" w14:textId="77777777">
        <w:trPr>
          <w:tblCellSpacing w:w="15" w:type="dxa"/>
        </w:trPr>
        <w:tc>
          <w:tcPr>
            <w:tcW w:w="0" w:type="auto"/>
            <w:vAlign w:val="center"/>
            <w:hideMark/>
          </w:tcPr>
          <w:p w14:paraId="049EEA01" w14:textId="77777777" w:rsidR="002651C1" w:rsidRDefault="002651C1">
            <w:pPr>
              <w:jc w:val="center"/>
              <w:rPr>
                <w:rFonts w:eastAsia="Times New Roman"/>
              </w:rPr>
            </w:pPr>
          </w:p>
        </w:tc>
        <w:tc>
          <w:tcPr>
            <w:tcW w:w="0" w:type="auto"/>
            <w:vAlign w:val="center"/>
            <w:hideMark/>
          </w:tcPr>
          <w:p w14:paraId="5F83C8E1" w14:textId="77777777" w:rsidR="002651C1" w:rsidRDefault="002651C1">
            <w:pPr>
              <w:rPr>
                <w:rFonts w:eastAsia="Times New Roman"/>
                <w:sz w:val="20"/>
                <w:szCs w:val="20"/>
              </w:rPr>
            </w:pPr>
          </w:p>
        </w:tc>
        <w:tc>
          <w:tcPr>
            <w:tcW w:w="0" w:type="auto"/>
            <w:vAlign w:val="center"/>
            <w:hideMark/>
          </w:tcPr>
          <w:p w14:paraId="5DBE597F" w14:textId="77777777" w:rsidR="002651C1" w:rsidRDefault="002651C1">
            <w:pPr>
              <w:jc w:val="center"/>
              <w:rPr>
                <w:rFonts w:eastAsia="Times New Roman"/>
              </w:rPr>
            </w:pPr>
            <w:r>
              <w:rPr>
                <w:rFonts w:eastAsia="Times New Roman"/>
              </w:rPr>
              <w:t>(6.5996)</w:t>
            </w:r>
          </w:p>
        </w:tc>
      </w:tr>
      <w:tr w:rsidR="002651C1" w14:paraId="0983492B" w14:textId="77777777">
        <w:trPr>
          <w:tblCellSpacing w:w="15" w:type="dxa"/>
        </w:trPr>
        <w:tc>
          <w:tcPr>
            <w:tcW w:w="0" w:type="auto"/>
            <w:vAlign w:val="center"/>
            <w:hideMark/>
          </w:tcPr>
          <w:p w14:paraId="3B4A3B80" w14:textId="77777777" w:rsidR="002651C1" w:rsidRDefault="002651C1">
            <w:pPr>
              <w:rPr>
                <w:rFonts w:eastAsia="Times New Roman"/>
              </w:rPr>
            </w:pPr>
            <w:r>
              <w:rPr>
                <w:rFonts w:eastAsia="Times New Roman"/>
              </w:rPr>
              <w:t>Morning Session</w:t>
            </w:r>
          </w:p>
        </w:tc>
        <w:tc>
          <w:tcPr>
            <w:tcW w:w="0" w:type="auto"/>
            <w:vAlign w:val="center"/>
            <w:hideMark/>
          </w:tcPr>
          <w:p w14:paraId="29D971DF" w14:textId="77777777" w:rsidR="002651C1" w:rsidRDefault="002651C1">
            <w:pPr>
              <w:rPr>
                <w:rFonts w:eastAsia="Times New Roman"/>
              </w:rPr>
            </w:pPr>
          </w:p>
        </w:tc>
        <w:tc>
          <w:tcPr>
            <w:tcW w:w="0" w:type="auto"/>
            <w:vAlign w:val="center"/>
            <w:hideMark/>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trPr>
          <w:tblCellSpacing w:w="15" w:type="dxa"/>
        </w:trPr>
        <w:tc>
          <w:tcPr>
            <w:tcW w:w="0" w:type="auto"/>
            <w:vAlign w:val="center"/>
            <w:hideMark/>
          </w:tcPr>
          <w:p w14:paraId="0C9AA980" w14:textId="77777777" w:rsidR="002651C1" w:rsidRDefault="002651C1">
            <w:pPr>
              <w:jc w:val="center"/>
              <w:rPr>
                <w:rFonts w:eastAsia="Times New Roman"/>
              </w:rPr>
            </w:pPr>
          </w:p>
        </w:tc>
        <w:tc>
          <w:tcPr>
            <w:tcW w:w="0" w:type="auto"/>
            <w:vAlign w:val="center"/>
            <w:hideMark/>
          </w:tcPr>
          <w:p w14:paraId="246553CA" w14:textId="77777777" w:rsidR="002651C1" w:rsidRDefault="002651C1">
            <w:pPr>
              <w:rPr>
                <w:rFonts w:eastAsia="Times New Roman"/>
                <w:sz w:val="20"/>
                <w:szCs w:val="20"/>
              </w:rPr>
            </w:pPr>
          </w:p>
        </w:tc>
        <w:tc>
          <w:tcPr>
            <w:tcW w:w="0" w:type="auto"/>
            <w:vAlign w:val="center"/>
            <w:hideMark/>
          </w:tcPr>
          <w:p w14:paraId="5E4C4060" w14:textId="77777777" w:rsidR="002651C1" w:rsidRDefault="002651C1">
            <w:pPr>
              <w:jc w:val="center"/>
              <w:rPr>
                <w:rFonts w:eastAsia="Times New Roman"/>
              </w:rPr>
            </w:pPr>
            <w:r>
              <w:rPr>
                <w:rFonts w:eastAsia="Times New Roman"/>
              </w:rPr>
              <w:t>(0.4843)</w:t>
            </w:r>
          </w:p>
        </w:tc>
      </w:tr>
      <w:tr w:rsidR="002651C1" w14:paraId="52207112" w14:textId="77777777">
        <w:trPr>
          <w:tblCellSpacing w:w="15" w:type="dxa"/>
        </w:trPr>
        <w:tc>
          <w:tcPr>
            <w:tcW w:w="0" w:type="auto"/>
            <w:vAlign w:val="center"/>
            <w:hideMark/>
          </w:tcPr>
          <w:p w14:paraId="17A28129" w14:textId="77777777" w:rsidR="002651C1" w:rsidRDefault="002651C1">
            <w:pPr>
              <w:rPr>
                <w:rFonts w:eastAsia="Times New Roman"/>
              </w:rPr>
            </w:pPr>
            <w:r>
              <w:rPr>
                <w:rFonts w:eastAsia="Times New Roman"/>
              </w:rPr>
              <w:t>Afternoon Session</w:t>
            </w:r>
          </w:p>
        </w:tc>
        <w:tc>
          <w:tcPr>
            <w:tcW w:w="0" w:type="auto"/>
            <w:vAlign w:val="center"/>
            <w:hideMark/>
          </w:tcPr>
          <w:p w14:paraId="5041B2E6" w14:textId="77777777" w:rsidR="002651C1" w:rsidRDefault="002651C1">
            <w:pPr>
              <w:rPr>
                <w:rFonts w:eastAsia="Times New Roman"/>
              </w:rPr>
            </w:pPr>
          </w:p>
        </w:tc>
        <w:tc>
          <w:tcPr>
            <w:tcW w:w="0" w:type="auto"/>
            <w:vAlign w:val="center"/>
            <w:hideMark/>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trPr>
          <w:tblCellSpacing w:w="15" w:type="dxa"/>
        </w:trPr>
        <w:tc>
          <w:tcPr>
            <w:tcW w:w="0" w:type="auto"/>
            <w:vAlign w:val="center"/>
            <w:hideMark/>
          </w:tcPr>
          <w:p w14:paraId="419EA7C4" w14:textId="77777777" w:rsidR="002651C1" w:rsidRDefault="002651C1">
            <w:pPr>
              <w:jc w:val="center"/>
              <w:rPr>
                <w:rFonts w:eastAsia="Times New Roman"/>
              </w:rPr>
            </w:pPr>
          </w:p>
        </w:tc>
        <w:tc>
          <w:tcPr>
            <w:tcW w:w="0" w:type="auto"/>
            <w:vAlign w:val="center"/>
            <w:hideMark/>
          </w:tcPr>
          <w:p w14:paraId="7E96D713" w14:textId="77777777" w:rsidR="002651C1" w:rsidRDefault="002651C1">
            <w:pPr>
              <w:rPr>
                <w:rFonts w:eastAsia="Times New Roman"/>
                <w:sz w:val="20"/>
                <w:szCs w:val="20"/>
              </w:rPr>
            </w:pPr>
          </w:p>
        </w:tc>
        <w:tc>
          <w:tcPr>
            <w:tcW w:w="0" w:type="auto"/>
            <w:vAlign w:val="center"/>
            <w:hideMark/>
          </w:tcPr>
          <w:p w14:paraId="7BC6020A" w14:textId="77777777" w:rsidR="002651C1" w:rsidRDefault="002651C1">
            <w:pPr>
              <w:jc w:val="center"/>
              <w:rPr>
                <w:rFonts w:eastAsia="Times New Roman"/>
              </w:rPr>
            </w:pPr>
            <w:r>
              <w:rPr>
                <w:rFonts w:eastAsia="Times New Roman"/>
              </w:rPr>
              <w:t>(0.4762)</w:t>
            </w:r>
          </w:p>
        </w:tc>
      </w:tr>
      <w:tr w:rsidR="002651C1" w14:paraId="2ABFD3EF" w14:textId="77777777">
        <w:trPr>
          <w:tblCellSpacing w:w="15" w:type="dxa"/>
        </w:trPr>
        <w:tc>
          <w:tcPr>
            <w:tcW w:w="0" w:type="auto"/>
            <w:vAlign w:val="center"/>
            <w:hideMark/>
          </w:tcPr>
          <w:p w14:paraId="6FC9F4AE" w14:textId="77777777" w:rsidR="002651C1" w:rsidRDefault="002651C1">
            <w:pPr>
              <w:rPr>
                <w:rFonts w:eastAsia="Times New Roman"/>
              </w:rPr>
            </w:pPr>
            <w:r>
              <w:rPr>
                <w:rFonts w:eastAsia="Times New Roman"/>
              </w:rPr>
              <w:lastRenderedPageBreak/>
              <w:t>Off Hours</w:t>
            </w:r>
          </w:p>
        </w:tc>
        <w:tc>
          <w:tcPr>
            <w:tcW w:w="0" w:type="auto"/>
            <w:vAlign w:val="center"/>
            <w:hideMark/>
          </w:tcPr>
          <w:p w14:paraId="31BCA7AE" w14:textId="77777777" w:rsidR="002651C1" w:rsidRDefault="002651C1">
            <w:pPr>
              <w:rPr>
                <w:rFonts w:eastAsia="Times New Roman"/>
              </w:rPr>
            </w:pPr>
          </w:p>
        </w:tc>
        <w:tc>
          <w:tcPr>
            <w:tcW w:w="0" w:type="auto"/>
            <w:vAlign w:val="center"/>
            <w:hideMark/>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trPr>
          <w:tblCellSpacing w:w="15" w:type="dxa"/>
        </w:trPr>
        <w:tc>
          <w:tcPr>
            <w:tcW w:w="0" w:type="auto"/>
            <w:vAlign w:val="center"/>
            <w:hideMark/>
          </w:tcPr>
          <w:p w14:paraId="1C323FFC" w14:textId="77777777" w:rsidR="002651C1" w:rsidRDefault="002651C1">
            <w:pPr>
              <w:jc w:val="center"/>
              <w:rPr>
                <w:rFonts w:eastAsia="Times New Roman"/>
              </w:rPr>
            </w:pPr>
          </w:p>
        </w:tc>
        <w:tc>
          <w:tcPr>
            <w:tcW w:w="0" w:type="auto"/>
            <w:vAlign w:val="center"/>
            <w:hideMark/>
          </w:tcPr>
          <w:p w14:paraId="4ECD56F3" w14:textId="77777777" w:rsidR="002651C1" w:rsidRDefault="002651C1">
            <w:pPr>
              <w:rPr>
                <w:rFonts w:eastAsia="Times New Roman"/>
                <w:sz w:val="20"/>
                <w:szCs w:val="20"/>
              </w:rPr>
            </w:pPr>
          </w:p>
        </w:tc>
        <w:tc>
          <w:tcPr>
            <w:tcW w:w="0" w:type="auto"/>
            <w:vAlign w:val="center"/>
            <w:hideMark/>
          </w:tcPr>
          <w:p w14:paraId="368D8F28" w14:textId="77777777" w:rsidR="002651C1" w:rsidRDefault="002651C1">
            <w:pPr>
              <w:jc w:val="center"/>
              <w:rPr>
                <w:rFonts w:eastAsia="Times New Roman"/>
              </w:rPr>
            </w:pPr>
            <w:r>
              <w:rPr>
                <w:rFonts w:eastAsia="Times New Roman"/>
              </w:rPr>
              <w:t>(0.5589)</w:t>
            </w:r>
          </w:p>
        </w:tc>
      </w:tr>
      <w:tr w:rsidR="002651C1" w14:paraId="7C175663" w14:textId="77777777">
        <w:trPr>
          <w:tblCellSpacing w:w="15" w:type="dxa"/>
        </w:trPr>
        <w:tc>
          <w:tcPr>
            <w:tcW w:w="0" w:type="auto"/>
            <w:vAlign w:val="center"/>
            <w:hideMark/>
          </w:tcPr>
          <w:p w14:paraId="423DD567" w14:textId="77777777" w:rsidR="002651C1" w:rsidRDefault="002651C1">
            <w:pPr>
              <w:rPr>
                <w:rFonts w:eastAsia="Times New Roman"/>
              </w:rPr>
            </w:pPr>
            <w:r>
              <w:rPr>
                <w:rFonts w:eastAsia="Times New Roman"/>
              </w:rPr>
              <w:t>Monday</w:t>
            </w:r>
          </w:p>
        </w:tc>
        <w:tc>
          <w:tcPr>
            <w:tcW w:w="0" w:type="auto"/>
            <w:vAlign w:val="center"/>
            <w:hideMark/>
          </w:tcPr>
          <w:p w14:paraId="5930B98B" w14:textId="77777777" w:rsidR="002651C1" w:rsidRDefault="002651C1">
            <w:pPr>
              <w:rPr>
                <w:rFonts w:eastAsia="Times New Roman"/>
              </w:rPr>
            </w:pPr>
          </w:p>
        </w:tc>
        <w:tc>
          <w:tcPr>
            <w:tcW w:w="0" w:type="auto"/>
            <w:vAlign w:val="center"/>
            <w:hideMark/>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trPr>
          <w:tblCellSpacing w:w="15" w:type="dxa"/>
        </w:trPr>
        <w:tc>
          <w:tcPr>
            <w:tcW w:w="0" w:type="auto"/>
            <w:vAlign w:val="center"/>
            <w:hideMark/>
          </w:tcPr>
          <w:p w14:paraId="265A0841" w14:textId="77777777" w:rsidR="002651C1" w:rsidRDefault="002651C1">
            <w:pPr>
              <w:jc w:val="center"/>
              <w:rPr>
                <w:rFonts w:eastAsia="Times New Roman"/>
              </w:rPr>
            </w:pPr>
          </w:p>
        </w:tc>
        <w:tc>
          <w:tcPr>
            <w:tcW w:w="0" w:type="auto"/>
            <w:vAlign w:val="center"/>
            <w:hideMark/>
          </w:tcPr>
          <w:p w14:paraId="66FB7BDB" w14:textId="77777777" w:rsidR="002651C1" w:rsidRDefault="002651C1">
            <w:pPr>
              <w:rPr>
                <w:rFonts w:eastAsia="Times New Roman"/>
                <w:sz w:val="20"/>
                <w:szCs w:val="20"/>
              </w:rPr>
            </w:pPr>
          </w:p>
        </w:tc>
        <w:tc>
          <w:tcPr>
            <w:tcW w:w="0" w:type="auto"/>
            <w:vAlign w:val="center"/>
            <w:hideMark/>
          </w:tcPr>
          <w:p w14:paraId="58CB5D05" w14:textId="77777777" w:rsidR="002651C1" w:rsidRDefault="002651C1">
            <w:pPr>
              <w:jc w:val="center"/>
              <w:rPr>
                <w:rFonts w:eastAsia="Times New Roman"/>
              </w:rPr>
            </w:pPr>
            <w:r>
              <w:rPr>
                <w:rFonts w:eastAsia="Times New Roman"/>
              </w:rPr>
              <w:t>(0.5910)</w:t>
            </w:r>
          </w:p>
        </w:tc>
      </w:tr>
      <w:tr w:rsidR="002651C1" w14:paraId="2550B329" w14:textId="77777777">
        <w:trPr>
          <w:tblCellSpacing w:w="15" w:type="dxa"/>
        </w:trPr>
        <w:tc>
          <w:tcPr>
            <w:tcW w:w="0" w:type="auto"/>
            <w:vAlign w:val="center"/>
            <w:hideMark/>
          </w:tcPr>
          <w:p w14:paraId="32F64F22" w14:textId="77777777" w:rsidR="002651C1" w:rsidRDefault="002651C1">
            <w:pPr>
              <w:rPr>
                <w:rFonts w:eastAsia="Times New Roman"/>
              </w:rPr>
            </w:pPr>
            <w:r>
              <w:rPr>
                <w:rFonts w:eastAsia="Times New Roman"/>
              </w:rPr>
              <w:t>Tuesday</w:t>
            </w:r>
          </w:p>
        </w:tc>
        <w:tc>
          <w:tcPr>
            <w:tcW w:w="0" w:type="auto"/>
            <w:vAlign w:val="center"/>
            <w:hideMark/>
          </w:tcPr>
          <w:p w14:paraId="2E46A6B1" w14:textId="77777777" w:rsidR="002651C1" w:rsidRDefault="002651C1">
            <w:pPr>
              <w:rPr>
                <w:rFonts w:eastAsia="Times New Roman"/>
              </w:rPr>
            </w:pPr>
          </w:p>
        </w:tc>
        <w:tc>
          <w:tcPr>
            <w:tcW w:w="0" w:type="auto"/>
            <w:vAlign w:val="center"/>
            <w:hideMark/>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trPr>
          <w:tblCellSpacing w:w="15" w:type="dxa"/>
        </w:trPr>
        <w:tc>
          <w:tcPr>
            <w:tcW w:w="0" w:type="auto"/>
            <w:vAlign w:val="center"/>
            <w:hideMark/>
          </w:tcPr>
          <w:p w14:paraId="23F6019D" w14:textId="77777777" w:rsidR="002651C1" w:rsidRDefault="002651C1">
            <w:pPr>
              <w:jc w:val="center"/>
              <w:rPr>
                <w:rFonts w:eastAsia="Times New Roman"/>
              </w:rPr>
            </w:pPr>
          </w:p>
        </w:tc>
        <w:tc>
          <w:tcPr>
            <w:tcW w:w="0" w:type="auto"/>
            <w:vAlign w:val="center"/>
            <w:hideMark/>
          </w:tcPr>
          <w:p w14:paraId="2FA8B615" w14:textId="77777777" w:rsidR="002651C1" w:rsidRDefault="002651C1">
            <w:pPr>
              <w:rPr>
                <w:rFonts w:eastAsia="Times New Roman"/>
                <w:sz w:val="20"/>
                <w:szCs w:val="20"/>
              </w:rPr>
            </w:pPr>
          </w:p>
        </w:tc>
        <w:tc>
          <w:tcPr>
            <w:tcW w:w="0" w:type="auto"/>
            <w:vAlign w:val="center"/>
            <w:hideMark/>
          </w:tcPr>
          <w:p w14:paraId="765E197E" w14:textId="77777777" w:rsidR="002651C1" w:rsidRDefault="002651C1">
            <w:pPr>
              <w:jc w:val="center"/>
              <w:rPr>
                <w:rFonts w:eastAsia="Times New Roman"/>
              </w:rPr>
            </w:pPr>
            <w:r>
              <w:rPr>
                <w:rFonts w:eastAsia="Times New Roman"/>
              </w:rPr>
              <w:t>(0.5454)</w:t>
            </w:r>
          </w:p>
        </w:tc>
      </w:tr>
      <w:tr w:rsidR="002651C1" w14:paraId="15D1D343" w14:textId="77777777">
        <w:trPr>
          <w:tblCellSpacing w:w="15" w:type="dxa"/>
        </w:trPr>
        <w:tc>
          <w:tcPr>
            <w:tcW w:w="0" w:type="auto"/>
            <w:vAlign w:val="center"/>
            <w:hideMark/>
          </w:tcPr>
          <w:p w14:paraId="416F5BF6" w14:textId="77777777" w:rsidR="002651C1" w:rsidRDefault="002651C1">
            <w:pPr>
              <w:rPr>
                <w:rFonts w:eastAsia="Times New Roman"/>
              </w:rPr>
            </w:pPr>
            <w:r>
              <w:rPr>
                <w:rFonts w:eastAsia="Times New Roman"/>
              </w:rPr>
              <w:t>Thursday</w:t>
            </w:r>
          </w:p>
        </w:tc>
        <w:tc>
          <w:tcPr>
            <w:tcW w:w="0" w:type="auto"/>
            <w:vAlign w:val="center"/>
            <w:hideMark/>
          </w:tcPr>
          <w:p w14:paraId="6827D411" w14:textId="77777777" w:rsidR="002651C1" w:rsidRDefault="002651C1">
            <w:pPr>
              <w:rPr>
                <w:rFonts w:eastAsia="Times New Roman"/>
              </w:rPr>
            </w:pPr>
          </w:p>
        </w:tc>
        <w:tc>
          <w:tcPr>
            <w:tcW w:w="0" w:type="auto"/>
            <w:vAlign w:val="center"/>
            <w:hideMark/>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trPr>
          <w:tblCellSpacing w:w="15" w:type="dxa"/>
        </w:trPr>
        <w:tc>
          <w:tcPr>
            <w:tcW w:w="0" w:type="auto"/>
            <w:vAlign w:val="center"/>
            <w:hideMark/>
          </w:tcPr>
          <w:p w14:paraId="2DA27826" w14:textId="77777777" w:rsidR="002651C1" w:rsidRDefault="002651C1">
            <w:pPr>
              <w:jc w:val="center"/>
              <w:rPr>
                <w:rFonts w:eastAsia="Times New Roman"/>
              </w:rPr>
            </w:pPr>
          </w:p>
        </w:tc>
        <w:tc>
          <w:tcPr>
            <w:tcW w:w="0" w:type="auto"/>
            <w:vAlign w:val="center"/>
            <w:hideMark/>
          </w:tcPr>
          <w:p w14:paraId="4CE8163B" w14:textId="77777777" w:rsidR="002651C1" w:rsidRDefault="002651C1">
            <w:pPr>
              <w:rPr>
                <w:rFonts w:eastAsia="Times New Roman"/>
                <w:sz w:val="20"/>
                <w:szCs w:val="20"/>
              </w:rPr>
            </w:pPr>
          </w:p>
        </w:tc>
        <w:tc>
          <w:tcPr>
            <w:tcW w:w="0" w:type="auto"/>
            <w:vAlign w:val="center"/>
            <w:hideMark/>
          </w:tcPr>
          <w:p w14:paraId="7EA9B9C2" w14:textId="77777777" w:rsidR="002651C1" w:rsidRDefault="002651C1">
            <w:pPr>
              <w:jc w:val="center"/>
              <w:rPr>
                <w:rFonts w:eastAsia="Times New Roman"/>
              </w:rPr>
            </w:pPr>
            <w:r>
              <w:rPr>
                <w:rFonts w:eastAsia="Times New Roman"/>
              </w:rPr>
              <w:t>(0.5274)</w:t>
            </w:r>
          </w:p>
        </w:tc>
      </w:tr>
      <w:tr w:rsidR="002651C1" w14:paraId="3CAB432D" w14:textId="77777777">
        <w:trPr>
          <w:tblCellSpacing w:w="15" w:type="dxa"/>
        </w:trPr>
        <w:tc>
          <w:tcPr>
            <w:tcW w:w="0" w:type="auto"/>
            <w:vAlign w:val="center"/>
            <w:hideMark/>
          </w:tcPr>
          <w:p w14:paraId="0131C188" w14:textId="77777777" w:rsidR="002651C1" w:rsidRDefault="002651C1">
            <w:pPr>
              <w:rPr>
                <w:rFonts w:eastAsia="Times New Roman"/>
              </w:rPr>
            </w:pPr>
            <w:r>
              <w:rPr>
                <w:rFonts w:eastAsia="Times New Roman"/>
              </w:rPr>
              <w:t>Friday</w:t>
            </w:r>
          </w:p>
        </w:tc>
        <w:tc>
          <w:tcPr>
            <w:tcW w:w="0" w:type="auto"/>
            <w:vAlign w:val="center"/>
            <w:hideMark/>
          </w:tcPr>
          <w:p w14:paraId="6CDA345A" w14:textId="77777777" w:rsidR="002651C1" w:rsidRDefault="002651C1">
            <w:pPr>
              <w:rPr>
                <w:rFonts w:eastAsia="Times New Roman"/>
              </w:rPr>
            </w:pPr>
          </w:p>
        </w:tc>
        <w:tc>
          <w:tcPr>
            <w:tcW w:w="0" w:type="auto"/>
            <w:vAlign w:val="center"/>
            <w:hideMark/>
          </w:tcPr>
          <w:p w14:paraId="0A175883" w14:textId="77777777" w:rsidR="002651C1" w:rsidRDefault="002651C1">
            <w:pPr>
              <w:jc w:val="center"/>
              <w:rPr>
                <w:rFonts w:eastAsia="Times New Roman"/>
              </w:rPr>
            </w:pPr>
            <w:r>
              <w:rPr>
                <w:rFonts w:eastAsia="Times New Roman"/>
              </w:rPr>
              <w:t>-0.7841</w:t>
            </w:r>
          </w:p>
        </w:tc>
      </w:tr>
      <w:tr w:rsidR="002651C1" w14:paraId="6BE103DE" w14:textId="77777777">
        <w:trPr>
          <w:tblCellSpacing w:w="15" w:type="dxa"/>
        </w:trPr>
        <w:tc>
          <w:tcPr>
            <w:tcW w:w="0" w:type="auto"/>
            <w:vAlign w:val="center"/>
            <w:hideMark/>
          </w:tcPr>
          <w:p w14:paraId="113CE7EC" w14:textId="77777777" w:rsidR="002651C1" w:rsidRDefault="002651C1">
            <w:pPr>
              <w:jc w:val="center"/>
              <w:rPr>
                <w:rFonts w:eastAsia="Times New Roman"/>
              </w:rPr>
            </w:pPr>
          </w:p>
        </w:tc>
        <w:tc>
          <w:tcPr>
            <w:tcW w:w="0" w:type="auto"/>
            <w:vAlign w:val="center"/>
            <w:hideMark/>
          </w:tcPr>
          <w:p w14:paraId="689A02A7" w14:textId="77777777" w:rsidR="002651C1" w:rsidRDefault="002651C1">
            <w:pPr>
              <w:rPr>
                <w:rFonts w:eastAsia="Times New Roman"/>
                <w:sz w:val="20"/>
                <w:szCs w:val="20"/>
              </w:rPr>
            </w:pPr>
          </w:p>
        </w:tc>
        <w:tc>
          <w:tcPr>
            <w:tcW w:w="0" w:type="auto"/>
            <w:vAlign w:val="center"/>
            <w:hideMark/>
          </w:tcPr>
          <w:p w14:paraId="7764AA2A" w14:textId="77777777" w:rsidR="002651C1" w:rsidRDefault="002651C1">
            <w:pPr>
              <w:jc w:val="center"/>
              <w:rPr>
                <w:rFonts w:eastAsia="Times New Roman"/>
              </w:rPr>
            </w:pPr>
            <w:r>
              <w:rPr>
                <w:rFonts w:eastAsia="Times New Roman"/>
              </w:rPr>
              <w:t>(0.5581)</w:t>
            </w:r>
          </w:p>
        </w:tc>
      </w:tr>
      <w:tr w:rsidR="002651C1" w14:paraId="5A61D0E5" w14:textId="77777777">
        <w:trPr>
          <w:tblCellSpacing w:w="15" w:type="dxa"/>
        </w:trPr>
        <w:tc>
          <w:tcPr>
            <w:tcW w:w="0" w:type="auto"/>
            <w:vAlign w:val="center"/>
            <w:hideMark/>
          </w:tcPr>
          <w:p w14:paraId="325E4A2B" w14:textId="77777777" w:rsidR="002651C1" w:rsidRDefault="002651C1">
            <w:pPr>
              <w:rPr>
                <w:rFonts w:eastAsia="Times New Roman"/>
              </w:rPr>
            </w:pPr>
            <w:r>
              <w:rPr>
                <w:rFonts w:eastAsia="Times New Roman"/>
              </w:rPr>
              <w:t>Group * Period</w:t>
            </w:r>
          </w:p>
        </w:tc>
        <w:tc>
          <w:tcPr>
            <w:tcW w:w="0" w:type="auto"/>
            <w:vAlign w:val="center"/>
            <w:hideMark/>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trPr>
          <w:tblCellSpacing w:w="15" w:type="dxa"/>
        </w:trPr>
        <w:tc>
          <w:tcPr>
            <w:tcW w:w="0" w:type="auto"/>
            <w:vAlign w:val="center"/>
            <w:hideMark/>
          </w:tcPr>
          <w:p w14:paraId="7597C6CB" w14:textId="77777777" w:rsidR="002651C1" w:rsidRDefault="002651C1">
            <w:pPr>
              <w:jc w:val="center"/>
              <w:rPr>
                <w:rFonts w:eastAsia="Times New Roman"/>
              </w:rPr>
            </w:pPr>
          </w:p>
        </w:tc>
        <w:tc>
          <w:tcPr>
            <w:tcW w:w="0" w:type="auto"/>
            <w:vAlign w:val="center"/>
            <w:hideMark/>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
          <w:p w14:paraId="03323F11" w14:textId="77777777" w:rsidR="002651C1" w:rsidRDefault="002651C1">
            <w:pPr>
              <w:jc w:val="center"/>
              <w:rPr>
                <w:rFonts w:eastAsia="Times New Roman"/>
              </w:rPr>
            </w:pPr>
            <w:r>
              <w:rPr>
                <w:rFonts w:eastAsia="Times New Roman"/>
              </w:rPr>
              <w:t>(1.7539)</w:t>
            </w:r>
          </w:p>
        </w:tc>
      </w:tr>
      <w:tr w:rsidR="002651C1" w14:paraId="2D8E4955" w14:textId="77777777">
        <w:trPr>
          <w:tblCellSpacing w:w="15" w:type="dxa"/>
        </w:trPr>
        <w:tc>
          <w:tcPr>
            <w:tcW w:w="0" w:type="auto"/>
            <w:vAlign w:val="center"/>
            <w:hideMark/>
          </w:tcPr>
          <w:p w14:paraId="515EB70E" w14:textId="77777777" w:rsidR="002651C1" w:rsidRDefault="002651C1">
            <w:pPr>
              <w:rPr>
                <w:rFonts w:eastAsia="Times New Roman"/>
              </w:rPr>
            </w:pPr>
            <w:r>
              <w:rPr>
                <w:rFonts w:eastAsia="Times New Roman"/>
              </w:rPr>
              <w:t>Constant</w:t>
            </w:r>
          </w:p>
        </w:tc>
        <w:tc>
          <w:tcPr>
            <w:tcW w:w="0" w:type="auto"/>
            <w:vAlign w:val="center"/>
            <w:hideMark/>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trPr>
          <w:tblCellSpacing w:w="15" w:type="dxa"/>
        </w:trPr>
        <w:tc>
          <w:tcPr>
            <w:tcW w:w="0" w:type="auto"/>
            <w:vAlign w:val="center"/>
            <w:hideMark/>
          </w:tcPr>
          <w:p w14:paraId="46A0011F" w14:textId="77777777" w:rsidR="002651C1" w:rsidRDefault="002651C1">
            <w:pPr>
              <w:jc w:val="center"/>
              <w:rPr>
                <w:rFonts w:eastAsia="Times New Roman"/>
              </w:rPr>
            </w:pPr>
          </w:p>
        </w:tc>
        <w:tc>
          <w:tcPr>
            <w:tcW w:w="0" w:type="auto"/>
            <w:vAlign w:val="center"/>
            <w:hideMark/>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
          <w:p w14:paraId="5A5D8D58" w14:textId="77777777" w:rsidR="002651C1" w:rsidRDefault="002651C1">
            <w:pPr>
              <w:jc w:val="center"/>
              <w:rPr>
                <w:rFonts w:eastAsia="Times New Roman"/>
              </w:rPr>
            </w:pPr>
            <w:r>
              <w:rPr>
                <w:rFonts w:eastAsia="Times New Roman"/>
              </w:rPr>
              <w:t>(3.1911)</w:t>
            </w:r>
          </w:p>
        </w:tc>
      </w:tr>
      <w:tr w:rsidR="002651C1" w14:paraId="384941CE" w14:textId="77777777">
        <w:trPr>
          <w:tblCellSpacing w:w="15" w:type="dxa"/>
        </w:trPr>
        <w:tc>
          <w:tcPr>
            <w:tcW w:w="0" w:type="auto"/>
            <w:gridSpan w:val="3"/>
            <w:tcBorders>
              <w:bottom w:val="single" w:sz="6" w:space="0" w:color="000000"/>
            </w:tcBorders>
            <w:vAlign w:val="center"/>
            <w:hideMark/>
          </w:tcPr>
          <w:p w14:paraId="078C9BFF" w14:textId="77777777" w:rsidR="002651C1" w:rsidRDefault="002651C1">
            <w:pPr>
              <w:jc w:val="center"/>
              <w:rPr>
                <w:rFonts w:eastAsia="Times New Roman"/>
              </w:rPr>
            </w:pPr>
          </w:p>
        </w:tc>
      </w:tr>
      <w:tr w:rsidR="002651C1" w14:paraId="751B110B" w14:textId="77777777">
        <w:trPr>
          <w:tblCellSpacing w:w="15" w:type="dxa"/>
        </w:trPr>
        <w:tc>
          <w:tcPr>
            <w:tcW w:w="0" w:type="auto"/>
            <w:vAlign w:val="center"/>
            <w:hideMark/>
          </w:tcPr>
          <w:p w14:paraId="6D6E5034" w14:textId="77777777" w:rsidR="002651C1" w:rsidRDefault="002651C1">
            <w:pPr>
              <w:rPr>
                <w:rFonts w:eastAsia="Times New Roman"/>
              </w:rPr>
            </w:pPr>
            <w:r>
              <w:rPr>
                <w:rFonts w:eastAsia="Times New Roman"/>
              </w:rPr>
              <w:t>Observations</w:t>
            </w:r>
          </w:p>
        </w:tc>
        <w:tc>
          <w:tcPr>
            <w:tcW w:w="0" w:type="auto"/>
            <w:vAlign w:val="center"/>
            <w:hideMark/>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
          <w:p w14:paraId="11B558C4" w14:textId="77777777" w:rsidR="002651C1" w:rsidRDefault="002651C1">
            <w:pPr>
              <w:jc w:val="center"/>
              <w:rPr>
                <w:rFonts w:eastAsia="Times New Roman"/>
              </w:rPr>
            </w:pPr>
            <w:r>
              <w:rPr>
                <w:rFonts w:eastAsia="Times New Roman"/>
              </w:rPr>
              <w:t>28,311</w:t>
            </w:r>
          </w:p>
        </w:tc>
      </w:tr>
      <w:tr w:rsidR="002651C1" w14:paraId="3B21F502" w14:textId="77777777">
        <w:trPr>
          <w:tblCellSpacing w:w="15" w:type="dxa"/>
        </w:trPr>
        <w:tc>
          <w:tcPr>
            <w:tcW w:w="0" w:type="auto"/>
            <w:vAlign w:val="center"/>
            <w:hideMark/>
          </w:tcPr>
          <w:p w14:paraId="2A69DBE4"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
          <w:p w14:paraId="4DCFE21B" w14:textId="77777777" w:rsidR="002651C1" w:rsidRDefault="002651C1">
            <w:pPr>
              <w:jc w:val="center"/>
              <w:rPr>
                <w:rFonts w:eastAsia="Times New Roman"/>
              </w:rPr>
            </w:pPr>
            <w:r>
              <w:rPr>
                <w:rFonts w:eastAsia="Times New Roman"/>
              </w:rPr>
              <w:t>0.0182</w:t>
            </w:r>
          </w:p>
        </w:tc>
      </w:tr>
      <w:tr w:rsidR="002651C1" w14:paraId="3F7A58D3" w14:textId="77777777">
        <w:trPr>
          <w:tblCellSpacing w:w="15" w:type="dxa"/>
        </w:trPr>
        <w:tc>
          <w:tcPr>
            <w:tcW w:w="0" w:type="auto"/>
            <w:vAlign w:val="center"/>
            <w:hideMark/>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
          <w:p w14:paraId="370E6D0D" w14:textId="77777777" w:rsidR="002651C1" w:rsidRDefault="002651C1">
            <w:pPr>
              <w:jc w:val="center"/>
              <w:rPr>
                <w:rFonts w:eastAsia="Times New Roman"/>
              </w:rPr>
            </w:pPr>
            <w:r>
              <w:rPr>
                <w:rFonts w:eastAsia="Times New Roman"/>
              </w:rPr>
              <w:t>0.0177</w:t>
            </w:r>
          </w:p>
        </w:tc>
      </w:tr>
      <w:tr w:rsidR="002651C1" w14:paraId="454F2488" w14:textId="77777777">
        <w:trPr>
          <w:tblCellSpacing w:w="15" w:type="dxa"/>
        </w:trPr>
        <w:tc>
          <w:tcPr>
            <w:tcW w:w="0" w:type="auto"/>
            <w:vAlign w:val="center"/>
            <w:hideMark/>
          </w:tcPr>
          <w:p w14:paraId="53AE6CF8" w14:textId="77777777" w:rsidR="002651C1" w:rsidRDefault="002651C1">
            <w:pPr>
              <w:rPr>
                <w:rFonts w:eastAsia="Times New Roman"/>
              </w:rPr>
            </w:pPr>
            <w:r>
              <w:rPr>
                <w:rFonts w:eastAsia="Times New Roman"/>
              </w:rPr>
              <w:t>Residual Std. Error</w:t>
            </w:r>
          </w:p>
        </w:tc>
        <w:tc>
          <w:tcPr>
            <w:tcW w:w="0" w:type="auto"/>
            <w:vAlign w:val="center"/>
            <w:hideMark/>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trPr>
          <w:tblCellSpacing w:w="15" w:type="dxa"/>
        </w:trPr>
        <w:tc>
          <w:tcPr>
            <w:tcW w:w="0" w:type="auto"/>
            <w:vAlign w:val="center"/>
            <w:hideMark/>
          </w:tcPr>
          <w:p w14:paraId="08394D4D" w14:textId="77777777" w:rsidR="002651C1" w:rsidRDefault="002651C1">
            <w:pPr>
              <w:rPr>
                <w:rFonts w:eastAsia="Times New Roman"/>
              </w:rPr>
            </w:pPr>
            <w:r>
              <w:rPr>
                <w:rFonts w:eastAsia="Times New Roman"/>
              </w:rPr>
              <w:t>F Statistic</w:t>
            </w:r>
          </w:p>
        </w:tc>
        <w:tc>
          <w:tcPr>
            <w:tcW w:w="0" w:type="auto"/>
            <w:vAlign w:val="center"/>
            <w:hideMark/>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trPr>
          <w:tblCellSpacing w:w="15" w:type="dxa"/>
        </w:trPr>
        <w:tc>
          <w:tcPr>
            <w:tcW w:w="0" w:type="auto"/>
            <w:gridSpan w:val="3"/>
            <w:tcBorders>
              <w:bottom w:val="single" w:sz="6" w:space="0" w:color="000000"/>
            </w:tcBorders>
            <w:vAlign w:val="center"/>
            <w:hideMark/>
          </w:tcPr>
          <w:p w14:paraId="290A7A8A" w14:textId="77777777" w:rsidR="002651C1" w:rsidRDefault="002651C1">
            <w:pPr>
              <w:jc w:val="center"/>
              <w:rPr>
                <w:rFonts w:eastAsia="Times New Roman"/>
              </w:rPr>
            </w:pPr>
          </w:p>
        </w:tc>
      </w:tr>
      <w:tr w:rsidR="002651C1" w14:paraId="296A6C4E" w14:textId="77777777">
        <w:trPr>
          <w:tblCellSpacing w:w="15" w:type="dxa"/>
        </w:trPr>
        <w:tc>
          <w:tcPr>
            <w:tcW w:w="0" w:type="auto"/>
            <w:vAlign w:val="center"/>
            <w:hideMark/>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495EE8FF" w14:textId="591D4D9C" w:rsidR="007A3E13" w:rsidRDefault="007A3E13">
      <w:pPr>
        <w:spacing w:line="240" w:lineRule="auto"/>
        <w:ind w:firstLine="0"/>
        <w:jc w:val="left"/>
      </w:pPr>
      <w:r>
        <w:br w:type="page"/>
      </w:r>
    </w:p>
    <w:p w14:paraId="083CEECB" w14:textId="4CD8B3A5" w:rsidR="00714654" w:rsidRPr="00F260BC" w:rsidRDefault="00714654" w:rsidP="00485C34">
      <w:pPr>
        <w:pStyle w:val="Heading1"/>
        <w:numPr>
          <w:ilvl w:val="0"/>
          <w:numId w:val="11"/>
        </w:numPr>
      </w:pPr>
      <w:r w:rsidRPr="00F260BC">
        <w:lastRenderedPageBreak/>
        <w:t>Info-Metrics based Difference-in-Difference Estimator</w:t>
      </w:r>
    </w:p>
    <w:p w14:paraId="67551C84" w14:textId="2E658389" w:rsidR="007A3E13" w:rsidRDefault="007A3E13" w:rsidP="007A3E13">
      <w:pPr>
        <w:spacing w:line="276" w:lineRule="auto"/>
      </w:pPr>
      <w:r>
        <w:t>Difference-in-differences (DiD) is a popular approach to estimate causal relationships when randomization is not feasible. In the basic set up, a group (the treatment group) is exposed to an intervention (treatment) at some period while another group (the control group) is never exposed to the treatment. Under the assumption that the two groups would have followed “parallel trends” in the absence of the treatment, the causal impact of the treatment can be estimated by comparing the difference in the outcome between the treatment and control groups before and after the intervention.</w:t>
      </w:r>
    </w:p>
    <w:p w14:paraId="4733D895" w14:textId="77777777" w:rsidR="007A3E13" w:rsidRDefault="007A3E13" w:rsidP="007A3E13">
      <w:pPr>
        <w:spacing w:line="276" w:lineRule="auto"/>
      </w:pPr>
      <w:r>
        <w:t>In practical work, employing the DiD methodology can pose several challenges:</w:t>
      </w:r>
    </w:p>
    <w:p w14:paraId="2B08A3CC" w14:textId="7493D713" w:rsidR="007A3E13" w:rsidRDefault="007A3E13" w:rsidP="00485C34">
      <w:pPr>
        <w:pStyle w:val="ListParagraph"/>
        <w:numPr>
          <w:ilvl w:val="0"/>
          <w:numId w:val="12"/>
        </w:numPr>
        <w:spacing w:line="276" w:lineRule="auto"/>
        <w:jc w:val="left"/>
      </w:pPr>
      <w:r>
        <w:t xml:space="preserve">Parallel trends assumption violation: </w:t>
      </w:r>
      <w:r w:rsidR="00A3628A">
        <w:t>i</w:t>
      </w:r>
      <w:r>
        <w:t>f the two groups would not have followed parallel trends without the intervention, the DiD estimation is invalid.</w:t>
      </w:r>
      <w:r w:rsidR="00206CEC">
        <w:t xml:space="preserve"> Violation of the parallel </w:t>
      </w:r>
      <w:proofErr w:type="gramStart"/>
      <w:r w:rsidR="00485C34">
        <w:t>trends</w:t>
      </w:r>
      <w:proofErr w:type="gramEnd"/>
      <w:r w:rsidR="00485C34">
        <w:t xml:space="preserve"> </w:t>
      </w:r>
      <w:r w:rsidR="00206CEC">
        <w:t>assumption could be due to:</w:t>
      </w:r>
    </w:p>
    <w:p w14:paraId="2454ADD8" w14:textId="66E38F2F" w:rsidR="00544AA1" w:rsidRDefault="00A3628A" w:rsidP="00485C34">
      <w:pPr>
        <w:pStyle w:val="ListParagraph"/>
        <w:numPr>
          <w:ilvl w:val="1"/>
          <w:numId w:val="12"/>
        </w:numPr>
        <w:spacing w:line="276" w:lineRule="auto"/>
        <w:jc w:val="left"/>
      </w:pPr>
      <w:r>
        <w:t>t</w:t>
      </w:r>
      <w:r w:rsidR="00544AA1">
        <w:t xml:space="preserve">ime-varying confounders: </w:t>
      </w:r>
      <w:r>
        <w:t>f</w:t>
      </w:r>
      <w:r w:rsidR="00544AA1">
        <w:t>actors that change over time and affect the treatment and control group differently can bias the estimates.</w:t>
      </w:r>
    </w:p>
    <w:p w14:paraId="52035129" w14:textId="13967315" w:rsidR="00544AA1" w:rsidRDefault="00A3628A" w:rsidP="00485C34">
      <w:pPr>
        <w:pStyle w:val="ListParagraph"/>
        <w:numPr>
          <w:ilvl w:val="1"/>
          <w:numId w:val="12"/>
        </w:numPr>
        <w:spacing w:line="276" w:lineRule="auto"/>
        <w:jc w:val="left"/>
      </w:pPr>
      <w:r>
        <w:t>e</w:t>
      </w:r>
      <w:r w:rsidR="00544AA1">
        <w:t xml:space="preserve">ndogenous selection: </w:t>
      </w:r>
      <w:r>
        <w:t>a</w:t>
      </w:r>
      <w:r w:rsidR="00544AA1">
        <w:t>ssignment into the treatment group might be associated with unobserved factors affecting the outcome.</w:t>
      </w:r>
    </w:p>
    <w:p w14:paraId="5C8228BE" w14:textId="41F19A3B" w:rsidR="00544AA1" w:rsidRDefault="00A3628A" w:rsidP="00485C34">
      <w:pPr>
        <w:pStyle w:val="ListParagraph"/>
        <w:numPr>
          <w:ilvl w:val="1"/>
          <w:numId w:val="12"/>
        </w:numPr>
        <w:spacing w:line="276" w:lineRule="auto"/>
        <w:jc w:val="left"/>
      </w:pPr>
      <w:r>
        <w:t>h</w:t>
      </w:r>
      <w:r w:rsidR="00544AA1">
        <w:t xml:space="preserve">eterogenous treatment effects: </w:t>
      </w:r>
      <w:r>
        <w:t>t</w:t>
      </w:r>
      <w:r w:rsidR="00544AA1">
        <w:t>he impact of the intervention might vary across units or over time, and this variation might be correlated with membership to the control or treatment group.</w:t>
      </w:r>
    </w:p>
    <w:p w14:paraId="05809085" w14:textId="77777777" w:rsidR="007A3E13" w:rsidRDefault="007A3E13" w:rsidP="00485C34">
      <w:pPr>
        <w:pStyle w:val="ListParagraph"/>
        <w:numPr>
          <w:ilvl w:val="0"/>
          <w:numId w:val="12"/>
        </w:numPr>
        <w:spacing w:line="276" w:lineRule="auto"/>
        <w:jc w:val="left"/>
      </w:pPr>
      <w:r>
        <w:t>Anticipation effects: If units in the treatment group anticipate the intervention and change their behavior beforehand, it can bias the results.</w:t>
      </w:r>
    </w:p>
    <w:p w14:paraId="3034F5C4" w14:textId="77777777" w:rsidR="007A3E13" w:rsidRDefault="007A3E13" w:rsidP="00485C34">
      <w:pPr>
        <w:pStyle w:val="ListParagraph"/>
        <w:numPr>
          <w:ilvl w:val="0"/>
          <w:numId w:val="12"/>
        </w:numPr>
        <w:spacing w:line="276" w:lineRule="auto"/>
        <w:jc w:val="left"/>
      </w:pPr>
      <w:r>
        <w:t>Spillover effects: The intervention might indirectly affect the control group, which would bias the results.</w:t>
      </w:r>
    </w:p>
    <w:p w14:paraId="213A2750" w14:textId="77777777" w:rsidR="007A3E13" w:rsidRDefault="007A3E13" w:rsidP="00485C34">
      <w:pPr>
        <w:pStyle w:val="ListParagraph"/>
        <w:numPr>
          <w:ilvl w:val="0"/>
          <w:numId w:val="12"/>
        </w:numPr>
        <w:spacing w:line="276" w:lineRule="auto"/>
        <w:jc w:val="left"/>
      </w:pPr>
      <w:r>
        <w:t>Staggered treatment timing: if the treatment is rolled out in several phases, the standard two-period DiD may not be appropriate.</w:t>
      </w:r>
    </w:p>
    <w:p w14:paraId="40199BDA" w14:textId="15981CA0" w:rsidR="007A3E13" w:rsidRDefault="007A3E13" w:rsidP="007A3E13">
      <w:pPr>
        <w:spacing w:line="276" w:lineRule="auto"/>
      </w:pPr>
      <w:r>
        <w:t>This appendix develops an Info-Metrics (Generalized Maximum Entropy) based estimator for DiD that can correct for endogenous selection and heterogenous treatment effects</w:t>
      </w:r>
      <w:r w:rsidR="00206CEC">
        <w:t>, which violate the parallel trends assumption</w:t>
      </w:r>
      <w:r>
        <w:t>.</w:t>
      </w:r>
    </w:p>
    <w:p w14:paraId="317CC726" w14:textId="77777777" w:rsidR="007A3E13" w:rsidRPr="00F260BC" w:rsidRDefault="007A3E13" w:rsidP="00F260BC">
      <w:pPr>
        <w:rPr>
          <w:b/>
          <w:bCs/>
        </w:rPr>
      </w:pPr>
      <w:r w:rsidRPr="00F260BC">
        <w:rPr>
          <w:b/>
          <w:bCs/>
        </w:rPr>
        <w:t>Theory</w:t>
      </w:r>
    </w:p>
    <w:p w14:paraId="1AF0C530" w14:textId="77777777" w:rsidR="007A3E13" w:rsidRDefault="007A3E13" w:rsidP="00A3628A">
      <w:r>
        <w:t>Consider the standard DiD model:</w:t>
      </w:r>
    </w:p>
    <w:p w14:paraId="21C987C0" w14:textId="77777777" w:rsidR="007A3E13" w:rsidRPr="00F07785"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5D4F8E0B" w14:textId="063295AB" w:rsidR="00932E6B" w:rsidRDefault="007A3E13" w:rsidP="00A3628A">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xml:space="preserve"> is outcome </w:t>
      </w:r>
      <m:oMath>
        <m:r>
          <w:rPr>
            <w:rFonts w:ascii="Cambria Math" w:eastAsiaTheme="minorEastAsia" w:hAnsi="Cambria Math"/>
          </w:rPr>
          <m:t>Y</m:t>
        </m:r>
      </m:oMath>
      <w:r>
        <w:rPr>
          <w:rFonts w:eastAsiaTheme="minorEastAsia"/>
        </w:rPr>
        <w:t xml:space="preserve"> for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m:t>
        </m:r>
      </m:oMath>
      <w:r w:rsidR="00206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206CEC">
        <w:rPr>
          <w:rFonts w:eastAsiaTheme="minorEastAsia"/>
        </w:rPr>
        <w:t xml:space="preserve"> is a group indicator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sidR="00206CEC">
        <w:rPr>
          <w:rFonts w:eastAsiaTheme="minorEastAsia"/>
        </w:rPr>
        <w:t xml:space="preserve"> for the treatment group,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sidR="00206CEC">
        <w:rPr>
          <w:rFonts w:eastAsiaTheme="minorEastAsia"/>
        </w:rPr>
        <w:t xml:space="preserve"> for the control group),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206CEC">
        <w:rPr>
          <w:rFonts w:eastAsiaTheme="minorEastAsia"/>
        </w:rPr>
        <w:t xml:space="preserve"> is a period indicator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=1</m:t>
        </m:r>
      </m:oMath>
      <w:r w:rsidR="00206CEC">
        <w:rPr>
          <w:rFonts w:eastAsiaTheme="minorEastAsia"/>
        </w:rPr>
        <w:t xml:space="preserve"> for the post-treatment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=0</m:t>
        </m:r>
      </m:oMath>
      <w:r w:rsidR="00206CEC">
        <w:rPr>
          <w:rFonts w:eastAsiaTheme="minorEastAsia"/>
        </w:rPr>
        <w:t xml:space="preserve"> for the pre-treatment time period)</w:t>
      </w:r>
      <w:r>
        <w:rPr>
          <w:rFonts w:eastAsiaTheme="minorEastAsia"/>
        </w:rPr>
        <w:t xml:space="preserve">. </w:t>
      </w:r>
      <m:oMath>
        <m:r>
          <w:rPr>
            <w:rFonts w:ascii="Cambria Math" w:eastAsiaTheme="minorEastAsia" w:hAnsi="Cambria Math"/>
          </w:rPr>
          <m:t>α, β,γ,δ</m:t>
        </m:r>
      </m:oMath>
      <w:r>
        <w:rPr>
          <w:rFonts w:eastAsiaTheme="minorEastAsia"/>
        </w:rPr>
        <w:t xml:space="preserve"> are parameters (</w:t>
      </w:r>
      <m:oMath>
        <m:r>
          <w:rPr>
            <w:rFonts w:ascii="Cambria Math" w:eastAsiaTheme="minorEastAsia" w:hAnsi="Cambria Math"/>
          </w:rPr>
          <m:t xml:space="preserve">δ </m:t>
        </m:r>
      </m:oMath>
      <w:r>
        <w:rPr>
          <w:rFonts w:eastAsiaTheme="minorEastAsia"/>
        </w:rPr>
        <w:t>is the parameter of interest</w:t>
      </w:r>
      <w:r w:rsidR="00932E6B">
        <w:rPr>
          <w:rFonts w:eastAsiaTheme="minorEastAsia"/>
        </w:rPr>
        <w:t>, the effect of the treatment</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oMath>
      <w:r>
        <w:rPr>
          <w:rFonts w:eastAsiaTheme="minorEastAsia"/>
        </w:rPr>
        <w:t xml:space="preserve"> is an error term.</w:t>
      </w:r>
    </w:p>
    <w:p w14:paraId="3AAEFA7F" w14:textId="582C00A8" w:rsidR="00932E6B" w:rsidRDefault="007A3E13" w:rsidP="00A3628A">
      <w:pPr>
        <w:rPr>
          <w:rFonts w:eastAsiaTheme="minorEastAsia"/>
        </w:rPr>
      </w:pPr>
      <w:r>
        <w:rPr>
          <w:rFonts w:eastAsiaTheme="minorEastAsia"/>
        </w:rPr>
        <w:t xml:space="preserve">Under traditional DiD assumptions, this equation can be estimated </w:t>
      </w:r>
      <w:r w:rsidR="00206CEC">
        <w:rPr>
          <w:rFonts w:eastAsiaTheme="minorEastAsia"/>
        </w:rPr>
        <w:t xml:space="preserve">consistently </w:t>
      </w:r>
      <w:r>
        <w:rPr>
          <w:rFonts w:eastAsiaTheme="minorEastAsia"/>
        </w:rPr>
        <w:t>using O</w:t>
      </w:r>
      <w:r w:rsidR="007B021F">
        <w:rPr>
          <w:rFonts w:eastAsiaTheme="minorEastAsia"/>
        </w:rPr>
        <w:t xml:space="preserve">rdinary </w:t>
      </w:r>
      <w:r>
        <w:rPr>
          <w:rFonts w:eastAsiaTheme="minorEastAsia"/>
        </w:rPr>
        <w:t>L</w:t>
      </w:r>
      <w:r w:rsidR="007B021F">
        <w:rPr>
          <w:rFonts w:eastAsiaTheme="minorEastAsia"/>
        </w:rPr>
        <w:t xml:space="preserve">east </w:t>
      </w:r>
      <w:r>
        <w:rPr>
          <w:rFonts w:eastAsiaTheme="minorEastAsia"/>
        </w:rPr>
        <w:t>S</w:t>
      </w:r>
      <w:r w:rsidR="007B021F">
        <w:rPr>
          <w:rFonts w:eastAsiaTheme="minorEastAsia"/>
        </w:rPr>
        <w:t>quares (OLS)</w:t>
      </w:r>
      <w:r>
        <w:rPr>
          <w:rFonts w:eastAsiaTheme="minorEastAsia"/>
        </w:rPr>
        <w:t xml:space="preserve">. However, if the treatment effect varies with characteristics of the treatment </w:t>
      </w:r>
      <w:r>
        <w:rPr>
          <w:rFonts w:eastAsiaTheme="minorEastAsia"/>
        </w:rPr>
        <w:lastRenderedPageBreak/>
        <w:t>unit</w:t>
      </w:r>
      <w:r w:rsidR="00932E6B">
        <w:rPr>
          <w:rFonts w:eastAsiaTheme="minorEastAsia"/>
        </w:rPr>
        <w:t xml:space="preserve"> </w:t>
      </w:r>
      <w:r w:rsidR="007B021F">
        <w:rPr>
          <w:rFonts w:eastAsiaTheme="minorEastAsia"/>
        </w:rPr>
        <w:t xml:space="preserve">or over time </w:t>
      </w:r>
      <w:r w:rsidR="00932E6B">
        <w:rPr>
          <w:rFonts w:eastAsiaTheme="minorEastAsia"/>
        </w:rPr>
        <w:t>(</w:t>
      </w:r>
      <w:r w:rsidR="00932E6B" w:rsidRPr="00932E6B">
        <w:rPr>
          <w:rFonts w:eastAsiaTheme="minorEastAsia"/>
          <w:i/>
          <w:iCs/>
        </w:rPr>
        <w:t>heterogenous treatment effects</w:t>
      </w:r>
      <w:r w:rsidR="00932E6B">
        <w:rPr>
          <w:rFonts w:eastAsiaTheme="minorEastAsia"/>
        </w:rPr>
        <w:t>)</w:t>
      </w:r>
      <w:r>
        <w:rPr>
          <w:rFonts w:eastAsiaTheme="minorEastAsia"/>
        </w:rPr>
        <w:t xml:space="preserve">, </w:t>
      </w:r>
      <m:oMath>
        <m:r>
          <w:rPr>
            <w:rFonts w:ascii="Cambria Math" w:eastAsiaTheme="minorEastAsia" w:hAnsi="Cambria Math"/>
          </w:rPr>
          <m:t>δ</m:t>
        </m:r>
      </m:oMath>
      <w:r>
        <w:rPr>
          <w:rFonts w:eastAsiaTheme="minorEastAsia"/>
        </w:rPr>
        <w:t xml:space="preserve"> is no longer a consistent estimator of the treatment effect</w:t>
      </w:r>
      <w:r w:rsidR="00932E6B">
        <w:rPr>
          <w:rFonts w:eastAsiaTheme="minorEastAsia"/>
        </w:rPr>
        <w:t>.</w:t>
      </w:r>
    </w:p>
    <w:p w14:paraId="4B6984E6" w14:textId="2F12B77E" w:rsidR="007A3E13" w:rsidRDefault="007B021F" w:rsidP="00A3628A">
      <w:pPr>
        <w:rPr>
          <w:rFonts w:eastAsiaTheme="minorEastAsia"/>
        </w:rPr>
      </w:pPr>
      <w:r>
        <w:rPr>
          <w:rFonts w:eastAsiaTheme="minorEastAsia"/>
        </w:rPr>
        <w:t xml:space="preserve">The </w:t>
      </w:r>
      <w:r w:rsidR="007A3E13">
        <w:rPr>
          <w:rFonts w:eastAsiaTheme="minorEastAsia"/>
        </w:rPr>
        <w:t xml:space="preserve">traditional DiD model </w:t>
      </w:r>
      <w:r>
        <w:rPr>
          <w:rFonts w:eastAsiaTheme="minorEastAsia"/>
        </w:rPr>
        <w:t xml:space="preserve">can be </w:t>
      </w:r>
      <w:r w:rsidR="007A3E13">
        <w:rPr>
          <w:rFonts w:eastAsiaTheme="minorEastAsia"/>
        </w:rPr>
        <w:t>expanded so that:</w:t>
      </w:r>
    </w:p>
    <w:p w14:paraId="2A1C5594" w14:textId="4E3CC91D" w:rsidR="007A3E13" w:rsidRPr="0092345F"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σϵ</m:t>
              </m:r>
            </m:e>
            <m:sub>
              <m:r>
                <w:rPr>
                  <w:rFonts w:ascii="Cambria Math" w:hAnsi="Cambria Math"/>
                </w:rPr>
                <m:t>it</m:t>
              </m:r>
            </m:sub>
          </m:sSub>
        </m:oMath>
      </m:oMathPara>
    </w:p>
    <w:p w14:paraId="1C0BE96E" w14:textId="322B7240" w:rsidR="007A3E13" w:rsidRDefault="007A3E13" w:rsidP="00A3628A">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a vector of covariates</w:t>
      </w:r>
      <w:r w:rsidR="007B021F">
        <w:rPr>
          <w:rFonts w:eastAsiaTheme="minorEastAsia"/>
        </w:rPr>
        <w:t xml:space="preserve"> and</w:t>
      </w:r>
      <w:r>
        <w:rPr>
          <w:rFonts w:eastAsiaTheme="minorEastAsia"/>
        </w:rPr>
        <w:t xml:space="preserve"> </w:t>
      </w:r>
      <m:oMath>
        <m:r>
          <m:rPr>
            <m:sty m:val="p"/>
          </m:rPr>
          <w:rPr>
            <w:rFonts w:ascii="Cambria Math" w:eastAsiaTheme="minorEastAsia" w:hAnsi="Cambria Math"/>
          </w:rPr>
          <m:t>Γ</m:t>
        </m:r>
      </m:oMath>
      <w:r>
        <w:rPr>
          <w:rFonts w:eastAsiaTheme="minorEastAsia"/>
        </w:rPr>
        <w:t xml:space="preserve"> is a vector of parameters representing the effect of the covariates through the treatment channel.</w:t>
      </w:r>
      <w:r w:rsidR="007B021F">
        <w:rPr>
          <w:rFonts w:eastAsiaTheme="minorEastAsia"/>
        </w:rPr>
        <w:t xml:space="preserve"> OLS will now </w:t>
      </w:r>
      <w:r w:rsidR="00331A1A">
        <w:rPr>
          <w:rFonts w:eastAsiaTheme="minorEastAsia"/>
        </w:rPr>
        <w:t xml:space="preserve">again </w:t>
      </w:r>
      <w:r w:rsidR="007B021F">
        <w:rPr>
          <w:rFonts w:eastAsiaTheme="minorEastAsia"/>
        </w:rPr>
        <w:t>be a consistent estimator of the treatment effect.</w:t>
      </w:r>
    </w:p>
    <w:p w14:paraId="769C90BB" w14:textId="3AC0B202" w:rsidR="001E0B34" w:rsidRDefault="007B021F" w:rsidP="00A3628A">
      <w:pPr>
        <w:rPr>
          <w:rFonts w:eastAsiaTheme="minorEastAsia"/>
        </w:rPr>
      </w:pPr>
      <w:commentRangeStart w:id="45"/>
      <w:r>
        <w:rPr>
          <w:rFonts w:eastAsiaTheme="minorEastAsia"/>
        </w:rPr>
        <w:t>However, i</w:t>
      </w:r>
      <w:r w:rsidR="007A3E13">
        <w:rPr>
          <w:rFonts w:eastAsiaTheme="minorEastAsia"/>
        </w:rPr>
        <w:t xml:space="preserve">n cases where treatment is endogenous (that is the probability of assignment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7A3E13">
        <w:rPr>
          <w:rFonts w:eastAsiaTheme="minorEastAsia"/>
        </w:rPr>
        <w:t xml:space="preserve"> is correlated with factors affecting the outcome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sidR="007A3E13">
        <w:rPr>
          <w:rFonts w:eastAsiaTheme="minorEastAsia"/>
        </w:rPr>
        <w:t>), the above approach</w:t>
      </w:r>
      <w:r>
        <w:rPr>
          <w:rFonts w:eastAsiaTheme="minorEastAsia"/>
        </w:rPr>
        <w:t xml:space="preserve"> will </w:t>
      </w:r>
      <w:r w:rsidR="007A3E13">
        <w:rPr>
          <w:rFonts w:eastAsiaTheme="minorEastAsia"/>
        </w:rPr>
        <w:t>lead to biased estimates of the treatment effect because the error terms are correlated with the treatment indicator.</w:t>
      </w:r>
      <w:r w:rsidR="00DA007A">
        <w:rPr>
          <w:rFonts w:eastAsiaTheme="minorEastAsia"/>
        </w:rPr>
        <w:t xml:space="preserve"> </w:t>
      </w:r>
      <w:r w:rsidR="007A3E13">
        <w:rPr>
          <w:rFonts w:eastAsiaTheme="minorEastAsia"/>
        </w:rPr>
        <w:t>We can model the selection into treatment equation through a latent variable approach</w:t>
      </w:r>
      <w:r>
        <w:rPr>
          <w:rFonts w:eastAsiaTheme="minorEastAsia"/>
        </w:rPr>
        <w:t>. I follow a method</w:t>
      </w:r>
      <w:r w:rsidR="007115E8">
        <w:rPr>
          <w:rFonts w:eastAsiaTheme="minorEastAsia"/>
        </w:rPr>
        <w:t xml:space="preserve"> outlined by </w:t>
      </w:r>
      <w:r w:rsidR="00D86B46">
        <w:rPr>
          <w:rFonts w:eastAsiaTheme="minorEastAsia"/>
        </w:rPr>
        <w:fldChar w:fldCharType="begin"/>
      </w:r>
      <w:r w:rsidR="00D86B46">
        <w:rPr>
          <w:rFonts w:eastAsiaTheme="minorEastAsia"/>
        </w:rPr>
        <w:instrText xml:space="preserve"> ADDIN ZOTERO_ITEM CSL_CITATION {"citationID":"3CkuUhdl","properties":{"formattedCitation":"(Abadie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D86B46">
        <w:rPr>
          <w:rFonts w:eastAsiaTheme="minorEastAsia"/>
        </w:rPr>
        <w:fldChar w:fldCharType="separate"/>
      </w:r>
      <w:r w:rsidR="00D86B46">
        <w:rPr>
          <w:rFonts w:eastAsiaTheme="minorEastAsia"/>
          <w:noProof/>
        </w:rPr>
        <w:t>(Abadie 2005)</w:t>
      </w:r>
      <w:r w:rsidR="00D86B46">
        <w:rPr>
          <w:rFonts w:eastAsiaTheme="minorEastAsia"/>
        </w:rPr>
        <w:fldChar w:fldCharType="end"/>
      </w:r>
      <w:r w:rsidR="00D86B46">
        <w:rPr>
          <w:rFonts w:eastAsiaTheme="minorEastAsia"/>
        </w:rPr>
        <w:t xml:space="preserve"> </w:t>
      </w:r>
      <w:r w:rsidR="007115E8">
        <w:rPr>
          <w:rFonts w:eastAsiaTheme="minorEastAsia"/>
        </w:rPr>
        <w:t xml:space="preserve">that generalizes Heckman’s </w:t>
      </w:r>
      <w:r w:rsidR="00DE49CE">
        <w:rPr>
          <w:rFonts w:eastAsiaTheme="minorEastAsia"/>
        </w:rPr>
        <w:fldChar w:fldCharType="begin"/>
      </w:r>
      <w:r w:rsidR="00DE49CE">
        <w:rPr>
          <w:rFonts w:eastAsiaTheme="minorEastAsia"/>
        </w:rPr>
        <w:instrText xml:space="preserve"> ADDIN ZOTERO_ITEM CSL_CITATION {"citationID":"lejssNpw","properties":{"formattedCitation":"(1997)","plainCitation":"(1997)","noteIndex":0},"citationItems":[{"id":941,"uris":["http://zotero.org/users/1226582/items/NII5Z9YW"],"itemData":{"id":941,"type":"article-journal","abstract":"This paper considers whether it is possible to devise a nonexperimental procedure for evaluating a prototypical job training programme. Using rich nonexperimental data, we examine the performance of a two-stage evaluation methodology that (a) estimates the probability that a person participates in a programme and (b) uses the estimated probability in extensions of the classical method of matching. We decompose the conventional measure of programme evaluation bias into several components and find that bias due to selection on unobservables, commonly called selection bias in econometrics, is empirically less important than other components, although it is still a sizeable fraction of the estimated programme impact. Matching methods applied to comparison groups located in the same labour markets as participants and administered the same questionnaire eliminate much of the bias as conventionally measured, but the remaining bias is a considerable fraction of experimentally-determined programme impact estimates. We test and reject the identifying assumptions that justify the classical method of matching. We present a nonparametric conditional difference-in-differences extension of the method of matching that is consistent with the classical index-sufficient sample selection model and is not rejected by our tests of identifying assumptions. This estimator is effective in eliminating bias, especially when it is due to temporally-invariant omitted variables.","container-title":"The Review of Economic Studies","DOI":"10.2307/2971733","ISSN":"0034-6527","issue":"4","journalAbbreviation":"The Review of Economic Studies","page":"605-654","source":"Silverchair","title":"Matching As An Econometric Evaluation Estimator: Evidence from Evaluating a Job Training Programme","title-short":"Matching As An Econometric Evaluation Estimator","volume":"64","author":[{"family":"Heckman","given":"James J."},{"family":"Ichimura","given":"Hidehiko"},{"family":"Todd","given":"Petra E."}],"issued":{"date-parts":[["1997",10,1]]}},"label":"page","suppress-author":true}],"schema":"https://github.com/citation-style-language/schema/raw/master/csl-citation.json"} </w:instrText>
      </w:r>
      <w:r w:rsidR="00DE49CE">
        <w:rPr>
          <w:rFonts w:eastAsiaTheme="minorEastAsia"/>
        </w:rPr>
        <w:fldChar w:fldCharType="separate"/>
      </w:r>
      <w:r w:rsidR="00DE49CE">
        <w:rPr>
          <w:rFonts w:eastAsiaTheme="minorEastAsia"/>
          <w:noProof/>
        </w:rPr>
        <w:t>(1997)</w:t>
      </w:r>
      <w:r w:rsidR="00DE49CE">
        <w:rPr>
          <w:rFonts w:eastAsiaTheme="minorEastAsia"/>
        </w:rPr>
        <w:fldChar w:fldCharType="end"/>
      </w:r>
      <w:r w:rsidR="00DE49CE">
        <w:rPr>
          <w:rFonts w:eastAsiaTheme="minorEastAsia"/>
        </w:rPr>
        <w:t xml:space="preserve"> </w:t>
      </w:r>
      <w:r w:rsidR="00190A09">
        <w:rPr>
          <w:rFonts w:eastAsiaTheme="minorEastAsia"/>
        </w:rPr>
        <w:t>correction model for selection. In this two-step process, the probability of being selected into treatment</w:t>
      </w:r>
      <w:r w:rsidR="00A3628A">
        <w:rPr>
          <w:rFonts w:eastAsiaTheme="minorEastAsia"/>
        </w:rPr>
        <w:t xml:space="preserve"> </w:t>
      </w:r>
      <w:r w:rsidR="00190A09">
        <w:rPr>
          <w:rFonts w:eastAsiaTheme="minorEastAsia"/>
        </w:rPr>
        <w:t>conditional on covariates</w:t>
      </w:r>
      <w:r w:rsidR="00A3628A">
        <w:rPr>
          <w:rFonts w:eastAsiaTheme="minorEastAsia"/>
        </w:rPr>
        <w:t>,</w:t>
      </w:r>
      <w:r w:rsidR="00190A09">
        <w:rPr>
          <w:rFonts w:eastAsiaTheme="minorEastAsia"/>
        </w:rPr>
        <w:t xml:space="preserve"> is modeled in step 1. In step 2, difference-in-differences is estimated, after weighting the observations by the probabilities obtained in step 1. Int</w:t>
      </w:r>
      <w:r w:rsidR="009572A9">
        <w:rPr>
          <w:rFonts w:eastAsiaTheme="minorEastAsia"/>
        </w:rPr>
        <w:t xml:space="preserve">uitively, units with certain characteristics are overrepresented in the untreated group. The weights from step 1, when applied to the regression, weights down the distribution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-Y(0)</m:t>
        </m:r>
      </m:oMath>
      <w:r w:rsidR="009572A9">
        <w:rPr>
          <w:rFonts w:eastAsiaTheme="minorEastAsia"/>
        </w:rPr>
        <w:t xml:space="preserve"> for those values of the covariates which are overrepresented and weighting up those values of the covariates that are underrepresented among the untreated </w:t>
      </w:r>
      <w:r w:rsidR="009572A9">
        <w:rPr>
          <w:rFonts w:eastAsiaTheme="minorEastAsia"/>
        </w:rPr>
        <w:fldChar w:fldCharType="begin"/>
      </w:r>
      <w:r w:rsidR="009572A9">
        <w:rPr>
          <w:rFonts w:eastAsiaTheme="minorEastAsia"/>
        </w:rPr>
        <w:instrText xml:space="preserve"> ADDIN ZOTERO_ITEM CSL_CITATION {"citationID":"OtGu1WEs","properties":{"formattedCitation":"(Abadie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9572A9">
        <w:rPr>
          <w:rFonts w:eastAsiaTheme="minorEastAsia"/>
        </w:rPr>
        <w:fldChar w:fldCharType="separate"/>
      </w:r>
      <w:r w:rsidR="009572A9">
        <w:rPr>
          <w:rFonts w:eastAsiaTheme="minorEastAsia"/>
          <w:noProof/>
        </w:rPr>
        <w:t>(Abadie 2005)</w:t>
      </w:r>
      <w:r w:rsidR="009572A9">
        <w:rPr>
          <w:rFonts w:eastAsiaTheme="minorEastAsia"/>
        </w:rPr>
        <w:fldChar w:fldCharType="end"/>
      </w:r>
      <w:r w:rsidR="009572A9">
        <w:rPr>
          <w:rFonts w:eastAsiaTheme="minorEastAsia"/>
        </w:rPr>
        <w:t>.</w:t>
      </w:r>
      <w:commentRangeEnd w:id="45"/>
      <w:r w:rsidR="00C43B6C">
        <w:rPr>
          <w:rStyle w:val="CommentReference"/>
        </w:rPr>
        <w:commentReference w:id="45"/>
      </w:r>
    </w:p>
    <w:p w14:paraId="436F02B1" w14:textId="3241BB9C" w:rsidR="009572A9" w:rsidRDefault="009572A9" w:rsidP="009572A9">
      <w:pPr>
        <w:rPr>
          <w:rFonts w:eastAsiaTheme="minorEastAsia"/>
        </w:rPr>
      </w:pPr>
      <w:r>
        <w:rPr>
          <w:rFonts w:eastAsiaTheme="minorEastAsia"/>
        </w:rPr>
        <w:t xml:space="preserve">I propose that both step 1 and step 2 in the above process </w:t>
      </w:r>
      <w:r w:rsidR="00E602A2">
        <w:rPr>
          <w:rFonts w:eastAsiaTheme="minorEastAsia"/>
        </w:rPr>
        <w:t xml:space="preserve">be estimated using the semiparametric Generalized Maximum Entropy (GME) approach. In the first step, the probability of selection </w:t>
      </w:r>
      <w:r w:rsidR="00A3628A">
        <w:rPr>
          <w:rFonts w:eastAsiaTheme="minorEastAsia"/>
        </w:rPr>
        <w:t xml:space="preserve">can be modeled using the generalized maximum entropy </w:t>
      </w:r>
      <w:r w:rsidR="008678A2">
        <w:rPr>
          <w:rFonts w:eastAsiaTheme="minorEastAsia"/>
        </w:rPr>
        <w:t>extension to the traditional logistic regression</w:t>
      </w:r>
      <w:r w:rsidR="00A3628A">
        <w:rPr>
          <w:rFonts w:eastAsiaTheme="minorEastAsia"/>
        </w:rPr>
        <w:t xml:space="preserve"> </w:t>
      </w:r>
      <w:r w:rsidR="008678A2">
        <w:rPr>
          <w:rFonts w:eastAsiaTheme="minorEastAsia"/>
        </w:rPr>
        <w:t xml:space="preserve">outlined in </w:t>
      </w:r>
      <w:r w:rsidR="008678A2">
        <w:rPr>
          <w:rFonts w:eastAsiaTheme="minorEastAsia"/>
        </w:rPr>
        <w:fldChar w:fldCharType="begin"/>
      </w:r>
      <w:r w:rsidR="008678A2">
        <w:rPr>
          <w:rFonts w:eastAsiaTheme="minorEastAsia"/>
        </w:rPr>
        <w:instrText xml:space="preserve"> ADDIN ZOTERO_ITEM CSL_CITATION {"citationID":"Lz9pCwyT","properties":{"formattedCitation":"(Golan,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8678A2">
        <w:rPr>
          <w:rFonts w:eastAsiaTheme="minorEastAsia"/>
        </w:rPr>
        <w:fldChar w:fldCharType="separate"/>
      </w:r>
      <w:r w:rsidR="008678A2">
        <w:rPr>
          <w:rFonts w:eastAsiaTheme="minorEastAsia"/>
          <w:noProof/>
        </w:rPr>
        <w:t>(Golan, Judge, and Perloff 1996)</w:t>
      </w:r>
      <w:r w:rsidR="008678A2">
        <w:rPr>
          <w:rFonts w:eastAsiaTheme="minorEastAsia"/>
        </w:rPr>
        <w:fldChar w:fldCharType="end"/>
      </w:r>
      <w:r w:rsidR="008678A2">
        <w:rPr>
          <w:rFonts w:eastAsiaTheme="minorEastAsia"/>
        </w:rPr>
        <w:t xml:space="preserve">. This method is known to have several advantages over traditional logistic regression: it is efficient for small samples, avoids strong parametric assumptions, handles multicollinearity and is resilient to ill-conditioned data. Similarly, the difference-in-differences estimator in step 2 can be estimated using the “linear regression” maximum entropy estimator </w:t>
      </w:r>
      <w:r w:rsidR="008678A2">
        <w:rPr>
          <w:rFonts w:eastAsiaTheme="minorEastAsia"/>
        </w:rPr>
        <w:fldChar w:fldCharType="begin"/>
      </w:r>
      <w:r w:rsidR="008678A2">
        <w:rPr>
          <w:rFonts w:eastAsiaTheme="minorEastAsia"/>
        </w:rPr>
        <w:instrText xml:space="preserve"> ADDIN ZOTERO_ITEM CSL_CITATION {"citationID":"QJr1qkqP","properties":{"formattedCitation":"(Golan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8678A2">
        <w:rPr>
          <w:rFonts w:eastAsiaTheme="minorEastAsia"/>
        </w:rPr>
        <w:fldChar w:fldCharType="separate"/>
      </w:r>
      <w:r w:rsidR="008678A2">
        <w:rPr>
          <w:rFonts w:eastAsiaTheme="minorEastAsia"/>
          <w:noProof/>
        </w:rPr>
        <w:t>(Golan 2017)</w:t>
      </w:r>
      <w:r w:rsidR="008678A2">
        <w:rPr>
          <w:rFonts w:eastAsiaTheme="minorEastAsia"/>
        </w:rPr>
        <w:fldChar w:fldCharType="end"/>
      </w:r>
      <w:r w:rsidR="003B32F2">
        <w:rPr>
          <w:rFonts w:eastAsiaTheme="minorEastAsia"/>
        </w:rPr>
        <w:t>. This estimator has similar advantages over traditional OLS.</w:t>
      </w:r>
    </w:p>
    <w:p w14:paraId="5A39F0A1" w14:textId="64EBAEF9" w:rsidR="003B32F2" w:rsidRDefault="007E43E6" w:rsidP="009572A9">
      <w:pPr>
        <w:rPr>
          <w:rFonts w:eastAsiaTheme="minorEastAsia"/>
        </w:rPr>
      </w:pPr>
      <w:r>
        <w:rPr>
          <w:rFonts w:eastAsiaTheme="minorEastAsia"/>
        </w:rPr>
        <w:t xml:space="preserve">First consider the generalized maximum entropy logistic regression for a binary outcome (selection into treatment). Assume that </w:t>
      </w:r>
      <m:oMath>
        <m:r>
          <w:rPr>
            <w:rFonts w:ascii="Cambria Math" w:eastAsiaTheme="minorEastAsia" w:hAnsi="Cambria Math"/>
          </w:rPr>
          <m:t>T</m:t>
        </m:r>
      </m:oMath>
      <w:r>
        <w:rPr>
          <w:rFonts w:eastAsiaTheme="minorEastAsia"/>
        </w:rPr>
        <w:t xml:space="preserve"> units are observed, where each unit is either selected into treatment or not. Let</w:t>
      </w:r>
    </w:p>
    <w:p w14:paraId="15EF70F4" w14:textId="25FA7993" w:rsidR="007E43E6" w:rsidRPr="007E43E6" w:rsidRDefault="00000000" w:rsidP="009572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Prob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r>
                <w:rPr>
                  <w:rFonts w:ascii="Cambria Math" w:eastAsiaTheme="minorEastAsia" w:hAnsi="Cambria Math"/>
                </w:rPr>
                <m:t>β</m:t>
              </m:r>
            </m:e>
          </m:d>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β</m:t>
              </m:r>
            </m:e>
          </m:d>
        </m:oMath>
      </m:oMathPara>
    </w:p>
    <w:p w14:paraId="2B63C506" w14:textId="7065D4DD" w:rsidR="007E43E6" w:rsidRDefault="007E43E6" w:rsidP="007E43E6">
      <w:pPr>
        <w:ind w:firstLine="0"/>
        <w:rPr>
          <w:rFonts w:eastAsiaTheme="minorEastAsia"/>
        </w:rPr>
      </w:pPr>
      <w:r>
        <w:rPr>
          <w:rFonts w:eastAsiaTheme="minorEastAsia"/>
        </w:rPr>
        <w:t xml:space="preserve">be the probability of observing unit </w:t>
      </w:r>
      <m:oMath>
        <m:r>
          <w:rPr>
            <w:rFonts w:ascii="Cambria Math" w:eastAsiaTheme="minorEastAsia" w:hAnsi="Cambria Math"/>
          </w:rPr>
          <m:t>i∈[1,2,… T]</m:t>
        </m:r>
      </m:oMath>
      <w:r>
        <w:rPr>
          <w:rFonts w:eastAsiaTheme="minorEastAsia"/>
        </w:rPr>
        <w:t xml:space="preserve"> in the treatment state, conditional on covariates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r w:rsidR="000B06C9">
        <w:rPr>
          <w:rFonts w:eastAsiaTheme="minorEastAsia"/>
        </w:rPr>
        <w:t xml:space="preserve">(of dimension </w:t>
      </w:r>
      <m:oMath>
        <m:r>
          <w:rPr>
            <w:rFonts w:ascii="Cambria Math" w:eastAsiaTheme="minorEastAsia" w:hAnsi="Cambria Math"/>
          </w:rPr>
          <m:t xml:space="preserve">1×K) </m:t>
        </m:r>
      </m:oMath>
      <w:r>
        <w:rPr>
          <w:rFonts w:eastAsiaTheme="minorEastAsia"/>
        </w:rPr>
        <w:t xml:space="preserve">and unknown parameters </w:t>
      </w:r>
      <m:oMath>
        <m:r>
          <w:rPr>
            <w:rFonts w:ascii="Cambria Math" w:eastAsiaTheme="minorEastAsia" w:hAnsi="Cambria Math"/>
          </w:rPr>
          <m:t>β</m:t>
        </m:r>
      </m:oMath>
      <w:r w:rsidR="000B06C9">
        <w:rPr>
          <w:rFonts w:eastAsiaTheme="minorEastAsia"/>
        </w:rPr>
        <w:t xml:space="preserve"> (of dimension </w:t>
      </w:r>
      <m:oMath>
        <m:r>
          <w:rPr>
            <w:rFonts w:ascii="Cambria Math" w:eastAsiaTheme="minorEastAsia" w:hAnsi="Cambria Math"/>
          </w:rPr>
          <m:t>K ×1</m:t>
        </m:r>
      </m:oMath>
      <w:r w:rsidR="000B06C9">
        <w:rPr>
          <w:rFonts w:eastAsiaTheme="minorEastAsia"/>
        </w:rPr>
        <w:t>)</w:t>
      </w:r>
      <w:r>
        <w:rPr>
          <w:rFonts w:eastAsiaTheme="minorEastAsia"/>
        </w:rPr>
        <w:t xml:space="preserve">. If </w:t>
      </w:r>
      <w:r w:rsidR="000B06C9">
        <w:rPr>
          <w:rFonts w:eastAsiaTheme="minorEastAsia"/>
        </w:rPr>
        <w:t xml:space="preserve">we have </w:t>
      </w:r>
      <w:r>
        <w:rPr>
          <w:rFonts w:eastAsiaTheme="minorEastAsia"/>
        </w:rPr>
        <w:t>noisy data, we can write</w:t>
      </w:r>
    </w:p>
    <w:p w14:paraId="137D5079" w14:textId="564325FD" w:rsidR="007E43E6" w:rsidRPr="007E43E6" w:rsidRDefault="00000000"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m:oMathPara>
    </w:p>
    <w:p w14:paraId="1D5D3C08" w14:textId="538B7F95" w:rsidR="000B06C9" w:rsidRDefault="000B06C9" w:rsidP="007E43E6">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denotes the unknown and unobservable probability of selection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is a noise component for each observation contained in </w:t>
      </w:r>
      <m:oMath>
        <m:r>
          <w:rPr>
            <w:rFonts w:ascii="Cambria Math" w:eastAsiaTheme="minorEastAsia" w:hAnsi="Cambria Math"/>
          </w:rPr>
          <m:t>[-1, 1]</m:t>
        </m:r>
      </m:oMath>
      <w:r>
        <w:rPr>
          <w:rFonts w:eastAsiaTheme="minorEastAsia"/>
        </w:rPr>
        <w:t xml:space="preserve">. </w:t>
      </w:r>
      <w:r w:rsidR="00A459DA">
        <w:rPr>
          <w:rFonts w:eastAsiaTheme="minorEastAsia"/>
        </w:rPr>
        <w:t>To</w:t>
      </w:r>
      <w:r>
        <w:rPr>
          <w:rFonts w:eastAsiaTheme="minorEastAsia"/>
        </w:rPr>
        <w:t xml:space="preserve"> proceed, we must reparametrize the error component:</w:t>
      </w:r>
    </w:p>
    <w:p w14:paraId="1E931DC2" w14:textId="69A85FD6" w:rsidR="000B06C9" w:rsidRPr="000B06C9" w:rsidRDefault="00000000"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r>
                    <w:rPr>
                      <w:rFonts w:ascii="Cambria Math" w:eastAsiaTheme="minorEastAsia" w:hAnsi="Cambria Math"/>
                    </w:rPr>
                    <m:t>h</m:t>
                  </m:r>
                </m:sub>
              </m:sSub>
            </m:e>
          </m:nary>
        </m:oMath>
      </m:oMathPara>
    </w:p>
    <w:p w14:paraId="2962C964" w14:textId="42B8FA6E" w:rsidR="000B06C9" w:rsidRDefault="000B06C9" w:rsidP="007E43E6">
      <w:pPr>
        <w:ind w:firstLine="0"/>
        <w:rPr>
          <w:rFonts w:eastAsiaTheme="minorEastAsia"/>
        </w:rPr>
      </w:pPr>
      <w:r>
        <w:rPr>
          <w:rFonts w:eastAsiaTheme="minorEastAsia"/>
        </w:rPr>
        <w:t xml:space="preserve">where </w:t>
      </w:r>
      <m:oMath>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r>
          <w:rPr>
            <w:rFonts w:ascii="Cambria Math" w:eastAsiaTheme="minorEastAsia" w:hAnsi="Cambria Math"/>
          </w:rPr>
          <m:t>=1</m:t>
        </m:r>
      </m:oMath>
      <w:r w:rsidR="00A459DA">
        <w:rPr>
          <w:rFonts w:eastAsiaTheme="minorEastAsia"/>
        </w:rPr>
        <w:t xml:space="preserve"> are an H-dimensional vector of weights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A459DA">
        <w:rPr>
          <w:rFonts w:eastAsiaTheme="minorEastAsia"/>
        </w:rPr>
        <w:t xml:space="preserve"> are the H-dimensional support space. </w:t>
      </w:r>
      <w:r w:rsidR="00A459DA">
        <w:rPr>
          <w:rFonts w:eastAsiaTheme="minorEastAsia"/>
        </w:rPr>
        <w:fldChar w:fldCharType="begin"/>
      </w:r>
      <w:r w:rsidR="00A459DA">
        <w:rPr>
          <w:rFonts w:eastAsiaTheme="minorEastAsia"/>
        </w:rPr>
        <w:instrText xml:space="preserve"> ADDIN ZOTERO_ITEM CSL_CITATION {"citationID":"RCf3PyLr","properties":{"formattedCitation":"(Golan,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A459DA">
        <w:rPr>
          <w:rFonts w:eastAsiaTheme="minorEastAsia"/>
        </w:rPr>
        <w:fldChar w:fldCharType="separate"/>
      </w:r>
      <w:r w:rsidR="00A459DA">
        <w:rPr>
          <w:rFonts w:eastAsiaTheme="minorEastAsia"/>
          <w:noProof/>
        </w:rPr>
        <w:t>(Golan, Judge, and Perloff 1996)</w:t>
      </w:r>
      <w:r w:rsidR="00A459DA">
        <w:rPr>
          <w:rFonts w:eastAsiaTheme="minorEastAsia"/>
        </w:rPr>
        <w:fldChar w:fldCharType="end"/>
      </w:r>
      <w:r w:rsidR="00A459DA">
        <w:rPr>
          <w:rFonts w:eastAsiaTheme="minorEastAsia"/>
        </w:rPr>
        <w:t xml:space="preserve"> suggest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T</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m:t>
                </m:r>
              </m:num>
              <m:den>
                <m:rad>
                  <m:radPr>
                    <m:degHide m:val="1"/>
                    <m:ctrlPr>
                      <w:rPr>
                        <w:rFonts w:ascii="Cambria Math" w:eastAsiaTheme="minorEastAsia" w:hAnsi="Cambria Math"/>
                        <w:i/>
                      </w:rPr>
                    </m:ctrlPr>
                  </m:radPr>
                  <m:deg/>
                  <m:e>
                    <m:r>
                      <w:rPr>
                        <w:rFonts w:ascii="Cambria Math" w:eastAsiaTheme="minorEastAsia" w:hAnsi="Cambria Math"/>
                      </w:rPr>
                      <m:t>T</m:t>
                    </m:r>
                  </m:e>
                </m:rad>
              </m:den>
            </m:f>
          </m:e>
        </m:d>
      </m:oMath>
      <w:r w:rsidR="00A459DA">
        <w:rPr>
          <w:rFonts w:eastAsiaTheme="minorEastAsia"/>
        </w:rPr>
        <w:t xml:space="preserve"> and thus </w:t>
      </w:r>
      <m:oMath>
        <m:r>
          <w:rPr>
            <w:rFonts w:ascii="Cambria Math" w:eastAsiaTheme="minorEastAsia" w:hAnsi="Cambria Math"/>
          </w:rPr>
          <m:t>H=3</m:t>
        </m:r>
      </m:oMath>
      <w:r w:rsidR="00A459DA">
        <w:rPr>
          <w:rFonts w:eastAsiaTheme="minorEastAsia"/>
        </w:rPr>
        <w:t>.</w:t>
      </w:r>
    </w:p>
    <w:p w14:paraId="47BBA69A" w14:textId="50323F33" w:rsidR="00A459DA" w:rsidRDefault="00A459DA" w:rsidP="00A459DA">
      <w:r>
        <w:t>We now maximize the entropy (of the error augmented) probability distribution:</w:t>
      </w:r>
    </w:p>
    <w:p w14:paraId="0D9040D1" w14:textId="0CB910CD" w:rsidR="00A459DA" w:rsidRPr="00A459DA" w:rsidRDefault="00000000" w:rsidP="00A459D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p</m:t>
                  </m:r>
                  <m:r>
                    <w:rPr>
                      <w:rFonts w:ascii="Cambria Math" w:hAnsi="Cambria Math"/>
                    </w:rPr>
                    <m:t>,</m:t>
                  </m:r>
                  <m:r>
                    <w:rPr>
                      <w:rFonts w:ascii="Cambria Math" w:hAnsi="Cambria Math"/>
                    </w:rPr>
                    <m:t>w</m:t>
                  </m:r>
                  <m:ctrlPr>
                    <w:rPr>
                      <w:rFonts w:ascii="Cambria Math" w:hAnsi="Cambria Math"/>
                    </w:rPr>
                  </m:ctrlPr>
                </m:lim>
              </m:limLow>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ij</m:t>
                      </m:r>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ij</m:t>
                          </m:r>
                          <m:r>
                            <w:rPr>
                              <w:rFonts w:ascii="Cambria Math" w:hAnsi="Cambria Math"/>
                            </w:rPr>
                            <m:t>h</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ij</m:t>
                              </m:r>
                              <m:r>
                                <w:rPr>
                                  <w:rFonts w:ascii="Cambria Math" w:hAnsi="Cambria Math"/>
                                </w:rPr>
                                <m:t>h</m:t>
                              </m:r>
                            </m:sub>
                          </m:sSub>
                        </m:e>
                      </m:func>
                    </m:e>
                  </m:nary>
                </m:e>
              </m:d>
            </m:e>
          </m:func>
        </m:oMath>
      </m:oMathPara>
    </w:p>
    <w:p w14:paraId="1DD3CC9C" w14:textId="15C17917" w:rsidR="00A459DA" w:rsidRDefault="00A459DA" w:rsidP="00A459DA">
      <w:pPr>
        <w:ind w:firstLine="0"/>
      </w:pPr>
      <w:r>
        <w:t xml:space="preserve">subject to the </w:t>
      </w:r>
      <m:oMath>
        <m:r>
          <w:rPr>
            <w:rFonts w:ascii="Cambria Math" w:hAnsi="Cambria Math"/>
          </w:rPr>
          <m:t>K</m:t>
        </m:r>
      </m:oMath>
      <w:r w:rsidR="008D540C">
        <w:t xml:space="preserve"> </w:t>
      </w:r>
      <w:r>
        <w:t>moment constraints</w:t>
      </w:r>
      <w:r w:rsidR="009F7BD0">
        <w:t xml:space="preserve"> imposed by the data, where the </w:t>
      </w:r>
      <m:oMath>
        <m:r>
          <w:rPr>
            <w:rFonts w:ascii="Cambria Math" w:hAnsi="Cambria Math"/>
          </w:rPr>
          <m:t>k</m:t>
        </m:r>
      </m:oMath>
      <w:r w:rsidR="008D540C">
        <w:t>-</w:t>
      </w:r>
      <w:proofErr w:type="spellStart"/>
      <w:r w:rsidR="009F7BD0">
        <w:t>th</w:t>
      </w:r>
      <w:proofErr w:type="spellEnd"/>
      <w:r w:rsidR="009F7BD0">
        <w:t xml:space="preserve"> constraint is</w:t>
      </w:r>
      <w:r>
        <w:t>:</w:t>
      </w:r>
    </w:p>
    <w:p w14:paraId="39CB442B" w14:textId="1C00126B" w:rsidR="00246DE5" w:rsidRPr="00246DE5" w:rsidRDefault="00000000" w:rsidP="00A459DA">
      <w:pPr>
        <w:ind w:firstLine="0"/>
      </w:pPr>
      <m:oMathPara>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r>
                <w:rPr>
                  <w:rFonts w:ascii="Cambria Math" w:hAnsi="Cambria Math"/>
                </w:rPr>
                <m:t>h</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nary>
        </m:oMath>
      </m:oMathPara>
    </w:p>
    <w:p w14:paraId="71B50D57" w14:textId="30770E3F" w:rsidR="00246DE5" w:rsidRDefault="00246DE5" w:rsidP="00A459DA">
      <w:pPr>
        <w:ind w:firstLine="0"/>
      </w:pPr>
      <w:r>
        <w:t>and the adding up constraints</w:t>
      </w:r>
    </w:p>
    <w:p w14:paraId="52B8A868" w14:textId="6F7BEAE0" w:rsidR="00246DE5" w:rsidRPr="00B538D9" w:rsidRDefault="00000000" w:rsidP="00A459DA">
      <w:pPr>
        <w:ind w:firstLine="0"/>
      </w:pPr>
      <m:oMathPara>
        <m:oMath>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r>
            <m:rPr>
              <m:sty m:val="p"/>
            </m:rPr>
            <w:rPr>
              <w:rFonts w:ascii="Cambria Math" w:hAnsi="Cambria Math"/>
            </w:rPr>
            <w:br/>
          </m:r>
        </m:oMath>
        <m:oMath>
          <m:nary>
            <m:naryPr>
              <m:chr m:val="∑"/>
              <m:supHide m:val="1"/>
              <m:ctrlPr>
                <w:rPr>
                  <w:rFonts w:ascii="Cambria Math" w:hAnsi="Cambria Math"/>
                  <w:i/>
                </w:rPr>
              </m:ctrlPr>
            </m:naryPr>
            <m:sub>
              <m:r>
                <w:rPr>
                  <w:rFonts w:ascii="Cambria Math" w:hAnsi="Cambria Math"/>
                </w:rPr>
                <m:t>j</m:t>
              </m:r>
              <m:r>
                <w:rPr>
                  <w:rFonts w:ascii="Cambria Math" w:hAnsi="Cambria Math"/>
                </w:rPr>
                <m:t>∈</m:t>
              </m:r>
              <m:d>
                <m:dPr>
                  <m:begChr m:val="["/>
                  <m:endChr m:val="]"/>
                  <m:ctrlPr>
                    <w:rPr>
                      <w:rFonts w:ascii="Cambria Math" w:hAnsi="Cambria Math"/>
                      <w:i/>
                    </w:rPr>
                  </m:ctrlPr>
                </m:dPr>
                <m:e>
                  <m:r>
                    <w:rPr>
                      <w:rFonts w:ascii="Cambria Math" w:hAnsi="Cambria Math"/>
                    </w:rPr>
                    <m:t>0,1</m:t>
                  </m:r>
                </m:e>
              </m:d>
            </m: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nary>
        </m:oMath>
      </m:oMathPara>
    </w:p>
    <w:p w14:paraId="02C14280" w14:textId="200476C1" w:rsidR="00B538D9" w:rsidRDefault="00B538D9" w:rsidP="00A459DA">
      <w:pPr>
        <w:ind w:firstLine="0"/>
      </w:pPr>
      <w:r>
        <w:t xml:space="preserve">We can solve the above using </w:t>
      </w:r>
      <w:r w:rsidR="009F7BD0">
        <w:t>the method of Lagrange multipliers</w:t>
      </w:r>
      <w:r w:rsidR="008D540C">
        <w:t>. In matrix-form:</w:t>
      </w:r>
    </w:p>
    <w:p w14:paraId="7F88045D" w14:textId="5D0624EC" w:rsidR="009F7BD0" w:rsidRPr="009F7BD0" w:rsidRDefault="009F7BD0" w:rsidP="00A459DA">
      <w:pPr>
        <w:ind w:firstLine="0"/>
      </w:pPr>
      <m:oMathPara>
        <m:oMath>
          <m:r>
            <m:rPr>
              <m:scr m:val="script"/>
            </m:rPr>
            <w:rPr>
              <w:rFonts w:ascii="Cambria Math" w:hAnsi="Cambria Math"/>
            </w:rPr>
            <m:t>L=</m:t>
          </m:r>
          <m:r>
            <m:rPr>
              <m:sty m:val="bi"/>
            </m:rPr>
            <w:rPr>
              <w:rFonts w:ascii="Cambria Math" w:hAnsi="Cambria Math"/>
            </w:rPr>
            <m:t>-p</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w:rPr>
              <w:rFonts w:ascii="Cambria Math" w:hAnsi="Cambria Math"/>
            </w:rPr>
            <m:t>-</m:t>
          </m:r>
          <m:sSup>
            <m:sSupPr>
              <m:ctrlPr>
                <w:rPr>
                  <w:rFonts w:ascii="Cambria Math" w:hAnsi="Cambria Math"/>
                  <w:b/>
                  <w:bCs/>
                  <w:i/>
                </w:rPr>
              </m:ctrlPr>
            </m:sSupPr>
            <m:e>
              <m:r>
                <m:rPr>
                  <m:sty m:val="bi"/>
                </m:rPr>
                <w:rPr>
                  <w:rFonts w:ascii="Cambria Math" w:hAnsi="Cambria Math"/>
                </w:rPr>
                <m:t>w</m:t>
              </m:r>
              <m:ctrlPr>
                <w:rPr>
                  <w:rFonts w:ascii="Cambria Math" w:hAnsi="Cambria Math"/>
                  <w:i/>
                </w:rPr>
              </m:ctrlPr>
            </m:e>
            <m:sup>
              <m:r>
                <m:rPr>
                  <m:sty m:val="bi"/>
                </m:rPr>
                <w:rPr>
                  <w:rFonts w:ascii="Cambria Math" w:hAnsi="Cambria Math"/>
                </w:rPr>
                <m:t>'</m:t>
              </m:r>
            </m:sup>
          </m:sSup>
          <m:func>
            <m:funcPr>
              <m:ctrlPr>
                <w:rPr>
                  <w:rFonts w:ascii="Cambria Math" w:hAnsi="Cambria Math"/>
                  <w:i/>
                </w:rPr>
              </m:ctrlPr>
            </m:funcPr>
            <m:fName>
              <m:r>
                <m:rPr>
                  <m:sty m:val="p"/>
                </m:rPr>
                <w:rPr>
                  <w:rFonts w:ascii="Cambria Math" w:hAnsi="Cambria Math"/>
                </w:rPr>
                <m:t>ln</m:t>
              </m:r>
            </m:fName>
            <m:e>
              <m:r>
                <m:rPr>
                  <m:sty m:val="bi"/>
                </m:rPr>
                <w:rPr>
                  <w:rFonts w:ascii="Cambria Math" w:hAnsi="Cambria Math"/>
                </w:rPr>
                <m:t>w</m:t>
              </m:r>
            </m:e>
          </m:func>
          <m:r>
            <w:rPr>
              <w:rFonts w:ascii="Cambria Math" w:hAnsi="Cambria Math"/>
            </w:rPr>
            <m:t>+</m:t>
          </m:r>
          <m:sSup>
            <m:sSupPr>
              <m:ctrlPr>
                <w:rPr>
                  <w:rFonts w:ascii="Cambria Math" w:hAnsi="Cambria Math"/>
                  <w:b/>
                  <w:bCs/>
                  <w:i/>
                </w:rPr>
              </m:ctrlPr>
            </m:sSupPr>
            <m:e>
              <m:r>
                <m:rPr>
                  <m:sty m:val="bi"/>
                </m:rPr>
                <w:rPr>
                  <w:rFonts w:ascii="Cambria Math" w:hAnsi="Cambria Math"/>
                </w:rPr>
                <m:t>λ</m:t>
              </m:r>
              <m:ctrlPr>
                <w:rPr>
                  <w:rFonts w:ascii="Cambria Math" w:hAnsi="Cambria Math"/>
                  <w:i/>
                </w:rPr>
              </m:ctrlPr>
            </m:e>
            <m:sup>
              <m:r>
                <m:rPr>
                  <m:sty m:val="bi"/>
                </m:rPr>
                <w:rPr>
                  <w:rFonts w:ascii="Cambria Math" w:hAnsi="Cambria Math"/>
                </w:rPr>
                <m:t>'</m:t>
              </m:r>
            </m:sup>
          </m:sSup>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p+</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Vw-</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y</m:t>
              </m:r>
              <m:ctrlPr>
                <w:rPr>
                  <w:rFonts w:ascii="Cambria Math" w:hAnsi="Cambria Math"/>
                  <w:i/>
                </w:rPr>
              </m:ctrlPr>
            </m:e>
          </m:d>
          <m:r>
            <w:rPr>
              <w:rFonts w:ascii="Cambria Math" w:hAnsi="Cambria Math"/>
            </w:rPr>
            <m:t>+</m:t>
          </m:r>
          <m:sSup>
            <m:sSupPr>
              <m:ctrlPr>
                <w:rPr>
                  <w:rFonts w:ascii="Cambria Math" w:hAnsi="Cambria Math"/>
                  <w:b/>
                  <w:bCs/>
                  <w:i/>
                </w:rPr>
              </m:ctrlPr>
            </m:sSupPr>
            <m:e>
              <m:r>
                <m:rPr>
                  <m:sty m:val="bi"/>
                </m:rPr>
                <w:rPr>
                  <w:rFonts w:ascii="Cambria Math" w:hAnsi="Cambria Math"/>
                </w:rPr>
                <m:t>μ</m:t>
              </m:r>
            </m:e>
            <m:sup>
              <m:r>
                <m:rPr>
                  <m:sty m:val="bi"/>
                </m:rPr>
                <w:rPr>
                  <w:rFonts w:ascii="Cambria Math" w:hAnsi="Cambria Math"/>
                </w:rPr>
                <m:t>'</m:t>
              </m:r>
            </m:sup>
          </m:s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T</m:t>
                  </m:r>
                </m:sub>
              </m:sSub>
              <m:r>
                <m:rPr>
                  <m:sty m:val="bi"/>
                </m:rPr>
                <w:rPr>
                  <w:rFonts w:ascii="Cambria Math" w:hAnsi="Cambria Math"/>
                </w:rPr>
                <m:t>p</m:t>
              </m:r>
            </m:e>
          </m:d>
          <m:r>
            <w:rPr>
              <w:rFonts w:ascii="Cambria Math" w:hAnsi="Cambria Math"/>
            </w:rPr>
            <m:t>+</m:t>
          </m:r>
          <m:r>
            <m:rPr>
              <m:sty m:val="bi"/>
            </m:rPr>
            <w:rPr>
              <w:rFonts w:ascii="Cambria Math" w:hAnsi="Cambria Math"/>
            </w:rPr>
            <m:t>ρ</m:t>
          </m:r>
          <m:r>
            <w:rPr>
              <w:rFonts w:ascii="Cambria Math" w:hAnsi="Cambria Math"/>
            </w:rPr>
            <m:t>'(1-</m:t>
          </m:r>
          <m:sSup>
            <m:sSupPr>
              <m:ctrlPr>
                <w:rPr>
                  <w:rFonts w:ascii="Cambria Math" w:hAnsi="Cambria Math"/>
                  <w:b/>
                  <w:bCs/>
                  <w:i/>
                </w:rPr>
              </m:ctrlPr>
            </m:sSupPr>
            <m:e>
              <m:r>
                <m:rPr>
                  <m:sty m:val="bi"/>
                </m:rPr>
                <w:rPr>
                  <w:rFonts w:ascii="Cambria Math" w:hAnsi="Cambria Math"/>
                </w:rPr>
                <m:t>1</m:t>
              </m:r>
              <m:ctrlPr>
                <w:rPr>
                  <w:rFonts w:ascii="Cambria Math" w:hAnsi="Cambria Math"/>
                  <w:i/>
                </w:rPr>
              </m:ctrlPr>
            </m:e>
            <m:sup>
              <m:r>
                <m:rPr>
                  <m:sty m:val="bi"/>
                </m:rPr>
                <w:rPr>
                  <w:rFonts w:ascii="Cambria Math" w:hAnsi="Cambria Math"/>
                </w:rPr>
                <m:t>'</m:t>
              </m:r>
            </m:sup>
          </m:sSup>
          <m:r>
            <w:rPr>
              <w:rFonts w:ascii="Cambria Math" w:hAnsi="Cambria Math"/>
            </w:rPr>
            <m:t>w)</m:t>
          </m:r>
        </m:oMath>
      </m:oMathPara>
    </w:p>
    <w:p w14:paraId="14BDDAFB" w14:textId="20FC0A33" w:rsidR="009F7BD0" w:rsidRDefault="009F7BD0" w:rsidP="00A459DA">
      <w:pPr>
        <w:ind w:firstLine="0"/>
      </w:pPr>
      <w:r>
        <w:t xml:space="preserve">where </w:t>
      </w:r>
      <m:oMath>
        <m:r>
          <m:rPr>
            <m:sty m:val="bi"/>
          </m:rPr>
          <w:rPr>
            <w:rFonts w:ascii="Cambria Math" w:hAnsi="Cambria Math"/>
          </w:rPr>
          <m:t>λ.μ,ρ</m:t>
        </m:r>
      </m:oMath>
      <w:r>
        <w:t xml:space="preserve"> are Lagrange multipliers and </w:t>
      </w:r>
      <m:oMath>
        <m:r>
          <w:rPr>
            <w:rFonts w:ascii="Cambria Math" w:hAnsi="Cambria Math"/>
          </w:rPr>
          <m:t>β=-λ</m:t>
        </m:r>
      </m:oMath>
      <w:r w:rsidR="008D540C">
        <w:t>.</w:t>
      </w:r>
    </w:p>
    <w:p w14:paraId="6930A2B8" w14:textId="3901D0C5" w:rsidR="008D540C" w:rsidRDefault="008D540C" w:rsidP="00A459DA">
      <w:pPr>
        <w:ind w:firstLine="0"/>
      </w:pPr>
      <w:r>
        <w:t>The first order conditions are:</w:t>
      </w:r>
    </w:p>
    <w:p w14:paraId="0C29FF5F" w14:textId="419E2415" w:rsidR="008D540C" w:rsidRDefault="00000000" w:rsidP="00A459DA">
      <w:pPr>
        <w:ind w:firstLine="0"/>
      </w:pPr>
      <m:oMathPara>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func>
          <m:r>
            <w:rPr>
              <w:rFonts w:ascii="Cambria Math" w:hAnsi="Cambria Math"/>
            </w:rPr>
            <m:t>-</m:t>
          </m:r>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j</m:t>
              </m:r>
              <m:r>
                <w:rPr>
                  <w:rFonts w:ascii="Cambria Math" w:hAnsi="Cambria Math"/>
                </w:rPr>
                <m:t>∈0, 1</m:t>
              </m:r>
            </m:sub>
            <m:sup/>
            <m:e>
              <m:sSub>
                <m:sSubPr>
                  <m:ctrlPr>
                    <w:rPr>
                      <w:rFonts w:ascii="Cambria Math" w:hAnsi="Cambria Math"/>
                      <w:i/>
                    </w:rPr>
                  </m:ctrlPr>
                </m:sSubPr>
                <m:e>
                  <m:r>
                    <w:rPr>
                      <w:rFonts w:ascii="Cambria Math" w:hAnsi="Cambria Math"/>
                    </w:rPr>
                    <m:t>p</m:t>
                  </m:r>
                </m:e>
                <m:sub>
                  <m:r>
                    <w:rPr>
                      <w:rFonts w:ascii="Cambria Math" w:hAnsi="Cambria Math"/>
                    </w:rPr>
                    <m:t>j</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nary>
          <m:r>
            <w:rPr>
              <w:rFonts w:ascii="Cambria Math" w:hAnsi="Cambria Math"/>
            </w:rPr>
            <m:t>=0</m:t>
          </m:r>
        </m:oMath>
      </m:oMathPara>
    </w:p>
    <w:p w14:paraId="4D1DD75E" w14:textId="52394B40" w:rsidR="009F7BD0" w:rsidRDefault="008D540C" w:rsidP="00A459DA">
      <w:pPr>
        <w:ind w:firstLine="0"/>
      </w:pPr>
      <w:r>
        <w:t xml:space="preserve">From which we obtain the estimated probability </w:t>
      </w:r>
      <w:r w:rsidR="00B160FC">
        <w:t>distributions</w:t>
      </w:r>
      <w:r>
        <w:t>:</w:t>
      </w:r>
    </w:p>
    <w:p w14:paraId="27D63726" w14:textId="6FF13A8B" w:rsidR="008D540C" w:rsidRPr="00B160FC" w:rsidRDefault="00000000" w:rsidP="00A459DA">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d>
                </m:e>
              </m:func>
            </m:num>
            <m:den>
              <m:nary>
                <m:naryPr>
                  <m:chr m:val="∑"/>
                  <m:supHide m:val="1"/>
                  <m:ctrlPr>
                    <w:rPr>
                      <w:rFonts w:ascii="Cambria Math" w:hAnsi="Cambria Math"/>
                      <w:i/>
                    </w:rPr>
                  </m:ctrlPr>
                </m:naryPr>
                <m:sub>
                  <m:r>
                    <w:rPr>
                      <w:rFonts w:ascii="Cambria Math" w:hAnsi="Cambria Math"/>
                    </w:rPr>
                    <m:t>j</m:t>
                  </m:r>
                  <m:r>
                    <w:rPr>
                      <w:rFonts w:ascii="Cambria Math" w:hAnsi="Cambria Math"/>
                    </w:rPr>
                    <m:t>∈(0,1)</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nary>
                        </m:e>
                      </m:d>
                    </m:e>
                  </m:func>
                </m:e>
              </m:nary>
            </m:den>
          </m:f>
        </m:oMath>
      </m:oMathPara>
    </w:p>
    <w:p w14:paraId="19D09794" w14:textId="19A3B852" w:rsidR="00B160FC" w:rsidRDefault="00B160FC" w:rsidP="00A459DA">
      <w:pPr>
        <w:ind w:firstLine="0"/>
      </w:pPr>
      <w:r>
        <w:t>and</w:t>
      </w:r>
    </w:p>
    <w:p w14:paraId="54870C79" w14:textId="29F256B3" w:rsidR="00B160FC" w:rsidRPr="00B160FC" w:rsidRDefault="00000000" w:rsidP="00A459DA">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num>
            <m:den>
              <m:nary>
                <m:naryPr>
                  <m:chr m:val="∑"/>
                  <m:supHide m:val="1"/>
                  <m:ctrlPr>
                    <w:rPr>
                      <w:rFonts w:ascii="Cambria Math" w:hAnsi="Cambria Math"/>
                      <w:i/>
                    </w:rPr>
                  </m:ctrlPr>
                </m:naryPr>
                <m:sub>
                  <m:r>
                    <w:rPr>
                      <w:rFonts w:ascii="Cambria Math" w:hAnsi="Cambria Math"/>
                    </w:rPr>
                    <m:t>h</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e>
              </m:nary>
            </m:den>
          </m:f>
        </m:oMath>
      </m:oMathPara>
    </w:p>
    <w:p w14:paraId="306F4659" w14:textId="023E79EB" w:rsidR="00B160FC" w:rsidRDefault="00B160FC" w:rsidP="00A459DA">
      <w:pPr>
        <w:ind w:firstLine="0"/>
      </w:pPr>
      <w:r>
        <w:t xml:space="preserve">Note that the above can be computed using the </w:t>
      </w:r>
      <w:r w:rsidR="00577085">
        <w:t>“</w:t>
      </w:r>
      <w:r>
        <w:t>dual</w:t>
      </w:r>
      <w:r w:rsidR="00577085">
        <w:t xml:space="preserve"> unconstrained”</w:t>
      </w:r>
      <w:r>
        <w:t xml:space="preserve"> method not discussed here</w:t>
      </w:r>
      <w:r w:rsidR="00577085">
        <w:t xml:space="preserve"> (s</w:t>
      </w:r>
      <w:r>
        <w:t xml:space="preserve">ee </w:t>
      </w:r>
      <w:r>
        <w:fldChar w:fldCharType="begin"/>
      </w:r>
      <w:r>
        <w:instrText xml:space="preserve"> ADDIN ZOTERO_ITEM CSL_CITATION {"citationID":"o85YETpa","properties":{"formattedCitation":"(Golan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fldChar w:fldCharType="separate"/>
      </w:r>
      <w:r>
        <w:rPr>
          <w:noProof/>
        </w:rPr>
        <w:t>(Golan 2017)</w:t>
      </w:r>
      <w:r>
        <w:fldChar w:fldCharType="end"/>
      </w:r>
      <w:r>
        <w:t xml:space="preserve"> for </w:t>
      </w:r>
      <w:r w:rsidR="00577085">
        <w:t>reference)</w:t>
      </w:r>
      <w:r>
        <w:t>.</w:t>
      </w:r>
    </w:p>
    <w:p w14:paraId="41969ACD" w14:textId="376F9E22" w:rsidR="00577085" w:rsidRDefault="00577085" w:rsidP="00577085">
      <w:r>
        <w:t xml:space="preserve">Once the probabilities are obtained, </w:t>
      </w:r>
      <w:r w:rsidR="00536572">
        <w:t xml:space="preserve">we can proceed to estimate the difference-in-differences model, weighting each observation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36572">
        <w:t xml:space="preserve"> by</w:t>
      </w:r>
      <w:r w:rsidR="003C2AB6">
        <w:t>:</w:t>
      </w:r>
    </w:p>
    <w:p w14:paraId="57BA3756" w14:textId="6535B6B4" w:rsidR="00536572" w:rsidRPr="00536572" w:rsidRDefault="00000000" w:rsidP="00577085">
      <m:oMathPara>
        <m:oMath>
          <m:sSub>
            <m:sSubPr>
              <m:ctrlPr>
                <w:rPr>
                  <w:rFonts w:ascii="Cambria Math" w:hAnsi="Cambria Math"/>
                  <w:i/>
                </w:rPr>
              </m:ctrlPr>
            </m:sSubPr>
            <m:e>
              <m:r>
                <w:rPr>
                  <w:rFonts w:ascii="Cambria Math" w:hAnsi="Cambria Math"/>
                </w:rPr>
                <m:t>ρ</m:t>
              </m:r>
            </m:e>
            <m:sub>
              <m:r>
                <w:rPr>
                  <w:rFonts w:ascii="Cambria Math" w:hAnsi="Cambria Math"/>
                </w:rPr>
                <m:t>0</m:t>
              </m:r>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e>
              </m:d>
            </m:den>
          </m:f>
        </m:oMath>
      </m:oMathPara>
    </w:p>
    <w:p w14:paraId="5E35223E" w14:textId="7B46D285" w:rsidR="003C2AB6" w:rsidRDefault="00536572" w:rsidP="003C2AB6">
      <w:r>
        <w:t xml:space="preserve">The full generalized maximum entropy model of </w:t>
      </w:r>
      <w:r w:rsidR="003C2AB6">
        <w:t>linear regression is not reca</w:t>
      </w:r>
      <w:r w:rsidR="007E2EC2">
        <w:t>pitulated</w:t>
      </w:r>
      <w:r w:rsidR="003C2AB6">
        <w:t xml:space="preserve"> here (see </w:t>
      </w:r>
      <w:r w:rsidR="003C2AB6">
        <w:fldChar w:fldCharType="begin"/>
      </w:r>
      <w:r w:rsidR="003C2AB6">
        <w:instrText xml:space="preserve"> ADDIN ZOTERO_ITEM CSL_CITATION {"citationID":"bPLWt89e","properties":{"formattedCitation":"(Golan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3C2AB6">
        <w:fldChar w:fldCharType="separate"/>
      </w:r>
      <w:r w:rsidR="003C2AB6">
        <w:rPr>
          <w:noProof/>
        </w:rPr>
        <w:t>(Golan 2017)</w:t>
      </w:r>
      <w:r w:rsidR="003C2AB6">
        <w:fldChar w:fldCharType="end"/>
      </w:r>
      <w:r w:rsidR="003C2AB6">
        <w:t xml:space="preserve"> for reference) but briefly:</w:t>
      </w:r>
    </w:p>
    <w:p w14:paraId="40C01091" w14:textId="216BDF03" w:rsidR="003C2AB6" w:rsidRDefault="003C2AB6" w:rsidP="003C2AB6">
      <w:pPr>
        <w:pStyle w:val="ListParagraph"/>
        <w:numPr>
          <w:ilvl w:val="0"/>
          <w:numId w:val="15"/>
        </w:numPr>
      </w:pPr>
      <w:r>
        <w:t xml:space="preserve">Reparametrize the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s and the error terms as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z</m:t>
                </m:r>
              </m:e>
              <m:sub>
                <m:r>
                  <w:rPr>
                    <w:rFonts w:ascii="Cambria Math" w:hAnsi="Cambria Math"/>
                  </w:rPr>
                  <m:t>km</m:t>
                </m:r>
              </m:sub>
            </m:sSub>
            <m:sSub>
              <m:sSubPr>
                <m:ctrlPr>
                  <w:rPr>
                    <w:rFonts w:ascii="Cambria Math" w:hAnsi="Cambria Math"/>
                    <w:i/>
                  </w:rPr>
                </m:ctrlPr>
              </m:sSubPr>
              <m:e>
                <m:r>
                  <w:rPr>
                    <w:rFonts w:ascii="Cambria Math" w:hAnsi="Cambria Math"/>
                  </w:rPr>
                  <m:t>p</m:t>
                </m:r>
              </m:e>
              <m:sub>
                <m:r>
                  <w:rPr>
                    <w:rFonts w:ascii="Cambria Math" w:hAnsi="Cambria Math"/>
                  </w:rPr>
                  <m:t>km</m:t>
                </m:r>
              </m:sub>
            </m:sSub>
          </m:e>
        </m:nary>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v</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is a </w:t>
      </w:r>
      <m:oMath>
        <m:r>
          <w:rPr>
            <w:rFonts w:ascii="Cambria Math" w:hAnsi="Cambria Math"/>
          </w:rPr>
          <m:t>1×M</m:t>
        </m:r>
      </m:oMath>
      <w:r>
        <w:t xml:space="preserve"> vector (the discrete support space),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is a </w:t>
      </w:r>
      <m:oMath>
        <m:r>
          <w:rPr>
            <w:rFonts w:ascii="Cambria Math" w:hAnsi="Cambria Math"/>
          </w:rPr>
          <m:t>M×1</m:t>
        </m:r>
      </m:oMath>
      <w:r>
        <w:t xml:space="preserve"> vector of weights,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is a </w:t>
      </w:r>
      <m:oMath>
        <m:r>
          <w:rPr>
            <w:rFonts w:ascii="Cambria Math" w:hAnsi="Cambria Math"/>
          </w:rPr>
          <m:t>1×N</m:t>
        </m:r>
      </m:oMath>
      <w:r w:rsidR="000410D0">
        <w:t xml:space="preserve"> vector (the discrete error support) and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0410D0">
        <w:t xml:space="preserve"> is a set of weights (that dd up to 1).</w:t>
      </w:r>
    </w:p>
    <w:p w14:paraId="32E8FC5A" w14:textId="74AE344D" w:rsidR="000410D0" w:rsidRDefault="000410D0" w:rsidP="007E2EC2">
      <w:pPr>
        <w:pStyle w:val="ListParagraph"/>
        <w:numPr>
          <w:ilvl w:val="0"/>
          <w:numId w:val="15"/>
        </w:numPr>
      </w:pPr>
      <w:r>
        <w:t xml:space="preserve">Maximize the entropy of </w:t>
      </w:r>
      <m:oMath>
        <m:sSub>
          <m:sSubPr>
            <m:ctrlPr>
              <w:rPr>
                <w:rFonts w:ascii="Cambria Math" w:hAnsi="Cambria Math"/>
                <w:i/>
              </w:rPr>
            </m:ctrlPr>
          </m:sSubPr>
          <m:e>
            <m:r>
              <w:rPr>
                <w:rFonts w:ascii="Cambria Math" w:hAnsi="Cambria Math"/>
              </w:rPr>
              <m:t>H</m:t>
            </m:r>
          </m:e>
          <m:sub>
            <m:r>
              <w:rPr>
                <w:rFonts w:ascii="Cambria Math" w:hAnsi="Cambria Math"/>
              </w:rPr>
              <m:t>p,w</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m:t>
                    </m:r>
                  </m:sub>
                </m:sSub>
              </m:e>
            </m:func>
          </m:e>
        </m:nary>
      </m:oMath>
      <w:r>
        <w:t xml:space="preserve"> subject to the data constraint</w:t>
      </w:r>
      <w:r w:rsidR="007E2EC2">
        <w:br/>
      </w: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=0</m:t>
          </m:r>
          <m:r>
            <m:rPr>
              <m:sty m:val="p"/>
            </m:rPr>
            <w:br/>
          </m:r>
        </m:oMath>
      </m:oMathPara>
      <w:r>
        <w:t>and the adding up constraints.</w:t>
      </w:r>
    </w:p>
    <w:p w14:paraId="20ACF0B8" w14:textId="30800E54" w:rsidR="007E2EC2" w:rsidRDefault="007E2EC2" w:rsidP="007E2EC2">
      <w:pPr>
        <w:pStyle w:val="ListParagraph"/>
        <w:numPr>
          <w:ilvl w:val="0"/>
          <w:numId w:val="15"/>
        </w:numPr>
      </w:pPr>
      <w:r>
        <w:t>Solve using the method of Lagrange multipliers.</w:t>
      </w:r>
    </w:p>
    <w:p w14:paraId="17950028" w14:textId="321503A5" w:rsidR="007E2EC2" w:rsidRDefault="007E2EC2" w:rsidP="007E2EC2">
      <w:proofErr w:type="gramStart"/>
      <w:r>
        <w:lastRenderedPageBreak/>
        <w:t>Thus</w:t>
      </w:r>
      <w:proofErr w:type="gramEnd"/>
      <w:r>
        <w:t xml:space="preserve"> both the first stage and second stages of the methodology described by Abadie can be implemented using the semiparametric generalized maximum entropy techniques (with estimators in both stages having desirable properties described earlier).</w:t>
      </w:r>
    </w:p>
    <w:p w14:paraId="1AD8B4AE" w14:textId="20A91805" w:rsidR="007E2EC2" w:rsidRPr="00A17574" w:rsidRDefault="007E2EC2" w:rsidP="007E2EC2">
      <w:pPr>
        <w:rPr>
          <w:highlight w:val="yellow"/>
        </w:rPr>
      </w:pPr>
      <w:commentRangeStart w:id="46"/>
      <w:r w:rsidRPr="00A17574">
        <w:rPr>
          <w:highlight w:val="yellow"/>
        </w:rPr>
        <w:t>I</w:t>
      </w:r>
      <w:r w:rsidR="003D6B32" w:rsidRPr="00A17574">
        <w:rPr>
          <w:highlight w:val="yellow"/>
        </w:rPr>
        <w:t>nstead of formally deriving the properties of this estimator, I</w:t>
      </w:r>
      <w:r w:rsidRPr="00A17574">
        <w:rPr>
          <w:highlight w:val="yellow"/>
        </w:rPr>
        <w:t xml:space="preserve"> compare the performance of this method</w:t>
      </w:r>
      <w:r w:rsidR="00260318" w:rsidRPr="00A17574">
        <w:rPr>
          <w:highlight w:val="yellow"/>
        </w:rPr>
        <w:t>ology</w:t>
      </w:r>
      <w:r w:rsidRPr="00A17574">
        <w:rPr>
          <w:highlight w:val="yellow"/>
        </w:rPr>
        <w:t xml:space="preserve"> against: (1) </w:t>
      </w:r>
      <w:r w:rsidR="0032551E" w:rsidRPr="00A17574">
        <w:rPr>
          <w:highlight w:val="yellow"/>
        </w:rPr>
        <w:t xml:space="preserve">the simple </w:t>
      </w:r>
      <w:r w:rsidRPr="00A17574">
        <w:rPr>
          <w:highlight w:val="yellow"/>
        </w:rPr>
        <w:t xml:space="preserve">difference-in-differences </w:t>
      </w:r>
      <w:r w:rsidR="0032551E" w:rsidRPr="00A17574">
        <w:rPr>
          <w:highlight w:val="yellow"/>
        </w:rPr>
        <w:t>estimator</w:t>
      </w:r>
      <w:r w:rsidR="00DB0BB7" w:rsidRPr="00A17574">
        <w:rPr>
          <w:highlight w:val="yellow"/>
        </w:rPr>
        <w:t xml:space="preserve"> </w:t>
      </w:r>
      <w:r w:rsidRPr="00A17574">
        <w:rPr>
          <w:highlight w:val="yellow"/>
        </w:rPr>
        <w:t xml:space="preserve">that does not </w:t>
      </w:r>
      <w:r w:rsidR="000F346B" w:rsidRPr="00A17574">
        <w:rPr>
          <w:highlight w:val="yellow"/>
        </w:rPr>
        <w:t>consider</w:t>
      </w:r>
      <w:r w:rsidRPr="00A17574">
        <w:rPr>
          <w:highlight w:val="yellow"/>
        </w:rPr>
        <w:t xml:space="preserve"> </w:t>
      </w:r>
      <w:r w:rsidR="008A29C0" w:rsidRPr="00A17574">
        <w:rPr>
          <w:highlight w:val="yellow"/>
        </w:rPr>
        <w:t xml:space="preserve">any </w:t>
      </w:r>
      <w:r w:rsidRPr="00A17574">
        <w:rPr>
          <w:highlight w:val="yellow"/>
        </w:rPr>
        <w:t xml:space="preserve">selection </w:t>
      </w:r>
      <w:r w:rsidR="008A29C0" w:rsidRPr="00A17574">
        <w:rPr>
          <w:highlight w:val="yellow"/>
        </w:rPr>
        <w:t xml:space="preserve">effects </w:t>
      </w:r>
      <w:r w:rsidRPr="00A17574">
        <w:rPr>
          <w:highlight w:val="yellow"/>
        </w:rPr>
        <w:t xml:space="preserve">and (2) a </w:t>
      </w:r>
      <w:r w:rsidR="00952975" w:rsidRPr="00A17574">
        <w:rPr>
          <w:highlight w:val="yellow"/>
        </w:rPr>
        <w:t>model t</w:t>
      </w:r>
      <w:r w:rsidR="000B6559" w:rsidRPr="00A17574">
        <w:rPr>
          <w:highlight w:val="yellow"/>
        </w:rPr>
        <w:t xml:space="preserve">hat uses </w:t>
      </w:r>
      <w:r w:rsidR="00746E45" w:rsidRPr="00A17574">
        <w:rPr>
          <w:highlight w:val="yellow"/>
        </w:rPr>
        <w:t xml:space="preserve">logistic regression for the first </w:t>
      </w:r>
      <w:r w:rsidR="00C503F6" w:rsidRPr="00A17574">
        <w:rPr>
          <w:highlight w:val="yellow"/>
        </w:rPr>
        <w:t>stage</w:t>
      </w:r>
      <w:r w:rsidR="00746E45" w:rsidRPr="00A17574">
        <w:rPr>
          <w:highlight w:val="yellow"/>
        </w:rPr>
        <w:t xml:space="preserve"> and </w:t>
      </w:r>
      <w:r w:rsidR="00C503F6" w:rsidRPr="00A17574">
        <w:rPr>
          <w:highlight w:val="yellow"/>
        </w:rPr>
        <w:t>OLS for the second stage.</w:t>
      </w:r>
    </w:p>
    <w:p w14:paraId="5F717B5C" w14:textId="644715C1" w:rsidR="00C76D50" w:rsidRPr="00A17574" w:rsidRDefault="00D654F4" w:rsidP="007E2EC2">
      <w:pPr>
        <w:rPr>
          <w:highlight w:val="yellow"/>
        </w:rPr>
      </w:pPr>
      <w:r w:rsidRPr="00A17574">
        <w:rPr>
          <w:highlight w:val="yellow"/>
        </w:rPr>
        <w:t xml:space="preserve">Simulation 1: </w:t>
      </w:r>
      <w:r w:rsidR="004F52DA" w:rsidRPr="00A17574">
        <w:rPr>
          <w:highlight w:val="yellow"/>
        </w:rPr>
        <w:t xml:space="preserve">100 observations, repeat 500 times. Report </w:t>
      </w:r>
      <w:r w:rsidR="00056BA8" w:rsidRPr="00A17574">
        <w:rPr>
          <w:highlight w:val="yellow"/>
        </w:rPr>
        <w:t xml:space="preserve">bias and </w:t>
      </w:r>
      <w:r w:rsidR="00784B17" w:rsidRPr="00A17574">
        <w:rPr>
          <w:highlight w:val="yellow"/>
        </w:rPr>
        <w:t>variance of all three estimators.</w:t>
      </w:r>
    </w:p>
    <w:p w14:paraId="125BDD3B" w14:textId="3E514980" w:rsidR="00784B17" w:rsidRPr="00A17574" w:rsidRDefault="00784B17" w:rsidP="007E2EC2">
      <w:pPr>
        <w:rPr>
          <w:highlight w:val="yellow"/>
        </w:rPr>
      </w:pPr>
      <w:r w:rsidRPr="00A17574">
        <w:rPr>
          <w:highlight w:val="yellow"/>
        </w:rPr>
        <w:t>Simulation 2: Small sample properties. 20 observations Repeat 500 times. Report bias and variance of all three estimators.</w:t>
      </w:r>
    </w:p>
    <w:p w14:paraId="1E92D50E" w14:textId="5CB89ACB" w:rsidR="00784B17" w:rsidRPr="00A17574" w:rsidRDefault="00784B17" w:rsidP="007E2EC2">
      <w:pPr>
        <w:rPr>
          <w:highlight w:val="yellow"/>
        </w:rPr>
      </w:pPr>
      <w:r w:rsidRPr="00A17574">
        <w:rPr>
          <w:highlight w:val="yellow"/>
        </w:rPr>
        <w:t xml:space="preserve">Simulation 3: </w:t>
      </w:r>
      <w:r w:rsidR="006C7A78" w:rsidRPr="00A17574">
        <w:rPr>
          <w:highlight w:val="yellow"/>
        </w:rPr>
        <w:t>Ill-conditioned data. 100 observations</w:t>
      </w:r>
      <w:r w:rsidR="00DF3047" w:rsidRPr="00A17574">
        <w:rPr>
          <w:highlight w:val="yellow"/>
        </w:rPr>
        <w:t xml:space="preserve">, repeat 500 times. </w:t>
      </w:r>
      <w:r w:rsidR="007F6602" w:rsidRPr="00A17574">
        <w:rPr>
          <w:highlight w:val="yellow"/>
        </w:rPr>
        <w:t>The design</w:t>
      </w:r>
      <w:r w:rsidR="00DF3047" w:rsidRPr="00A17574">
        <w:rPr>
          <w:highlight w:val="yellow"/>
        </w:rPr>
        <w:t xml:space="preserve"> matrix is </w:t>
      </w:r>
      <w:r w:rsidR="006F4A8C" w:rsidRPr="00A17574">
        <w:rPr>
          <w:highlight w:val="yellow"/>
        </w:rPr>
        <w:t>highly collinear/</w:t>
      </w:r>
      <w:r w:rsidR="00EC5F6C" w:rsidRPr="00A17574">
        <w:rPr>
          <w:highlight w:val="yellow"/>
        </w:rPr>
        <w:t>ill-conditioned. Report bias and variance of all three estimators.</w:t>
      </w:r>
    </w:p>
    <w:p w14:paraId="407C64DF" w14:textId="6805C37F" w:rsidR="00EC5F6C" w:rsidRPr="00A17574" w:rsidRDefault="00EC5F6C" w:rsidP="007E2EC2">
      <w:pPr>
        <w:rPr>
          <w:highlight w:val="yellow"/>
        </w:rPr>
      </w:pPr>
      <w:r w:rsidRPr="00A17574">
        <w:rPr>
          <w:highlight w:val="yellow"/>
        </w:rPr>
        <w:t xml:space="preserve">Simulation 4: </w:t>
      </w:r>
      <w:r w:rsidR="007F6602" w:rsidRPr="00A17574">
        <w:rPr>
          <w:highlight w:val="yellow"/>
        </w:rPr>
        <w:t>Non-normal errors. 100 observations, repeat 500 times. Use Cauchy or Laplace errors. Report bias and variance of all three estimators.</w:t>
      </w:r>
    </w:p>
    <w:p w14:paraId="5687D1B8" w14:textId="77777777" w:rsidR="007F6602" w:rsidRPr="00A17574" w:rsidRDefault="007F6602" w:rsidP="007E2EC2">
      <w:pPr>
        <w:rPr>
          <w:highlight w:val="yellow"/>
        </w:rPr>
      </w:pPr>
    </w:p>
    <w:p w14:paraId="20D39D76" w14:textId="4BE4357C" w:rsidR="007F6602" w:rsidRPr="00A17574" w:rsidRDefault="007F6602" w:rsidP="007E2EC2">
      <w:pPr>
        <w:rPr>
          <w:highlight w:val="yellow"/>
        </w:rPr>
      </w:pPr>
      <w:r w:rsidRPr="00A17574">
        <w:rPr>
          <w:highlight w:val="yellow"/>
        </w:rPr>
        <w:t>Real World Data</w:t>
      </w:r>
    </w:p>
    <w:p w14:paraId="3F80E381" w14:textId="0555A8C4" w:rsidR="007F6602" w:rsidRPr="009F7BD0" w:rsidRDefault="007F6602" w:rsidP="007E2EC2">
      <w:r w:rsidRPr="00A17574">
        <w:rPr>
          <w:highlight w:val="yellow"/>
        </w:rPr>
        <w:t xml:space="preserve">LaLonde’s study </w:t>
      </w:r>
      <w:r w:rsidR="00F52F86" w:rsidRPr="00A17574">
        <w:rPr>
          <w:highlight w:val="yellow"/>
        </w:rPr>
        <w:t xml:space="preserve">National Supported Work (NSW) demonstration and </w:t>
      </w:r>
      <w:r w:rsidR="00A74762" w:rsidRPr="00A17574">
        <w:rPr>
          <w:highlight w:val="yellow"/>
        </w:rPr>
        <w:t xml:space="preserve">follow-up 1999 study </w:t>
      </w:r>
      <w:r w:rsidR="00DB48D9" w:rsidRPr="00A17574">
        <w:rPr>
          <w:highlight w:val="yellow"/>
        </w:rPr>
        <w:t xml:space="preserve">by </w:t>
      </w:r>
      <w:r w:rsidR="00DB4B46" w:rsidRPr="00A17574">
        <w:rPr>
          <w:highlight w:val="yellow"/>
        </w:rPr>
        <w:t>Dehejia-</w:t>
      </w:r>
      <w:proofErr w:type="spellStart"/>
      <w:r w:rsidR="00DB4B46" w:rsidRPr="00A17574">
        <w:rPr>
          <w:highlight w:val="yellow"/>
        </w:rPr>
        <w:t>Wahha</w:t>
      </w:r>
      <w:proofErr w:type="spellEnd"/>
      <w:r w:rsidR="00DB4B46" w:rsidRPr="00A17574">
        <w:rPr>
          <w:highlight w:val="yellow"/>
        </w:rPr>
        <w:t xml:space="preserve">. </w:t>
      </w:r>
      <w:r w:rsidR="003E4F9B" w:rsidRPr="00A17574">
        <w:rPr>
          <w:highlight w:val="yellow"/>
        </w:rPr>
        <w:t xml:space="preserve">The NSW program </w:t>
      </w:r>
      <w:r w:rsidR="00981E74" w:rsidRPr="00A17574">
        <w:rPr>
          <w:highlight w:val="yellow"/>
        </w:rPr>
        <w:t>was an RCT type</w:t>
      </w:r>
      <w:r w:rsidR="00613E8E" w:rsidRPr="00A17574">
        <w:rPr>
          <w:highlight w:val="yellow"/>
        </w:rPr>
        <w:t xml:space="preserve"> program</w:t>
      </w:r>
      <w:r w:rsidR="00981E74" w:rsidRPr="00A17574">
        <w:rPr>
          <w:highlight w:val="yellow"/>
        </w:rPr>
        <w:t>, so the “ground truth” of the effect of the program is known</w:t>
      </w:r>
      <w:r w:rsidR="00BA5514" w:rsidRPr="00A17574">
        <w:rPr>
          <w:highlight w:val="yellow"/>
        </w:rPr>
        <w:t xml:space="preserve"> (by looking at the difference in outcome variable </w:t>
      </w:r>
      <w:r w:rsidR="006E0DE8" w:rsidRPr="00A17574">
        <w:rPr>
          <w:highlight w:val="yellow"/>
        </w:rPr>
        <w:t xml:space="preserve">between control and treatment </w:t>
      </w:r>
      <w:r w:rsidR="000E51C7" w:rsidRPr="00A17574">
        <w:rPr>
          <w:highlight w:val="yellow"/>
        </w:rPr>
        <w:t>groups)</w:t>
      </w:r>
      <w:r w:rsidR="00981E74" w:rsidRPr="00A17574">
        <w:rPr>
          <w:highlight w:val="yellow"/>
        </w:rPr>
        <w:t>.</w:t>
      </w:r>
      <w:r w:rsidR="000E51C7" w:rsidRPr="00A17574">
        <w:rPr>
          <w:highlight w:val="yellow"/>
        </w:rPr>
        <w:t xml:space="preserve"> LaLonde </w:t>
      </w:r>
      <w:r w:rsidR="00BF5892" w:rsidRPr="00A17574">
        <w:rPr>
          <w:highlight w:val="yellow"/>
        </w:rPr>
        <w:t>created artificial</w:t>
      </w:r>
      <w:r w:rsidR="000365A0" w:rsidRPr="00A17574">
        <w:rPr>
          <w:highlight w:val="yellow"/>
        </w:rPr>
        <w:t xml:space="preserve"> control </w:t>
      </w:r>
      <w:r w:rsidR="00EB0720" w:rsidRPr="00A17574">
        <w:rPr>
          <w:highlight w:val="yellow"/>
        </w:rPr>
        <w:t xml:space="preserve">groups </w:t>
      </w:r>
      <w:r w:rsidR="001D58AF" w:rsidRPr="00A17574">
        <w:rPr>
          <w:highlight w:val="yellow"/>
        </w:rPr>
        <w:t xml:space="preserve">from the Panel Study of Income Dynamics (PSID) or </w:t>
      </w:r>
      <w:proofErr w:type="spellStart"/>
      <w:r w:rsidR="00CA3CE1" w:rsidRPr="00A17574">
        <w:rPr>
          <w:highlight w:val="yellow"/>
        </w:rPr>
        <w:t>Westat</w:t>
      </w:r>
      <w:proofErr w:type="spellEnd"/>
      <w:r w:rsidR="00CA3CE1" w:rsidRPr="00A17574">
        <w:rPr>
          <w:highlight w:val="yellow"/>
        </w:rPr>
        <w:t xml:space="preserve"> Matched Current Population Survey</w:t>
      </w:r>
      <w:r w:rsidR="000365A0" w:rsidRPr="00A17574">
        <w:rPr>
          <w:highlight w:val="yellow"/>
        </w:rPr>
        <w:t xml:space="preserve"> to replace the control group </w:t>
      </w:r>
      <w:r w:rsidR="00B95905" w:rsidRPr="00A17574">
        <w:rPr>
          <w:highlight w:val="yellow"/>
        </w:rPr>
        <w:t>from</w:t>
      </w:r>
      <w:r w:rsidR="000365A0" w:rsidRPr="00A17574">
        <w:rPr>
          <w:highlight w:val="yellow"/>
        </w:rPr>
        <w:t xml:space="preserve"> the study. He </w:t>
      </w:r>
      <w:r w:rsidR="00DF7D6E" w:rsidRPr="00A17574">
        <w:rPr>
          <w:highlight w:val="yellow"/>
        </w:rPr>
        <w:t xml:space="preserve">looked at how various estimators </w:t>
      </w:r>
      <w:r w:rsidR="00481059" w:rsidRPr="00A17574">
        <w:rPr>
          <w:highlight w:val="yellow"/>
        </w:rPr>
        <w:t>(</w:t>
      </w:r>
      <w:r w:rsidR="00481088" w:rsidRPr="00A17574">
        <w:rPr>
          <w:highlight w:val="yellow"/>
        </w:rPr>
        <w:t xml:space="preserve">e.g. </w:t>
      </w:r>
      <w:r w:rsidR="00B95905" w:rsidRPr="00A17574">
        <w:rPr>
          <w:highlight w:val="yellow"/>
        </w:rPr>
        <w:t xml:space="preserve">simple </w:t>
      </w:r>
      <w:r w:rsidR="00481088" w:rsidRPr="00A17574">
        <w:rPr>
          <w:highlight w:val="yellow"/>
        </w:rPr>
        <w:t xml:space="preserve">difference </w:t>
      </w:r>
      <w:r w:rsidR="009D704C" w:rsidRPr="00A17574">
        <w:rPr>
          <w:highlight w:val="yellow"/>
        </w:rPr>
        <w:t xml:space="preserve">in </w:t>
      </w:r>
      <w:r w:rsidR="007A22A1" w:rsidRPr="00A17574">
        <w:rPr>
          <w:highlight w:val="yellow"/>
        </w:rPr>
        <w:t>post-treatment period outcome</w:t>
      </w:r>
      <w:r w:rsidR="00B95905" w:rsidRPr="00A17574">
        <w:rPr>
          <w:highlight w:val="yellow"/>
        </w:rPr>
        <w:t xml:space="preserve"> for </w:t>
      </w:r>
      <w:r w:rsidR="00456EF4" w:rsidRPr="00A17574">
        <w:rPr>
          <w:highlight w:val="yellow"/>
        </w:rPr>
        <w:t xml:space="preserve">treatment and artificial control group, </w:t>
      </w:r>
      <w:r w:rsidR="0090734E" w:rsidRPr="00A17574">
        <w:rPr>
          <w:highlight w:val="yellow"/>
        </w:rPr>
        <w:t xml:space="preserve">difference with controls for demographic characteristics, </w:t>
      </w:r>
      <w:r w:rsidR="00456EF4" w:rsidRPr="00A17574">
        <w:rPr>
          <w:highlight w:val="yellow"/>
        </w:rPr>
        <w:t>difference-in-differences, Heckman correction)</w:t>
      </w:r>
      <w:r w:rsidR="00EF2182" w:rsidRPr="00A17574">
        <w:rPr>
          <w:highlight w:val="yellow"/>
        </w:rPr>
        <w:t xml:space="preserve"> performed</w:t>
      </w:r>
      <w:r w:rsidR="001D15B3" w:rsidRPr="00A17574">
        <w:rPr>
          <w:highlight w:val="yellow"/>
        </w:rPr>
        <w:t>.</w:t>
      </w:r>
      <w:r w:rsidR="002365B6" w:rsidRPr="00A17574">
        <w:rPr>
          <w:highlight w:val="yellow"/>
        </w:rPr>
        <w:t xml:space="preserve"> He found t</w:t>
      </w:r>
      <w:r w:rsidR="001D15B3" w:rsidRPr="00A17574">
        <w:rPr>
          <w:highlight w:val="yellow"/>
        </w:rPr>
        <w:t xml:space="preserve">hat no </w:t>
      </w:r>
      <w:r w:rsidR="00466E19" w:rsidRPr="00A17574">
        <w:rPr>
          <w:highlight w:val="yellow"/>
        </w:rPr>
        <w:t xml:space="preserve">estimator performed well </w:t>
      </w:r>
      <w:r w:rsidR="002401BF" w:rsidRPr="00A17574">
        <w:rPr>
          <w:highlight w:val="yellow"/>
        </w:rPr>
        <w:t>consistently.</w:t>
      </w:r>
      <w:r w:rsidR="006A2E7C" w:rsidRPr="00A17574">
        <w:rPr>
          <w:highlight w:val="yellow"/>
        </w:rPr>
        <w:t xml:space="preserve"> Dehejia-</w:t>
      </w:r>
      <w:proofErr w:type="spellStart"/>
      <w:r w:rsidR="006A2E7C" w:rsidRPr="00A17574">
        <w:rPr>
          <w:highlight w:val="yellow"/>
        </w:rPr>
        <w:t>Wahha</w:t>
      </w:r>
      <w:proofErr w:type="spellEnd"/>
      <w:r w:rsidR="006A2E7C" w:rsidRPr="00A17574">
        <w:rPr>
          <w:highlight w:val="yellow"/>
        </w:rPr>
        <w:t xml:space="preserve"> revisit this</w:t>
      </w:r>
      <w:r w:rsidR="00C8086F" w:rsidRPr="00A17574">
        <w:rPr>
          <w:highlight w:val="yellow"/>
        </w:rPr>
        <w:t>, looking at a subset of LaLonde</w:t>
      </w:r>
      <w:r w:rsidR="00EE4B1C" w:rsidRPr="00A17574">
        <w:rPr>
          <w:highlight w:val="yellow"/>
        </w:rPr>
        <w:t xml:space="preserve">’s data for which </w:t>
      </w:r>
      <w:r w:rsidR="00E43F8F" w:rsidRPr="00A17574">
        <w:rPr>
          <w:highlight w:val="yellow"/>
        </w:rPr>
        <w:t xml:space="preserve">the pre-treatment outcome variable was available for </w:t>
      </w:r>
      <w:r w:rsidR="00150B9C" w:rsidRPr="00A17574">
        <w:rPr>
          <w:highlight w:val="yellow"/>
        </w:rPr>
        <w:t>2 periods prior to the start of the program.</w:t>
      </w:r>
      <w:r w:rsidR="00D97E99" w:rsidRPr="00A17574">
        <w:rPr>
          <w:highlight w:val="yellow"/>
        </w:rPr>
        <w:t xml:space="preserve"> They </w:t>
      </w:r>
      <w:r w:rsidR="00DD78AA" w:rsidRPr="00A17574">
        <w:rPr>
          <w:highlight w:val="yellow"/>
        </w:rPr>
        <w:t xml:space="preserve">also implemented new </w:t>
      </w:r>
      <w:r w:rsidR="00BC102E" w:rsidRPr="00A17574">
        <w:rPr>
          <w:highlight w:val="yellow"/>
        </w:rPr>
        <w:t xml:space="preserve">(propensity score matching) estimators </w:t>
      </w:r>
      <w:r w:rsidR="00747A7F" w:rsidRPr="00A17574">
        <w:rPr>
          <w:highlight w:val="yellow"/>
        </w:rPr>
        <w:t xml:space="preserve">that </w:t>
      </w:r>
      <w:r w:rsidR="00C91793" w:rsidRPr="00A17574">
        <w:rPr>
          <w:highlight w:val="yellow"/>
        </w:rPr>
        <w:t xml:space="preserve">seem to perform well. Since this is a well-known dataset (readily available in multiple software packages) and </w:t>
      </w:r>
      <w:r w:rsidR="00A17574" w:rsidRPr="00A17574">
        <w:rPr>
          <w:highlight w:val="yellow"/>
        </w:rPr>
        <w:t>what the result should be is known, it would be a good test of how the method performs.</w:t>
      </w:r>
      <w:commentRangeEnd w:id="46"/>
      <w:r w:rsidR="00A17574">
        <w:rPr>
          <w:rStyle w:val="CommentReference"/>
        </w:rPr>
        <w:commentReference w:id="46"/>
      </w:r>
    </w:p>
    <w:sectPr w:rsidR="007F6602" w:rsidRPr="009F7BD0" w:rsidSect="00C07EA6">
      <w:pgSz w:w="12226"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rnob Alam" w:date="2024-11-03T15:39:00Z" w:initials="AA">
    <w:p w14:paraId="2813EA54" w14:textId="77777777" w:rsidR="000D4DB9" w:rsidRDefault="000D4DB9" w:rsidP="000D4DB9">
      <w:pPr>
        <w:jc w:val="left"/>
      </w:pPr>
      <w:r>
        <w:rPr>
          <w:rStyle w:val="CommentReference"/>
        </w:rPr>
        <w:annotationRef/>
      </w:r>
      <w:r>
        <w:rPr>
          <w:color w:val="000000"/>
        </w:rPr>
        <w:t>Additional paragraphs detailing the impact of various US regulations.</w:t>
      </w:r>
    </w:p>
  </w:comment>
  <w:comment w:id="10" w:author="Arnob Alam" w:date="2024-11-03T16:05:00Z" w:initials="AA">
    <w:p w14:paraId="538AF865" w14:textId="77777777" w:rsidR="00A50363" w:rsidRDefault="00A50363" w:rsidP="00A50363">
      <w:pPr>
        <w:jc w:val="left"/>
      </w:pPr>
      <w:r>
        <w:rPr>
          <w:rStyle w:val="CommentReference"/>
        </w:rPr>
        <w:annotationRef/>
      </w:r>
      <w:r>
        <w:rPr>
          <w:color w:val="000000"/>
        </w:rPr>
        <w:t>New discussion about how Biais’ model is simplified.</w:t>
      </w:r>
    </w:p>
  </w:comment>
  <w:comment w:id="12" w:author="Arnob Alam" w:date="2025-01-14T22:01:00Z" w:initials="AA">
    <w:p w14:paraId="54645D0C" w14:textId="77777777" w:rsidR="00FD2267" w:rsidRDefault="00FD2267" w:rsidP="00FD2267">
      <w:pPr>
        <w:pStyle w:val="CommentText"/>
        <w:ind w:firstLine="0"/>
        <w:jc w:val="left"/>
      </w:pPr>
      <w:r>
        <w:rPr>
          <w:rStyle w:val="CommentReference"/>
        </w:rPr>
        <w:annotationRef/>
      </w:r>
      <w:r>
        <w:t>Moved out of appendix</w:t>
      </w:r>
    </w:p>
  </w:comment>
  <w:comment w:id="14" w:author="Arnob Alam" w:date="2024-11-03T16:06:00Z" w:initials="AA">
    <w:p w14:paraId="44A1FF8E" w14:textId="6D640C48" w:rsidR="00A50363" w:rsidRDefault="00A50363" w:rsidP="00A50363">
      <w:pPr>
        <w:jc w:val="left"/>
      </w:pPr>
      <w:r>
        <w:rPr>
          <w:rStyle w:val="CommentReference"/>
        </w:rPr>
        <w:annotationRef/>
      </w:r>
      <w:r>
        <w:rPr>
          <w:color w:val="000000"/>
        </w:rPr>
        <w:t>New discussion regarding identification.</w:t>
      </w:r>
    </w:p>
  </w:comment>
  <w:comment w:id="15" w:author="Arnob Alam" w:date="2024-11-30T16:56:00Z" w:initials="AA">
    <w:p w14:paraId="12B8DC82" w14:textId="77777777" w:rsidR="00964440" w:rsidRDefault="00964440" w:rsidP="00964440">
      <w:pPr>
        <w:jc w:val="left"/>
      </w:pPr>
      <w:r>
        <w:rPr>
          <w:rStyle w:val="CommentReference"/>
        </w:rPr>
        <w:annotationRef/>
      </w:r>
      <w:r>
        <w:rPr>
          <w:color w:val="000000"/>
        </w:rPr>
        <w:t>More details on controls</w:t>
      </w:r>
    </w:p>
  </w:comment>
  <w:comment w:id="16" w:author="Arnob Alam" w:date="2025-01-14T19:59:00Z" w:initials="AA">
    <w:p w14:paraId="2B3FD4FD" w14:textId="77777777" w:rsidR="00EC36AC" w:rsidRDefault="00EC36AC" w:rsidP="00EC36AC">
      <w:pPr>
        <w:pStyle w:val="CommentText"/>
        <w:ind w:firstLine="0"/>
        <w:jc w:val="left"/>
      </w:pPr>
      <w:r>
        <w:rPr>
          <w:rStyle w:val="CommentReference"/>
        </w:rPr>
        <w:annotationRef/>
      </w:r>
      <w:r>
        <w:t>New analysis</w:t>
      </w:r>
    </w:p>
  </w:comment>
  <w:comment w:id="22" w:author="Arnob Alam" w:date="2025-01-14T21:24:00Z" w:initials="AA">
    <w:p w14:paraId="67C68543" w14:textId="77777777" w:rsidR="00EC20E0" w:rsidRDefault="00EC20E0" w:rsidP="00EC20E0">
      <w:pPr>
        <w:pStyle w:val="CommentText"/>
        <w:ind w:firstLine="0"/>
        <w:jc w:val="left"/>
      </w:pPr>
      <w:r>
        <w:rPr>
          <w:rStyle w:val="CommentReference"/>
        </w:rPr>
        <w:annotationRef/>
      </w:r>
      <w:r>
        <w:t>Updated figures</w:t>
      </w:r>
    </w:p>
  </w:comment>
  <w:comment w:id="24" w:author="Arnob Alam" w:date="2025-01-14T21:24:00Z" w:initials="AA">
    <w:p w14:paraId="0DC4BF3D" w14:textId="77777777" w:rsidR="00EC20E0" w:rsidRDefault="00EC20E0" w:rsidP="00EC20E0">
      <w:pPr>
        <w:pStyle w:val="CommentText"/>
        <w:ind w:firstLine="0"/>
        <w:jc w:val="left"/>
      </w:pPr>
      <w:r>
        <w:rPr>
          <w:rStyle w:val="CommentReference"/>
        </w:rPr>
        <w:annotationRef/>
      </w:r>
      <w:r>
        <w:t>Updated figures</w:t>
      </w:r>
    </w:p>
  </w:comment>
  <w:comment w:id="27" w:author="Arnob Alam" w:date="2025-01-18T16:53:00Z" w:initials="AA">
    <w:p w14:paraId="3C4771FE" w14:textId="77777777" w:rsidR="007D258F" w:rsidRDefault="007D258F" w:rsidP="007D258F">
      <w:pPr>
        <w:jc w:val="left"/>
      </w:pPr>
      <w:r>
        <w:rPr>
          <w:rStyle w:val="CommentReference"/>
        </w:rPr>
        <w:annotationRef/>
      </w:r>
      <w:r>
        <w:rPr>
          <w:color w:val="000000"/>
        </w:rPr>
        <w:t>Slightly edited for better flow.</w:t>
      </w:r>
    </w:p>
  </w:comment>
  <w:comment w:id="28" w:author="Arnob Alam" w:date="2025-01-18T17:07:00Z" w:initials="AA">
    <w:p w14:paraId="0DFF3AB3" w14:textId="77777777" w:rsidR="0083247D" w:rsidRDefault="0083247D" w:rsidP="0083247D">
      <w:pPr>
        <w:jc w:val="left"/>
      </w:pPr>
      <w:r>
        <w:rPr>
          <w:rStyle w:val="CommentReference"/>
        </w:rPr>
        <w:annotationRef/>
      </w:r>
      <w:r>
        <w:rPr>
          <w:color w:val="000000"/>
        </w:rPr>
        <w:t>Revised with more background on voluntary clearing.</w:t>
      </w:r>
    </w:p>
  </w:comment>
  <w:comment w:id="33" w:author="Arnob Alam" w:date="2025-01-18T18:14:00Z" w:initials="AA">
    <w:p w14:paraId="49D2B5B0" w14:textId="77777777" w:rsidR="00A047F1" w:rsidRDefault="00A047F1" w:rsidP="00A047F1">
      <w:pPr>
        <w:jc w:val="left"/>
      </w:pPr>
      <w:r>
        <w:rPr>
          <w:rStyle w:val="CommentReference"/>
        </w:rPr>
        <w:annotationRef/>
      </w:r>
      <w:r>
        <w:rPr>
          <w:color w:val="000000"/>
        </w:rPr>
        <w:t>Revised</w:t>
      </w:r>
    </w:p>
  </w:comment>
  <w:comment w:id="45" w:author="Arnob Alam" w:date="2025-01-14T21:28:00Z" w:initials="AA">
    <w:p w14:paraId="60856FB7" w14:textId="1B9BEFD9" w:rsidR="00C43B6C" w:rsidRDefault="00C43B6C" w:rsidP="00C43B6C">
      <w:pPr>
        <w:pStyle w:val="CommentText"/>
        <w:ind w:firstLine="0"/>
        <w:jc w:val="left"/>
      </w:pPr>
      <w:r>
        <w:rPr>
          <w:rStyle w:val="CommentReference"/>
        </w:rPr>
        <w:annotationRef/>
      </w:r>
      <w:r>
        <w:t>New content starts here</w:t>
      </w:r>
    </w:p>
  </w:comment>
  <w:comment w:id="46" w:author="Arnob Alam" w:date="2025-01-14T21:49:00Z" w:initials="AA">
    <w:p w14:paraId="5E7699E5" w14:textId="77777777" w:rsidR="00A17574" w:rsidRDefault="00A17574" w:rsidP="00A17574">
      <w:pPr>
        <w:pStyle w:val="CommentText"/>
        <w:ind w:firstLine="0"/>
        <w:jc w:val="left"/>
      </w:pPr>
      <w:r>
        <w:rPr>
          <w:rStyle w:val="CommentReference"/>
        </w:rPr>
        <w:annotationRef/>
      </w:r>
      <w:r>
        <w:t>Work pending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813EA54" w15:done="0"/>
  <w15:commentEx w15:paraId="538AF865" w15:done="0"/>
  <w15:commentEx w15:paraId="54645D0C" w15:done="0"/>
  <w15:commentEx w15:paraId="44A1FF8E" w15:done="0"/>
  <w15:commentEx w15:paraId="12B8DC82" w15:done="0"/>
  <w15:commentEx w15:paraId="2B3FD4FD" w15:done="0"/>
  <w15:commentEx w15:paraId="67C68543" w15:done="0"/>
  <w15:commentEx w15:paraId="0DC4BF3D" w15:done="0"/>
  <w15:commentEx w15:paraId="3C4771FE" w15:done="0"/>
  <w15:commentEx w15:paraId="0DFF3AB3" w15:done="0"/>
  <w15:commentEx w15:paraId="49D2B5B0" w15:done="0"/>
  <w15:commentEx w15:paraId="60856FB7" w15:done="0"/>
  <w15:commentEx w15:paraId="5E7699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6D8D6F" w16cex:dateUtc="2024-11-03T09:54:00Z"/>
  <w16cex:commentExtensible w16cex:durableId="2FECD393" w16cex:dateUtc="2024-11-03T10:20:00Z"/>
  <w16cex:commentExtensible w16cex:durableId="7705602B" w16cex:dateUtc="2025-01-15T03:01:00Z"/>
  <w16cex:commentExtensible w16cex:durableId="45B53CA4" w16cex:dateUtc="2024-11-03T10:21:00Z"/>
  <w16cex:commentExtensible w16cex:durableId="051BBB4F" w16cex:dateUtc="2024-11-30T21:56:00Z"/>
  <w16cex:commentExtensible w16cex:durableId="02B5490C" w16cex:dateUtc="2025-01-15T00:59:00Z"/>
  <w16cex:commentExtensible w16cex:durableId="35146DBF" w16cex:dateUtc="2025-01-15T02:24:00Z"/>
  <w16cex:commentExtensible w16cex:durableId="64B70E33" w16cex:dateUtc="2025-01-15T02:24:00Z"/>
  <w16cex:commentExtensible w16cex:durableId="7494F902" w16cex:dateUtc="2025-01-18T21:53:00Z"/>
  <w16cex:commentExtensible w16cex:durableId="193D55CE" w16cex:dateUtc="2025-01-18T22:07:00Z"/>
  <w16cex:commentExtensible w16cex:durableId="2771DA54" w16cex:dateUtc="2025-01-18T23:14:00Z"/>
  <w16cex:commentExtensible w16cex:durableId="6D6EA64C" w16cex:dateUtc="2025-01-15T02:28:00Z"/>
  <w16cex:commentExtensible w16cex:durableId="4A3A2941" w16cex:dateUtc="2025-01-15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813EA54" w16cid:durableId="376D8D6F"/>
  <w16cid:commentId w16cid:paraId="538AF865" w16cid:durableId="2FECD393"/>
  <w16cid:commentId w16cid:paraId="54645D0C" w16cid:durableId="7705602B"/>
  <w16cid:commentId w16cid:paraId="44A1FF8E" w16cid:durableId="45B53CA4"/>
  <w16cid:commentId w16cid:paraId="12B8DC82" w16cid:durableId="051BBB4F"/>
  <w16cid:commentId w16cid:paraId="2B3FD4FD" w16cid:durableId="02B5490C"/>
  <w16cid:commentId w16cid:paraId="67C68543" w16cid:durableId="35146DBF"/>
  <w16cid:commentId w16cid:paraId="0DC4BF3D" w16cid:durableId="64B70E33"/>
  <w16cid:commentId w16cid:paraId="3C4771FE" w16cid:durableId="7494F902"/>
  <w16cid:commentId w16cid:paraId="0DFF3AB3" w16cid:durableId="193D55CE"/>
  <w16cid:commentId w16cid:paraId="49D2B5B0" w16cid:durableId="2771DA54"/>
  <w16cid:commentId w16cid:paraId="60856FB7" w16cid:durableId="6D6EA64C"/>
  <w16cid:commentId w16cid:paraId="5E7699E5" w16cid:durableId="4A3A2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7CA07" w14:textId="77777777" w:rsidR="008E5E74" w:rsidRDefault="008E5E74" w:rsidP="00916B59">
      <w:pPr>
        <w:spacing w:line="240" w:lineRule="auto"/>
      </w:pPr>
      <w:r>
        <w:separator/>
      </w:r>
    </w:p>
  </w:endnote>
  <w:endnote w:type="continuationSeparator" w:id="0">
    <w:p w14:paraId="04387EB0" w14:textId="77777777" w:rsidR="008E5E74" w:rsidRDefault="008E5E74" w:rsidP="00916B59">
      <w:pPr>
        <w:spacing w:line="240" w:lineRule="auto"/>
      </w:pPr>
      <w:r>
        <w:continuationSeparator/>
      </w:r>
    </w:p>
  </w:endnote>
  <w:endnote w:type="continuationNotice" w:id="1">
    <w:p w14:paraId="4E89D1C5" w14:textId="77777777" w:rsidR="008E5E74" w:rsidRDefault="008E5E7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A43F68" w14:textId="77777777" w:rsidR="008E5E74" w:rsidRDefault="008E5E74" w:rsidP="00916B59">
      <w:pPr>
        <w:spacing w:line="240" w:lineRule="auto"/>
      </w:pPr>
      <w:r>
        <w:separator/>
      </w:r>
    </w:p>
  </w:footnote>
  <w:footnote w:type="continuationSeparator" w:id="0">
    <w:p w14:paraId="20B8B4ED" w14:textId="77777777" w:rsidR="008E5E74" w:rsidRDefault="008E5E74" w:rsidP="00916B59">
      <w:pPr>
        <w:spacing w:line="240" w:lineRule="auto"/>
      </w:pPr>
      <w:r>
        <w:continuationSeparator/>
      </w:r>
    </w:p>
  </w:footnote>
  <w:footnote w:type="continuationNotice" w:id="1">
    <w:p w14:paraId="7D894A45" w14:textId="77777777" w:rsidR="008E5E74" w:rsidRDefault="008E5E74">
      <w:pPr>
        <w:spacing w:line="240" w:lineRule="auto"/>
      </w:pPr>
    </w:p>
  </w:footnote>
  <w:footnote w:id="2">
    <w:p w14:paraId="2A434BB3" w14:textId="77777777" w:rsidR="00172624" w:rsidRDefault="00172624" w:rsidP="00172624">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87511"/>
    <w:multiLevelType w:val="hybridMultilevel"/>
    <w:tmpl w:val="8836F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8"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5"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3"/>
  </w:num>
  <w:num w:numId="2" w16cid:durableId="1322077080">
    <w:abstractNumId w:val="12"/>
  </w:num>
  <w:num w:numId="3" w16cid:durableId="1060834225">
    <w:abstractNumId w:val="2"/>
  </w:num>
  <w:num w:numId="4" w16cid:durableId="1677343865">
    <w:abstractNumId w:val="6"/>
  </w:num>
  <w:num w:numId="5" w16cid:durableId="2085032138">
    <w:abstractNumId w:val="9"/>
  </w:num>
  <w:num w:numId="6" w16cid:durableId="2079209417">
    <w:abstractNumId w:val="8"/>
  </w:num>
  <w:num w:numId="7" w16cid:durableId="1911109467">
    <w:abstractNumId w:val="15"/>
  </w:num>
  <w:num w:numId="8" w16cid:durableId="832453860">
    <w:abstractNumId w:val="5"/>
  </w:num>
  <w:num w:numId="9" w16cid:durableId="720860017">
    <w:abstractNumId w:val="11"/>
  </w:num>
  <w:num w:numId="10" w16cid:durableId="32773518">
    <w:abstractNumId w:val="7"/>
  </w:num>
  <w:num w:numId="11" w16cid:durableId="1427723544">
    <w:abstractNumId w:val="4"/>
  </w:num>
  <w:num w:numId="12" w16cid:durableId="1863207758">
    <w:abstractNumId w:val="13"/>
  </w:num>
  <w:num w:numId="13" w16cid:durableId="384452397">
    <w:abstractNumId w:val="14"/>
  </w:num>
  <w:num w:numId="14" w16cid:durableId="1627658375">
    <w:abstractNumId w:val="1"/>
  </w:num>
  <w:num w:numId="15" w16cid:durableId="828256289">
    <w:abstractNumId w:val="0"/>
  </w:num>
  <w:num w:numId="16" w16cid:durableId="1313214853">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nob Alam">
    <w15:presenceInfo w15:providerId="Windows Live" w15:userId="14f59b4f5920e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54B4"/>
    <w:rsid w:val="0000551C"/>
    <w:rsid w:val="00022DE8"/>
    <w:rsid w:val="000238D2"/>
    <w:rsid w:val="00034D08"/>
    <w:rsid w:val="000365A0"/>
    <w:rsid w:val="00036F9C"/>
    <w:rsid w:val="000410D0"/>
    <w:rsid w:val="00056BA8"/>
    <w:rsid w:val="00057C26"/>
    <w:rsid w:val="000623F9"/>
    <w:rsid w:val="00062B19"/>
    <w:rsid w:val="0006327F"/>
    <w:rsid w:val="000649B7"/>
    <w:rsid w:val="00073B00"/>
    <w:rsid w:val="00075277"/>
    <w:rsid w:val="00076D05"/>
    <w:rsid w:val="000811B5"/>
    <w:rsid w:val="000817B0"/>
    <w:rsid w:val="000831E5"/>
    <w:rsid w:val="00090999"/>
    <w:rsid w:val="000930EC"/>
    <w:rsid w:val="000A0237"/>
    <w:rsid w:val="000B06C9"/>
    <w:rsid w:val="000B1C59"/>
    <w:rsid w:val="000B62EF"/>
    <w:rsid w:val="000B6559"/>
    <w:rsid w:val="000D4DB9"/>
    <w:rsid w:val="000E35F2"/>
    <w:rsid w:val="000E4B25"/>
    <w:rsid w:val="000E51C7"/>
    <w:rsid w:val="000E7A31"/>
    <w:rsid w:val="000F346B"/>
    <w:rsid w:val="000F4367"/>
    <w:rsid w:val="000F58CF"/>
    <w:rsid w:val="00100DFE"/>
    <w:rsid w:val="0010357F"/>
    <w:rsid w:val="00120494"/>
    <w:rsid w:val="001238DA"/>
    <w:rsid w:val="00127F49"/>
    <w:rsid w:val="001310E6"/>
    <w:rsid w:val="0013380F"/>
    <w:rsid w:val="00136322"/>
    <w:rsid w:val="0013756C"/>
    <w:rsid w:val="00137E30"/>
    <w:rsid w:val="00150B9C"/>
    <w:rsid w:val="001544D7"/>
    <w:rsid w:val="00156A9D"/>
    <w:rsid w:val="00160B28"/>
    <w:rsid w:val="00163864"/>
    <w:rsid w:val="00167482"/>
    <w:rsid w:val="001723E9"/>
    <w:rsid w:val="00172624"/>
    <w:rsid w:val="00176E23"/>
    <w:rsid w:val="00184C80"/>
    <w:rsid w:val="00190A09"/>
    <w:rsid w:val="00193119"/>
    <w:rsid w:val="001A1822"/>
    <w:rsid w:val="001C0500"/>
    <w:rsid w:val="001D15B3"/>
    <w:rsid w:val="001D58AF"/>
    <w:rsid w:val="001E0B34"/>
    <w:rsid w:val="00206CEC"/>
    <w:rsid w:val="002126BB"/>
    <w:rsid w:val="00212D43"/>
    <w:rsid w:val="002155C4"/>
    <w:rsid w:val="00216F42"/>
    <w:rsid w:val="0022132A"/>
    <w:rsid w:val="002365B6"/>
    <w:rsid w:val="002401BF"/>
    <w:rsid w:val="00244123"/>
    <w:rsid w:val="00246DE5"/>
    <w:rsid w:val="00252689"/>
    <w:rsid w:val="00254288"/>
    <w:rsid w:val="00260318"/>
    <w:rsid w:val="002609B0"/>
    <w:rsid w:val="00260ADF"/>
    <w:rsid w:val="00263E05"/>
    <w:rsid w:val="002651C1"/>
    <w:rsid w:val="00267114"/>
    <w:rsid w:val="00273AE0"/>
    <w:rsid w:val="002833CE"/>
    <w:rsid w:val="0028734C"/>
    <w:rsid w:val="00296C48"/>
    <w:rsid w:val="00297A3F"/>
    <w:rsid w:val="002A62E7"/>
    <w:rsid w:val="002B0FB0"/>
    <w:rsid w:val="002C47DB"/>
    <w:rsid w:val="002C4EA4"/>
    <w:rsid w:val="002D2B3D"/>
    <w:rsid w:val="002E6207"/>
    <w:rsid w:val="002E6BD5"/>
    <w:rsid w:val="002E71CF"/>
    <w:rsid w:val="00302D61"/>
    <w:rsid w:val="00310460"/>
    <w:rsid w:val="00312CA8"/>
    <w:rsid w:val="003130C5"/>
    <w:rsid w:val="00322790"/>
    <w:rsid w:val="0032551E"/>
    <w:rsid w:val="00325A94"/>
    <w:rsid w:val="00327919"/>
    <w:rsid w:val="00330AE8"/>
    <w:rsid w:val="00331A1A"/>
    <w:rsid w:val="00337EDA"/>
    <w:rsid w:val="00343B2B"/>
    <w:rsid w:val="00344D98"/>
    <w:rsid w:val="0035643A"/>
    <w:rsid w:val="003639B3"/>
    <w:rsid w:val="00364992"/>
    <w:rsid w:val="00364F63"/>
    <w:rsid w:val="003666CD"/>
    <w:rsid w:val="003677D8"/>
    <w:rsid w:val="00372C08"/>
    <w:rsid w:val="0037511E"/>
    <w:rsid w:val="00386F96"/>
    <w:rsid w:val="00387917"/>
    <w:rsid w:val="0039100D"/>
    <w:rsid w:val="00395A8E"/>
    <w:rsid w:val="00396EDF"/>
    <w:rsid w:val="003B1D0B"/>
    <w:rsid w:val="003B32F2"/>
    <w:rsid w:val="003B527D"/>
    <w:rsid w:val="003C11A8"/>
    <w:rsid w:val="003C2AB6"/>
    <w:rsid w:val="003D0EA5"/>
    <w:rsid w:val="003D15B5"/>
    <w:rsid w:val="003D1958"/>
    <w:rsid w:val="003D6B32"/>
    <w:rsid w:val="003E34E2"/>
    <w:rsid w:val="003E4F9B"/>
    <w:rsid w:val="003E5D9E"/>
    <w:rsid w:val="003F38DD"/>
    <w:rsid w:val="003F4404"/>
    <w:rsid w:val="004014AF"/>
    <w:rsid w:val="004044E0"/>
    <w:rsid w:val="004079FB"/>
    <w:rsid w:val="00413873"/>
    <w:rsid w:val="004142D0"/>
    <w:rsid w:val="00420825"/>
    <w:rsid w:val="00422C48"/>
    <w:rsid w:val="0043272A"/>
    <w:rsid w:val="00444FE6"/>
    <w:rsid w:val="00456EF4"/>
    <w:rsid w:val="004652DE"/>
    <w:rsid w:val="00465CB6"/>
    <w:rsid w:val="00466E19"/>
    <w:rsid w:val="00466EAB"/>
    <w:rsid w:val="0047070D"/>
    <w:rsid w:val="00472EC4"/>
    <w:rsid w:val="00481059"/>
    <w:rsid w:val="00481088"/>
    <w:rsid w:val="00481F09"/>
    <w:rsid w:val="004838E9"/>
    <w:rsid w:val="00485C34"/>
    <w:rsid w:val="004909CE"/>
    <w:rsid w:val="0049516A"/>
    <w:rsid w:val="004C61B8"/>
    <w:rsid w:val="004E4B2E"/>
    <w:rsid w:val="004E5D89"/>
    <w:rsid w:val="004E70B5"/>
    <w:rsid w:val="004F3245"/>
    <w:rsid w:val="004F52DA"/>
    <w:rsid w:val="00505AC1"/>
    <w:rsid w:val="005116D2"/>
    <w:rsid w:val="005172B2"/>
    <w:rsid w:val="00524440"/>
    <w:rsid w:val="00525974"/>
    <w:rsid w:val="00536572"/>
    <w:rsid w:val="00544AA1"/>
    <w:rsid w:val="00561299"/>
    <w:rsid w:val="0056142C"/>
    <w:rsid w:val="00561948"/>
    <w:rsid w:val="00565535"/>
    <w:rsid w:val="00575066"/>
    <w:rsid w:val="00577085"/>
    <w:rsid w:val="00577B93"/>
    <w:rsid w:val="00582349"/>
    <w:rsid w:val="00590C7A"/>
    <w:rsid w:val="005A7F0C"/>
    <w:rsid w:val="005B2CFB"/>
    <w:rsid w:val="005C32AB"/>
    <w:rsid w:val="005C7134"/>
    <w:rsid w:val="005D2017"/>
    <w:rsid w:val="005E6B1A"/>
    <w:rsid w:val="005F1ECB"/>
    <w:rsid w:val="00600ACA"/>
    <w:rsid w:val="00601226"/>
    <w:rsid w:val="00603CC8"/>
    <w:rsid w:val="00606F43"/>
    <w:rsid w:val="00610F5D"/>
    <w:rsid w:val="00612436"/>
    <w:rsid w:val="00613274"/>
    <w:rsid w:val="00613E8E"/>
    <w:rsid w:val="006171DA"/>
    <w:rsid w:val="0062179B"/>
    <w:rsid w:val="006236C0"/>
    <w:rsid w:val="0062393B"/>
    <w:rsid w:val="00630316"/>
    <w:rsid w:val="00631417"/>
    <w:rsid w:val="00632BC9"/>
    <w:rsid w:val="00633477"/>
    <w:rsid w:val="00635CD0"/>
    <w:rsid w:val="0063624E"/>
    <w:rsid w:val="00646DB7"/>
    <w:rsid w:val="006561E8"/>
    <w:rsid w:val="00666456"/>
    <w:rsid w:val="00667B32"/>
    <w:rsid w:val="00670633"/>
    <w:rsid w:val="00677C96"/>
    <w:rsid w:val="00681DD4"/>
    <w:rsid w:val="00690FF0"/>
    <w:rsid w:val="00697CBF"/>
    <w:rsid w:val="006A136B"/>
    <w:rsid w:val="006A2E7C"/>
    <w:rsid w:val="006A6C1C"/>
    <w:rsid w:val="006B0CE0"/>
    <w:rsid w:val="006C70C1"/>
    <w:rsid w:val="006C7A78"/>
    <w:rsid w:val="006D07C7"/>
    <w:rsid w:val="006E0DE8"/>
    <w:rsid w:val="006E16E3"/>
    <w:rsid w:val="006E2801"/>
    <w:rsid w:val="006E55D8"/>
    <w:rsid w:val="006F259D"/>
    <w:rsid w:val="006F4A8C"/>
    <w:rsid w:val="0070106C"/>
    <w:rsid w:val="00711493"/>
    <w:rsid w:val="007115E8"/>
    <w:rsid w:val="007136FE"/>
    <w:rsid w:val="00714654"/>
    <w:rsid w:val="00717712"/>
    <w:rsid w:val="00721654"/>
    <w:rsid w:val="00722B77"/>
    <w:rsid w:val="007239CB"/>
    <w:rsid w:val="00727D7F"/>
    <w:rsid w:val="00741567"/>
    <w:rsid w:val="00746E45"/>
    <w:rsid w:val="00747A7F"/>
    <w:rsid w:val="00765A98"/>
    <w:rsid w:val="00766ED4"/>
    <w:rsid w:val="00767205"/>
    <w:rsid w:val="00771FA8"/>
    <w:rsid w:val="00773D11"/>
    <w:rsid w:val="00775801"/>
    <w:rsid w:val="00776F74"/>
    <w:rsid w:val="00780E79"/>
    <w:rsid w:val="00784B17"/>
    <w:rsid w:val="00787F0C"/>
    <w:rsid w:val="00787F96"/>
    <w:rsid w:val="00792D2D"/>
    <w:rsid w:val="007A22A1"/>
    <w:rsid w:val="007A3315"/>
    <w:rsid w:val="007A3E13"/>
    <w:rsid w:val="007B021F"/>
    <w:rsid w:val="007B5957"/>
    <w:rsid w:val="007C73C5"/>
    <w:rsid w:val="007D258F"/>
    <w:rsid w:val="007D3AE1"/>
    <w:rsid w:val="007D76ED"/>
    <w:rsid w:val="007E0211"/>
    <w:rsid w:val="007E19CB"/>
    <w:rsid w:val="007E1BA7"/>
    <w:rsid w:val="007E2EC2"/>
    <w:rsid w:val="007E43E6"/>
    <w:rsid w:val="007F6602"/>
    <w:rsid w:val="00800953"/>
    <w:rsid w:val="0080536F"/>
    <w:rsid w:val="008067F7"/>
    <w:rsid w:val="00813F24"/>
    <w:rsid w:val="0083247D"/>
    <w:rsid w:val="00832EDF"/>
    <w:rsid w:val="00836A0B"/>
    <w:rsid w:val="00840030"/>
    <w:rsid w:val="00840D4C"/>
    <w:rsid w:val="00841F34"/>
    <w:rsid w:val="008472C0"/>
    <w:rsid w:val="008507D9"/>
    <w:rsid w:val="0085449D"/>
    <w:rsid w:val="008551E2"/>
    <w:rsid w:val="0086424C"/>
    <w:rsid w:val="00864734"/>
    <w:rsid w:val="008678A2"/>
    <w:rsid w:val="00870477"/>
    <w:rsid w:val="00872BB9"/>
    <w:rsid w:val="00881C91"/>
    <w:rsid w:val="00894D4A"/>
    <w:rsid w:val="008A1713"/>
    <w:rsid w:val="008A29C0"/>
    <w:rsid w:val="008A3BA7"/>
    <w:rsid w:val="008A5C92"/>
    <w:rsid w:val="008A6507"/>
    <w:rsid w:val="008A7AC7"/>
    <w:rsid w:val="008B2472"/>
    <w:rsid w:val="008B2BAB"/>
    <w:rsid w:val="008B2BAF"/>
    <w:rsid w:val="008B3241"/>
    <w:rsid w:val="008D14FB"/>
    <w:rsid w:val="008D289A"/>
    <w:rsid w:val="008D540C"/>
    <w:rsid w:val="008E5E74"/>
    <w:rsid w:val="008E704C"/>
    <w:rsid w:val="008F335A"/>
    <w:rsid w:val="008F3A03"/>
    <w:rsid w:val="008F7950"/>
    <w:rsid w:val="0090734E"/>
    <w:rsid w:val="00914187"/>
    <w:rsid w:val="00916B59"/>
    <w:rsid w:val="009227A1"/>
    <w:rsid w:val="009262F1"/>
    <w:rsid w:val="009275E4"/>
    <w:rsid w:val="00930217"/>
    <w:rsid w:val="00932E6B"/>
    <w:rsid w:val="009358B9"/>
    <w:rsid w:val="0093619C"/>
    <w:rsid w:val="009375D6"/>
    <w:rsid w:val="009452AA"/>
    <w:rsid w:val="00950EFE"/>
    <w:rsid w:val="00951EB8"/>
    <w:rsid w:val="00952975"/>
    <w:rsid w:val="00954B44"/>
    <w:rsid w:val="009559FF"/>
    <w:rsid w:val="009572A9"/>
    <w:rsid w:val="00964440"/>
    <w:rsid w:val="00967952"/>
    <w:rsid w:val="00971608"/>
    <w:rsid w:val="00972AF2"/>
    <w:rsid w:val="009764A4"/>
    <w:rsid w:val="00980325"/>
    <w:rsid w:val="0098035B"/>
    <w:rsid w:val="00981E74"/>
    <w:rsid w:val="00982B0A"/>
    <w:rsid w:val="00995868"/>
    <w:rsid w:val="009977CD"/>
    <w:rsid w:val="009A4CC2"/>
    <w:rsid w:val="009B1E57"/>
    <w:rsid w:val="009B3614"/>
    <w:rsid w:val="009C0FEC"/>
    <w:rsid w:val="009C75BF"/>
    <w:rsid w:val="009D35EB"/>
    <w:rsid w:val="009D36CE"/>
    <w:rsid w:val="009D704C"/>
    <w:rsid w:val="009E791F"/>
    <w:rsid w:val="009F16B5"/>
    <w:rsid w:val="009F7BD0"/>
    <w:rsid w:val="00A047F1"/>
    <w:rsid w:val="00A14345"/>
    <w:rsid w:val="00A158D7"/>
    <w:rsid w:val="00A17574"/>
    <w:rsid w:val="00A2102A"/>
    <w:rsid w:val="00A24B4A"/>
    <w:rsid w:val="00A2647D"/>
    <w:rsid w:val="00A35565"/>
    <w:rsid w:val="00A3628A"/>
    <w:rsid w:val="00A37BB1"/>
    <w:rsid w:val="00A436D5"/>
    <w:rsid w:val="00A44835"/>
    <w:rsid w:val="00A459DA"/>
    <w:rsid w:val="00A46355"/>
    <w:rsid w:val="00A50363"/>
    <w:rsid w:val="00A5140A"/>
    <w:rsid w:val="00A5161C"/>
    <w:rsid w:val="00A624FE"/>
    <w:rsid w:val="00A70B15"/>
    <w:rsid w:val="00A712D2"/>
    <w:rsid w:val="00A735A4"/>
    <w:rsid w:val="00A74762"/>
    <w:rsid w:val="00A76BA5"/>
    <w:rsid w:val="00A80598"/>
    <w:rsid w:val="00A811A3"/>
    <w:rsid w:val="00A81AA1"/>
    <w:rsid w:val="00A91AAA"/>
    <w:rsid w:val="00A923D5"/>
    <w:rsid w:val="00A92C54"/>
    <w:rsid w:val="00A93705"/>
    <w:rsid w:val="00A94C0E"/>
    <w:rsid w:val="00AA0366"/>
    <w:rsid w:val="00AA1407"/>
    <w:rsid w:val="00AB72A0"/>
    <w:rsid w:val="00AB73C9"/>
    <w:rsid w:val="00AD2150"/>
    <w:rsid w:val="00AD6A41"/>
    <w:rsid w:val="00AF1057"/>
    <w:rsid w:val="00AF5C18"/>
    <w:rsid w:val="00B07BB1"/>
    <w:rsid w:val="00B11F4B"/>
    <w:rsid w:val="00B160FC"/>
    <w:rsid w:val="00B22A05"/>
    <w:rsid w:val="00B2363A"/>
    <w:rsid w:val="00B2415B"/>
    <w:rsid w:val="00B24F57"/>
    <w:rsid w:val="00B27F6E"/>
    <w:rsid w:val="00B338A4"/>
    <w:rsid w:val="00B5286A"/>
    <w:rsid w:val="00B538D9"/>
    <w:rsid w:val="00B57C8C"/>
    <w:rsid w:val="00B60585"/>
    <w:rsid w:val="00B66829"/>
    <w:rsid w:val="00B67E6D"/>
    <w:rsid w:val="00B74D7D"/>
    <w:rsid w:val="00B80AF0"/>
    <w:rsid w:val="00B936EE"/>
    <w:rsid w:val="00B947DD"/>
    <w:rsid w:val="00B95905"/>
    <w:rsid w:val="00BA5514"/>
    <w:rsid w:val="00BA653F"/>
    <w:rsid w:val="00BB2726"/>
    <w:rsid w:val="00BC08DD"/>
    <w:rsid w:val="00BC102E"/>
    <w:rsid w:val="00BD0C23"/>
    <w:rsid w:val="00BF00D3"/>
    <w:rsid w:val="00BF5892"/>
    <w:rsid w:val="00C024F6"/>
    <w:rsid w:val="00C03A39"/>
    <w:rsid w:val="00C07967"/>
    <w:rsid w:val="00C07EA6"/>
    <w:rsid w:val="00C13230"/>
    <w:rsid w:val="00C219A2"/>
    <w:rsid w:val="00C222B8"/>
    <w:rsid w:val="00C22DDD"/>
    <w:rsid w:val="00C25DD7"/>
    <w:rsid w:val="00C26194"/>
    <w:rsid w:val="00C3688F"/>
    <w:rsid w:val="00C40D8B"/>
    <w:rsid w:val="00C415A8"/>
    <w:rsid w:val="00C430B1"/>
    <w:rsid w:val="00C43B6C"/>
    <w:rsid w:val="00C503F6"/>
    <w:rsid w:val="00C54591"/>
    <w:rsid w:val="00C55A7A"/>
    <w:rsid w:val="00C6027D"/>
    <w:rsid w:val="00C617DF"/>
    <w:rsid w:val="00C63386"/>
    <w:rsid w:val="00C7357E"/>
    <w:rsid w:val="00C75B0C"/>
    <w:rsid w:val="00C76D50"/>
    <w:rsid w:val="00C77059"/>
    <w:rsid w:val="00C802D3"/>
    <w:rsid w:val="00C8086F"/>
    <w:rsid w:val="00C816CC"/>
    <w:rsid w:val="00C830D1"/>
    <w:rsid w:val="00C8363A"/>
    <w:rsid w:val="00C83A7E"/>
    <w:rsid w:val="00C83CFF"/>
    <w:rsid w:val="00C91793"/>
    <w:rsid w:val="00CA3CE1"/>
    <w:rsid w:val="00CA4D18"/>
    <w:rsid w:val="00CC33A1"/>
    <w:rsid w:val="00CC5348"/>
    <w:rsid w:val="00CD3FAA"/>
    <w:rsid w:val="00CE14BA"/>
    <w:rsid w:val="00CE1DFC"/>
    <w:rsid w:val="00CE683D"/>
    <w:rsid w:val="00CF0EDF"/>
    <w:rsid w:val="00CF1751"/>
    <w:rsid w:val="00CF1968"/>
    <w:rsid w:val="00CF46DD"/>
    <w:rsid w:val="00D019D2"/>
    <w:rsid w:val="00D1247B"/>
    <w:rsid w:val="00D1305E"/>
    <w:rsid w:val="00D13694"/>
    <w:rsid w:val="00D20BF4"/>
    <w:rsid w:val="00D26C7C"/>
    <w:rsid w:val="00D27F39"/>
    <w:rsid w:val="00D3655C"/>
    <w:rsid w:val="00D407D0"/>
    <w:rsid w:val="00D50F5D"/>
    <w:rsid w:val="00D5434C"/>
    <w:rsid w:val="00D555AB"/>
    <w:rsid w:val="00D572DF"/>
    <w:rsid w:val="00D62943"/>
    <w:rsid w:val="00D63878"/>
    <w:rsid w:val="00D63C6D"/>
    <w:rsid w:val="00D654F4"/>
    <w:rsid w:val="00D71756"/>
    <w:rsid w:val="00D77369"/>
    <w:rsid w:val="00D81AB0"/>
    <w:rsid w:val="00D86B46"/>
    <w:rsid w:val="00D956EA"/>
    <w:rsid w:val="00D97E99"/>
    <w:rsid w:val="00DA007A"/>
    <w:rsid w:val="00DA0248"/>
    <w:rsid w:val="00DA4753"/>
    <w:rsid w:val="00DB0BB7"/>
    <w:rsid w:val="00DB48D9"/>
    <w:rsid w:val="00DB4B46"/>
    <w:rsid w:val="00DB56C3"/>
    <w:rsid w:val="00DC013C"/>
    <w:rsid w:val="00DC6458"/>
    <w:rsid w:val="00DD00F7"/>
    <w:rsid w:val="00DD1D54"/>
    <w:rsid w:val="00DD78AA"/>
    <w:rsid w:val="00DE0A4C"/>
    <w:rsid w:val="00DE2886"/>
    <w:rsid w:val="00DE40BC"/>
    <w:rsid w:val="00DE49CE"/>
    <w:rsid w:val="00DF3047"/>
    <w:rsid w:val="00DF6185"/>
    <w:rsid w:val="00DF7D6E"/>
    <w:rsid w:val="00E010E0"/>
    <w:rsid w:val="00E162B2"/>
    <w:rsid w:val="00E203C9"/>
    <w:rsid w:val="00E20C97"/>
    <w:rsid w:val="00E30B7B"/>
    <w:rsid w:val="00E32B7C"/>
    <w:rsid w:val="00E33F8A"/>
    <w:rsid w:val="00E37643"/>
    <w:rsid w:val="00E43F8F"/>
    <w:rsid w:val="00E551E0"/>
    <w:rsid w:val="00E602A2"/>
    <w:rsid w:val="00E76661"/>
    <w:rsid w:val="00E76811"/>
    <w:rsid w:val="00E860D4"/>
    <w:rsid w:val="00E92F48"/>
    <w:rsid w:val="00E97FFE"/>
    <w:rsid w:val="00EA1936"/>
    <w:rsid w:val="00EA3B26"/>
    <w:rsid w:val="00EA6141"/>
    <w:rsid w:val="00EB0720"/>
    <w:rsid w:val="00EB0C36"/>
    <w:rsid w:val="00EC196B"/>
    <w:rsid w:val="00EC20E0"/>
    <w:rsid w:val="00EC36AC"/>
    <w:rsid w:val="00EC4163"/>
    <w:rsid w:val="00EC5F6C"/>
    <w:rsid w:val="00EC6FEF"/>
    <w:rsid w:val="00ED42A4"/>
    <w:rsid w:val="00ED4522"/>
    <w:rsid w:val="00EE0253"/>
    <w:rsid w:val="00EE4B1C"/>
    <w:rsid w:val="00EE4FFB"/>
    <w:rsid w:val="00EF2182"/>
    <w:rsid w:val="00EF21F0"/>
    <w:rsid w:val="00EF3C9B"/>
    <w:rsid w:val="00EF5AA7"/>
    <w:rsid w:val="00F01239"/>
    <w:rsid w:val="00F05CD3"/>
    <w:rsid w:val="00F11A53"/>
    <w:rsid w:val="00F14EBA"/>
    <w:rsid w:val="00F1603A"/>
    <w:rsid w:val="00F211BF"/>
    <w:rsid w:val="00F22283"/>
    <w:rsid w:val="00F260BC"/>
    <w:rsid w:val="00F32331"/>
    <w:rsid w:val="00F52F86"/>
    <w:rsid w:val="00F54200"/>
    <w:rsid w:val="00F61D89"/>
    <w:rsid w:val="00F66971"/>
    <w:rsid w:val="00F70FD2"/>
    <w:rsid w:val="00F74116"/>
    <w:rsid w:val="00F91796"/>
    <w:rsid w:val="00F92AF3"/>
    <w:rsid w:val="00F97D2E"/>
    <w:rsid w:val="00FA33F7"/>
    <w:rsid w:val="00FA56B7"/>
    <w:rsid w:val="00FC0630"/>
    <w:rsid w:val="00FC3085"/>
    <w:rsid w:val="00FC39DA"/>
    <w:rsid w:val="00FC6143"/>
    <w:rsid w:val="00FC7154"/>
    <w:rsid w:val="00FD1487"/>
    <w:rsid w:val="00FD2267"/>
    <w:rsid w:val="00FD5519"/>
    <w:rsid w:val="00FE2679"/>
    <w:rsid w:val="00FE4120"/>
    <w:rsid w:val="00FE68A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chart" Target="charts/char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microsoft.com/office/2018/08/relationships/commentsExtensible" Target="commentsExtensible.xml"/><Relationship Id="rId22" Type="http://schemas.openxmlformats.org/officeDocument/2006/relationships/chart" Target="charts/chart3.xml"/><Relationship Id="rId27" Type="http://schemas.openxmlformats.org/officeDocument/2006/relationships/image" Target="media/image12.pn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980</TotalTime>
  <Pages>90</Pages>
  <Words>29256</Words>
  <Characters>166765</Characters>
  <Application>Microsoft Office Word</Application>
  <DocSecurity>0</DocSecurity>
  <Lines>1389</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263</cp:revision>
  <cp:lastPrinted>2025-01-18T23:03:00Z</cp:lastPrinted>
  <dcterms:created xsi:type="dcterms:W3CDTF">2024-10-22T04:28:00Z</dcterms:created>
  <dcterms:modified xsi:type="dcterms:W3CDTF">2025-01-19T01:52:00Z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id="1f5tIi8h"/&gt;&lt;style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