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E024FB2"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w:t>
      </w:r>
      <w:r w:rsidR="00DA6D71">
        <w:t>diff-in-diff</w:t>
      </w:r>
      <w:r>
        <w:t xml:space="preserve">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50DC7E67"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1D797E">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1D797E">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1D797E">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1D797E">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1D797E">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1D797E">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54947934"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sidRPr="002A5AD5">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1122CA52"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1D797E">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1D797E">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1D797E">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2A5A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46252C4B"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1D797E">
        <w:t xml:space="preserve">Figure </w:t>
      </w:r>
      <w:r w:rsidR="001D797E">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782CE661" w:rsidR="00034D08" w:rsidRDefault="00034D08" w:rsidP="00894181">
      <w:pPr>
        <w:pStyle w:val="Caption"/>
        <w:keepNext/>
        <w:ind w:firstLine="0"/>
        <w:rPr>
          <w:noProof/>
        </w:rPr>
      </w:pPr>
      <w:bookmarkStart w:id="1" w:name="_Ref199364257"/>
      <w:r>
        <w:t xml:space="preserve">Figure </w:t>
      </w:r>
      <w:fldSimple w:instr=" SEQ Figure \* ARABIC ">
        <w:r w:rsidR="001D797E">
          <w:rPr>
            <w:noProof/>
          </w:rPr>
          <w:t>1</w:t>
        </w:r>
      </w:fldSimple>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1EDDDC16"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1D797E">
        <w:t xml:space="preserve">Table </w:t>
      </w:r>
      <w:r w:rsidR="001D797E">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3D3A337C"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1D797E">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1D797E">
        <w:t xml:space="preserve">Table </w:t>
      </w:r>
      <w:r w:rsidR="001D797E">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5067A12" w:rsidR="009F16B5" w:rsidRDefault="009F16B5" w:rsidP="00746426">
      <w:pPr>
        <w:pStyle w:val="Caption"/>
        <w:keepNext/>
        <w:ind w:firstLine="0"/>
      </w:pPr>
      <w:bookmarkStart w:id="2" w:name="_Ref169916240"/>
      <w:r>
        <w:t xml:space="preserve">Table </w:t>
      </w:r>
      <w:fldSimple w:instr=" SEQ Table \* ARABIC ">
        <w:r w:rsidR="001D797E">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sidRPr="002A5AD5">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5DA652B9"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1D797E">
        <w:t xml:space="preserve">Table </w:t>
      </w:r>
      <w:r w:rsidR="001D797E">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1D797E">
        <w:t xml:space="preserve">Table </w:t>
      </w:r>
      <w:r w:rsidR="001D797E">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66A20319" w:rsidR="009F16B5" w:rsidRDefault="009F16B5" w:rsidP="00C73C93">
      <w:pPr>
        <w:pStyle w:val="Caption"/>
        <w:keepNext/>
        <w:ind w:firstLine="0"/>
      </w:pPr>
      <w:bookmarkStart w:id="3" w:name="_Ref169916258"/>
      <w:r>
        <w:lastRenderedPageBreak/>
        <w:t xml:space="preserve">Table </w:t>
      </w:r>
      <w:fldSimple w:instr=" SEQ Table \* ARABIC ">
        <w:r w:rsidR="001D797E">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23F3EB0"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1D797E">
        <w:t>2.4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6E02EC38" w:rsidR="00916B59" w:rsidRDefault="00916B59">
            <w:pPr>
              <w:pStyle w:val="Caption"/>
              <w:keepNext/>
              <w:jc w:val="right"/>
            </w:pPr>
            <w:bookmarkStart w:id="6" w:name="_Ref202285796"/>
            <w:r>
              <w:t>(</w:t>
            </w:r>
            <w:fldSimple w:instr=" SEQ Equation \* ARABIC ">
              <w:r w:rsidR="001D797E">
                <w:rPr>
                  <w:noProof/>
                </w:rPr>
                <w:t>1</w:t>
              </w:r>
            </w:fldSimple>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4E525F9B" w:rsidR="00916B59" w:rsidRDefault="00916B59">
            <w:pPr>
              <w:pStyle w:val="Caption"/>
              <w:keepNext/>
              <w:jc w:val="right"/>
            </w:pPr>
            <w:r>
              <w:t>(</w:t>
            </w:r>
            <w:fldSimple w:instr=" SEQ Equation \* ARABIC ">
              <w:r w:rsidR="001D797E">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13CE76A" w:rsidR="00916B59" w:rsidRDefault="00916B59">
            <w:pPr>
              <w:pStyle w:val="Caption"/>
              <w:keepNext/>
              <w:jc w:val="right"/>
            </w:pPr>
            <w:bookmarkStart w:id="7" w:name="_Ref202285815"/>
            <w:bookmarkStart w:id="8" w:name="_Ref167361621"/>
            <w:r>
              <w:t>(</w:t>
            </w:r>
            <w:fldSimple w:instr=" SEQ Equation \* ARABIC ">
              <w:r w:rsidR="001D797E">
                <w:rPr>
                  <w:noProof/>
                </w:rPr>
                <w:t>3</w:t>
              </w:r>
            </w:fldSimple>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43E4BF05"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1D797E">
        <w:t>(</w:t>
      </w:r>
      <w:r w:rsidR="001D797E">
        <w:rPr>
          <w:noProof/>
        </w:rPr>
        <w:t>3</w:t>
      </w:r>
      <w:r w:rsidR="001D797E">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440A8765"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1D797E">
        <w:t xml:space="preserve">Figure </w:t>
      </w:r>
      <w:r w:rsidR="001D797E">
        <w:rPr>
          <w:noProof/>
        </w:rPr>
        <w:t>2</w:t>
      </w:r>
      <w:r w:rsidR="002A62E7">
        <w:fldChar w:fldCharType="end"/>
      </w:r>
      <w:r w:rsidR="002A62E7">
        <w:t xml:space="preserve"> </w:t>
      </w:r>
      <w:r>
        <w:t>depicts a hypothetical network model of such a market.</w:t>
      </w:r>
    </w:p>
    <w:p w14:paraId="66879F21" w14:textId="0F92DDF2" w:rsidR="009F16B5" w:rsidRDefault="009F16B5" w:rsidP="00C73C93">
      <w:pPr>
        <w:pStyle w:val="Caption"/>
        <w:keepNext/>
        <w:ind w:firstLine="0"/>
      </w:pPr>
      <w:bookmarkStart w:id="9" w:name="_Ref169916362"/>
      <w:r>
        <w:t xml:space="preserve">Figure </w:t>
      </w:r>
      <w:fldSimple w:instr=" SEQ Figure \* ARABIC ">
        <w:r w:rsidR="001D797E">
          <w:rPr>
            <w:noProof/>
          </w:rPr>
          <w:t>2</w:t>
        </w:r>
      </w:fldSimple>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61C13FB1"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1D797E">
        <w:t>(</w:t>
      </w:r>
      <w:r w:rsidR="001D797E">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1D797E">
        <w:t>(</w:t>
      </w:r>
      <w:r w:rsidR="001D797E">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2680A4E4" w:rsidR="00916B59" w:rsidRDefault="00916B59">
            <w:pPr>
              <w:pStyle w:val="Caption"/>
              <w:keepNext/>
              <w:jc w:val="right"/>
            </w:pPr>
            <w:r>
              <w:t>(</w:t>
            </w:r>
            <w:fldSimple w:instr=" SEQ Equation \* ARABIC ">
              <w:r w:rsidR="001D797E">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B8E7DAF"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1D797E">
        <w:t xml:space="preserve">Figure </w:t>
      </w:r>
      <w:r w:rsidR="001D797E">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44EAA185" w:rsidR="009F16B5" w:rsidRDefault="009F16B5" w:rsidP="00C73C93">
      <w:pPr>
        <w:pStyle w:val="Caption"/>
        <w:keepNext/>
        <w:ind w:firstLine="0"/>
      </w:pPr>
      <w:bookmarkStart w:id="10" w:name="_Ref169916763"/>
      <w:r>
        <w:lastRenderedPageBreak/>
        <w:t xml:space="preserve">Figure </w:t>
      </w:r>
      <w:fldSimple w:instr=" SEQ Figure \* ARABIC ">
        <w:r w:rsidR="001D797E">
          <w:rPr>
            <w:noProof/>
          </w:rPr>
          <w:t>3</w:t>
        </w:r>
      </w:fldSimple>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189AB8C0" w:rsidR="00916B59" w:rsidRDefault="00916B59">
            <w:pPr>
              <w:pStyle w:val="Caption"/>
              <w:keepNext/>
              <w:jc w:val="right"/>
            </w:pPr>
            <w:r>
              <w:t>(</w:t>
            </w:r>
            <w:fldSimple w:instr=" SEQ Equation \* ARABIC ">
              <w:r w:rsidR="001D797E">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1DF24DDD" w:rsidR="00916B59" w:rsidRDefault="00916B59">
            <w:pPr>
              <w:pStyle w:val="Caption"/>
              <w:keepNext/>
              <w:jc w:val="right"/>
            </w:pPr>
            <w:bookmarkStart w:id="12" w:name="_Ref202258693"/>
            <w:r>
              <w:t>(</w:t>
            </w:r>
            <w:fldSimple w:instr=" SEQ Equation \* ARABIC ">
              <w:r w:rsidR="001D797E">
                <w:rPr>
                  <w:noProof/>
                </w:rPr>
                <w:t>6</w:t>
              </w:r>
            </w:fldSimple>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093DDD2C" w:rsidR="00916B59" w:rsidRDefault="00916B59">
            <w:pPr>
              <w:pStyle w:val="Caption"/>
              <w:keepNext/>
              <w:jc w:val="right"/>
            </w:pPr>
            <w:r>
              <w:t>(</w:t>
            </w:r>
            <w:fldSimple w:instr=" SEQ Equation \* ARABIC ">
              <w:r w:rsidR="001D797E">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E84CEB3" w:rsidR="00916B59" w:rsidRDefault="00916B59">
            <w:pPr>
              <w:pStyle w:val="Caption"/>
              <w:keepNext/>
              <w:jc w:val="right"/>
            </w:pPr>
            <w:r>
              <w:t>(</w:t>
            </w:r>
            <w:fldSimple w:instr=" SEQ Equation \* ARABIC ">
              <w:r w:rsidR="001D797E">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21E0B03E" w:rsidR="00916B59" w:rsidRDefault="00916B59">
            <w:pPr>
              <w:pStyle w:val="Caption"/>
              <w:keepNext/>
              <w:jc w:val="right"/>
            </w:pPr>
            <w:r>
              <w:t>(</w:t>
            </w:r>
            <w:fldSimple w:instr=" SEQ Equation \* ARABIC ">
              <w:r w:rsidR="001D797E">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3CE31CD4" w:rsidR="00916B59" w:rsidRDefault="00916B59">
            <w:pPr>
              <w:pStyle w:val="Caption"/>
              <w:keepNext/>
              <w:jc w:val="right"/>
            </w:pPr>
            <w:r>
              <w:t>(</w:t>
            </w:r>
            <w:fldSimple w:instr=" SEQ Equation \* ARABIC ">
              <w:r w:rsidR="001D797E">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39F29E28" w:rsidR="00916B59" w:rsidRDefault="00916B59">
            <w:pPr>
              <w:pStyle w:val="Caption"/>
              <w:keepNext/>
              <w:jc w:val="right"/>
            </w:pPr>
            <w:r>
              <w:t>(</w:t>
            </w:r>
            <w:fldSimple w:instr=" SEQ Equation \* ARABIC ">
              <w:r w:rsidR="001D797E">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31FA565A" w:rsidR="00916B59" w:rsidRDefault="00916B59">
            <w:pPr>
              <w:pStyle w:val="Caption"/>
              <w:keepNext/>
              <w:jc w:val="right"/>
            </w:pPr>
            <w:r>
              <w:t>(</w:t>
            </w:r>
            <w:fldSimple w:instr=" SEQ Equation \* ARABIC ">
              <w:r w:rsidR="001D797E">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3674DF24" w:rsidR="00916B59" w:rsidRDefault="00916B59">
            <w:pPr>
              <w:pStyle w:val="Caption"/>
              <w:keepNext/>
              <w:jc w:val="right"/>
            </w:pPr>
            <w:r>
              <w:t>(</w:t>
            </w:r>
            <w:fldSimple w:instr=" SEQ Equation \* ARABIC ">
              <w:r w:rsidR="001D797E">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6BE255ED" w:rsidR="00916B59" w:rsidRDefault="00916B59">
            <w:pPr>
              <w:pStyle w:val="Caption"/>
              <w:keepNext/>
              <w:jc w:val="right"/>
            </w:pPr>
            <w:bookmarkStart w:id="13" w:name="_Ref167364187"/>
            <w:r>
              <w:t>(</w:t>
            </w:r>
            <w:fldSimple w:instr=" SEQ Equation \* ARABIC ">
              <w:r w:rsidR="001D797E">
                <w:rPr>
                  <w:noProof/>
                </w:rPr>
                <w:t>14</w:t>
              </w:r>
            </w:fldSimple>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2C0ED31" w:rsidR="00916B59" w:rsidRDefault="00916B59">
            <w:pPr>
              <w:pStyle w:val="Caption"/>
              <w:keepNext/>
              <w:jc w:val="right"/>
            </w:pPr>
            <w:r>
              <w:t>(</w:t>
            </w:r>
            <w:fldSimple w:instr=" SEQ Equation \* ARABIC ">
              <w:r w:rsidR="001D797E">
                <w:rPr>
                  <w:noProof/>
                </w:rPr>
                <w:t>15</w:t>
              </w:r>
            </w:fldSimple>
            <w:r>
              <w:t>)</w:t>
            </w:r>
          </w:p>
        </w:tc>
      </w:tr>
    </w:tbl>
    <w:p w14:paraId="1746F076" w14:textId="594EC733"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1D797E">
        <w:t>(</w:t>
      </w:r>
      <w:r w:rsidR="001D797E">
        <w:rPr>
          <w:noProof/>
        </w:rPr>
        <w:t>14</w:t>
      </w:r>
      <w:r w:rsidR="001D797E">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BCD4B24" w:rsidR="00852548" w:rsidRDefault="00852548" w:rsidP="008652DB">
            <w:pPr>
              <w:pStyle w:val="Caption"/>
              <w:keepNext/>
              <w:jc w:val="right"/>
            </w:pPr>
            <w:r>
              <w:t>(</w:t>
            </w:r>
            <w:fldSimple w:instr=" SEQ Equation \* ARABIC ">
              <w:r w:rsidR="001D797E">
                <w:rPr>
                  <w:noProof/>
                </w:rPr>
                <w:t>16</w:t>
              </w:r>
            </w:fldSimple>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266F8B84" w:rsidR="007222D7" w:rsidRDefault="007222D7" w:rsidP="008652DB">
            <w:pPr>
              <w:pStyle w:val="Caption"/>
              <w:keepNext/>
              <w:jc w:val="right"/>
            </w:pPr>
            <w:r>
              <w:t>(</w:t>
            </w:r>
            <w:fldSimple w:instr=" SEQ Equation \* ARABIC ">
              <w:r w:rsidR="001D797E">
                <w:rPr>
                  <w:noProof/>
                </w:rPr>
                <w:t>17</w:t>
              </w:r>
            </w:fldSimple>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0C73F437" w:rsidR="00112BA7" w:rsidRDefault="00112BA7" w:rsidP="008652DB">
            <w:pPr>
              <w:pStyle w:val="Caption"/>
              <w:keepNext/>
              <w:jc w:val="right"/>
            </w:pPr>
            <w:r>
              <w:t>(</w:t>
            </w:r>
            <w:fldSimple w:instr=" SEQ Equation \* ARABIC ">
              <w:r w:rsidR="001D797E">
                <w:rPr>
                  <w:noProof/>
                </w:rPr>
                <w:t>18</w:t>
              </w:r>
            </w:fldSimple>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E7886CF" w:rsidR="00112BA7" w:rsidRDefault="00112BA7" w:rsidP="008652DB">
            <w:pPr>
              <w:pStyle w:val="Caption"/>
              <w:keepNext/>
              <w:jc w:val="right"/>
            </w:pPr>
            <w:r>
              <w:t>(</w:t>
            </w:r>
            <w:fldSimple w:instr=" SEQ Equation \* ARABIC ">
              <w:r w:rsidR="001D797E">
                <w:rPr>
                  <w:noProof/>
                </w:rPr>
                <w:t>19</w:t>
              </w:r>
            </w:fldSimple>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77FB8377" w:rsidR="00823672" w:rsidRDefault="00823672" w:rsidP="008652DB">
            <w:pPr>
              <w:pStyle w:val="Caption"/>
              <w:keepNext/>
              <w:jc w:val="right"/>
            </w:pPr>
            <w:r>
              <w:t>(</w:t>
            </w:r>
            <w:fldSimple w:instr=" SEQ Equation \* ARABIC ">
              <w:r w:rsidR="001D797E">
                <w:rPr>
                  <w:noProof/>
                </w:rPr>
                <w:t>20</w:t>
              </w:r>
            </w:fldSimple>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CF1FA09" w:rsidR="005F7DFA" w:rsidRDefault="005F7DFA" w:rsidP="008652DB">
            <w:pPr>
              <w:pStyle w:val="Caption"/>
              <w:keepNext/>
              <w:jc w:val="right"/>
            </w:pPr>
            <w:r>
              <w:t>(</w:t>
            </w:r>
            <w:fldSimple w:instr=" SEQ Equation \* ARABIC ">
              <w:r w:rsidR="001D797E">
                <w:rPr>
                  <w:noProof/>
                </w:rPr>
                <w:t>21</w:t>
              </w:r>
            </w:fldSimple>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6F21AC47" w:rsidR="00284A1F" w:rsidRDefault="00284A1F" w:rsidP="008652DB">
            <w:pPr>
              <w:pStyle w:val="Caption"/>
              <w:keepNext/>
              <w:jc w:val="right"/>
            </w:pPr>
            <w:r>
              <w:t>(</w:t>
            </w:r>
            <w:fldSimple w:instr=" SEQ Equation \* ARABIC ">
              <w:r w:rsidR="001D797E">
                <w:rPr>
                  <w:noProof/>
                </w:rPr>
                <w:t>22</w:t>
              </w:r>
            </w:fldSimple>
            <w:r>
              <w:t>)</w:t>
            </w:r>
          </w:p>
        </w:tc>
      </w:tr>
    </w:tbl>
    <w:p w14:paraId="6CCAFA7C" w14:textId="7128EB4D"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1D797E">
        <w:t>(</w:t>
      </w:r>
      <w:r w:rsidR="001D797E">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22BC1A90" w:rsidR="00A85DF7" w:rsidRDefault="00A85DF7" w:rsidP="008652DB">
            <w:pPr>
              <w:pStyle w:val="Caption"/>
              <w:keepNext/>
              <w:jc w:val="right"/>
            </w:pPr>
            <w:r>
              <w:t>(</w:t>
            </w:r>
            <w:fldSimple w:instr=" SEQ Equation \* ARABIC ">
              <w:r w:rsidR="001D797E">
                <w:rPr>
                  <w:noProof/>
                </w:rPr>
                <w:t>23</w:t>
              </w:r>
            </w:fldSimple>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604F65FA" w14:textId="23F13D90" w:rsidR="00A85DF7" w:rsidRDefault="00A85DF7" w:rsidP="008652DB">
            <w:pPr>
              <w:pStyle w:val="Caption"/>
              <w:keepNext/>
              <w:jc w:val="right"/>
            </w:pPr>
            <w:r>
              <w:t>(</w:t>
            </w:r>
            <w:fldSimple w:instr=" SEQ Equation \* ARABIC ">
              <w:r w:rsidR="001D797E">
                <w:rPr>
                  <w:noProof/>
                </w:rPr>
                <w:t>24</w:t>
              </w:r>
            </w:fldSimple>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76750176" w:rsidR="00182C51" w:rsidRDefault="00182C51" w:rsidP="008652DB">
            <w:pPr>
              <w:pStyle w:val="Caption"/>
              <w:keepNext/>
              <w:jc w:val="right"/>
            </w:pPr>
            <w:r>
              <w:t>(</w:t>
            </w:r>
            <w:fldSimple w:instr=" SEQ Equation \* ARABIC ">
              <w:r w:rsidR="001D797E">
                <w:rPr>
                  <w:noProof/>
                </w:rPr>
                <w:t>25</w:t>
              </w:r>
            </w:fldSimple>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1136A5F0" w:rsidR="00182C51" w:rsidRDefault="00182C51" w:rsidP="008652DB">
            <w:pPr>
              <w:pStyle w:val="Caption"/>
              <w:keepNext/>
              <w:jc w:val="right"/>
            </w:pPr>
            <w:r>
              <w:t>(</w:t>
            </w:r>
            <w:fldSimple w:instr=" SEQ Equation \* ARABIC ">
              <w:r w:rsidR="001D797E">
                <w:rPr>
                  <w:noProof/>
                </w:rPr>
                <w:t>26</w:t>
              </w:r>
            </w:fldSimple>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33AAD6B2" w:rsidR="00182C51" w:rsidRDefault="00182C51" w:rsidP="008652DB">
            <w:pPr>
              <w:pStyle w:val="Caption"/>
              <w:keepNext/>
              <w:jc w:val="right"/>
            </w:pPr>
            <w:r>
              <w:t>(</w:t>
            </w:r>
            <w:fldSimple w:instr=" SEQ Equation \* ARABIC ">
              <w:r w:rsidR="001D797E">
                <w:rPr>
                  <w:noProof/>
                </w:rPr>
                <w:t>27</w:t>
              </w:r>
            </w:fldSimple>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4CC06231" w:rsidR="00182C51" w:rsidRDefault="00182C51" w:rsidP="008652DB">
            <w:pPr>
              <w:pStyle w:val="Caption"/>
              <w:keepNext/>
              <w:jc w:val="right"/>
            </w:pPr>
            <w:r>
              <w:t>(</w:t>
            </w:r>
            <w:fldSimple w:instr=" SEQ Equation \* ARABIC ">
              <w:r w:rsidR="001D797E">
                <w:rPr>
                  <w:noProof/>
                </w:rPr>
                <w:t>28</w:t>
              </w:r>
            </w:fldSimple>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000000"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1FF6E610" w:rsidR="007C6222" w:rsidRDefault="007C6222" w:rsidP="008652DB">
            <w:pPr>
              <w:pStyle w:val="Caption"/>
              <w:keepNext/>
              <w:jc w:val="right"/>
            </w:pPr>
            <w:r>
              <w:t>(</w:t>
            </w:r>
            <w:fldSimple w:instr=" SEQ Equation \* ARABIC ">
              <w:r w:rsidR="001D797E">
                <w:rPr>
                  <w:noProof/>
                </w:rPr>
                <w:t>29</w:t>
              </w:r>
            </w:fldSimple>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w:t>
      </w:r>
      <w:proofErr w:type="gramStart"/>
      <w:r w:rsidR="003666CD">
        <w:rPr>
          <w:rFonts w:eastAsiaTheme="minorEastAsia"/>
        </w:rPr>
        <w:t>similar to</w:t>
      </w:r>
      <w:proofErr w:type="gramEnd"/>
      <w:r w:rsidR="003666CD">
        <w:rPr>
          <w:rFonts w:eastAsiaTheme="minorEastAsia"/>
        </w:rPr>
        <w:t xml:space="preserve">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562A418E" w:rsidR="00916B59" w:rsidRDefault="00916B59">
            <w:pPr>
              <w:pStyle w:val="Caption"/>
              <w:keepNext/>
              <w:jc w:val="right"/>
            </w:pPr>
            <w:r>
              <w:t>(</w:t>
            </w:r>
            <w:fldSimple w:instr=" SEQ Equation \* ARABIC ">
              <w:r w:rsidR="001D797E">
                <w:rPr>
                  <w:noProof/>
                </w:rPr>
                <w:t>30</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7AEF478F" w:rsidR="00916B59" w:rsidRDefault="00916B59">
            <w:pPr>
              <w:pStyle w:val="Caption"/>
              <w:keepNext/>
              <w:jc w:val="right"/>
            </w:pPr>
            <w:r>
              <w:t>(</w:t>
            </w:r>
            <w:fldSimple w:instr=" SEQ Equation \* ARABIC ">
              <w:r w:rsidR="001D797E">
                <w:rPr>
                  <w:noProof/>
                </w:rPr>
                <w:t>31</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4F257A7A" w:rsidR="00916B59" w:rsidRDefault="00916B59">
            <w:pPr>
              <w:pStyle w:val="Caption"/>
              <w:keepNext/>
              <w:jc w:val="right"/>
            </w:pPr>
            <w:r>
              <w:t>(</w:t>
            </w:r>
            <w:fldSimple w:instr=" SEQ Equation \* ARABIC ">
              <w:r w:rsidR="001D797E">
                <w:rPr>
                  <w:noProof/>
                </w:rPr>
                <w:t>32</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0C2A8CDE" w:rsidR="00916B59" w:rsidRDefault="00916B59">
            <w:pPr>
              <w:pStyle w:val="Caption"/>
              <w:keepNext/>
              <w:jc w:val="right"/>
            </w:pPr>
            <w:r>
              <w:t>(</w:t>
            </w:r>
            <w:fldSimple w:instr=" SEQ Equation \* ARABIC ">
              <w:r w:rsidR="001D797E">
                <w:rPr>
                  <w:noProof/>
                </w:rPr>
                <w:t>33</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3ED6920" w:rsidR="00916B59" w:rsidRDefault="00916B59">
            <w:pPr>
              <w:pStyle w:val="Caption"/>
              <w:keepNext/>
              <w:jc w:val="right"/>
            </w:pPr>
            <w:r>
              <w:t>(</w:t>
            </w:r>
            <w:fldSimple w:instr=" SEQ Equation \* ARABIC ">
              <w:r w:rsidR="001D797E">
                <w:rPr>
                  <w:noProof/>
                </w:rPr>
                <w:t>34</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6A04CFB8" w:rsidR="00916B59" w:rsidRDefault="00916B59">
            <w:pPr>
              <w:pStyle w:val="Caption"/>
              <w:keepNext/>
              <w:jc w:val="right"/>
            </w:pPr>
            <w:r>
              <w:t>(</w:t>
            </w:r>
            <w:fldSimple w:instr=" SEQ Equation \* ARABIC ">
              <w:r w:rsidR="001D797E">
                <w:rPr>
                  <w:noProof/>
                </w:rPr>
                <w:t>35</w:t>
              </w:r>
            </w:fldSimple>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6E5CFDDE" w:rsidR="00916B59" w:rsidRDefault="00916B59">
            <w:pPr>
              <w:pStyle w:val="Caption"/>
              <w:keepNext/>
              <w:jc w:val="right"/>
            </w:pPr>
            <w:r>
              <w:t>(</w:t>
            </w:r>
            <w:fldSimple w:instr=" SEQ Equation \* ARABIC ">
              <w:r w:rsidR="001D797E">
                <w:rPr>
                  <w:noProof/>
                </w:rPr>
                <w:t>36</w:t>
              </w:r>
            </w:fldSimple>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71B65163" w:rsidR="00916B59" w:rsidRDefault="00916B59">
            <w:pPr>
              <w:pStyle w:val="Caption"/>
              <w:keepNext/>
              <w:jc w:val="right"/>
            </w:pPr>
            <w:r>
              <w:t>(</w:t>
            </w:r>
            <w:fldSimple w:instr=" SEQ Equation \* ARABIC ">
              <w:r w:rsidR="001D797E">
                <w:rPr>
                  <w:noProof/>
                </w:rPr>
                <w:t>37</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3EE01A96" w:rsidR="00916B59" w:rsidRDefault="00916B59">
            <w:pPr>
              <w:pStyle w:val="Caption"/>
              <w:keepNext/>
              <w:jc w:val="right"/>
            </w:pPr>
            <w:r>
              <w:t>(</w:t>
            </w:r>
            <w:fldSimple w:instr=" SEQ Equation \* ARABIC ">
              <w:r w:rsidR="001D797E">
                <w:rPr>
                  <w:noProof/>
                </w:rPr>
                <w:t>38</w:t>
              </w:r>
            </w:fldSimple>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41568CEB" w:rsidR="00916B59" w:rsidRDefault="00916B59">
            <w:pPr>
              <w:pStyle w:val="Caption"/>
              <w:keepNext/>
              <w:jc w:val="right"/>
            </w:pPr>
            <w:r>
              <w:t>(</w:t>
            </w:r>
            <w:fldSimple w:instr=" SEQ Equation \* ARABIC ">
              <w:r w:rsidR="001D797E">
                <w:rPr>
                  <w:noProof/>
                </w:rPr>
                <w:t>39</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58D3A5FC" w:rsidR="00916B59" w:rsidRDefault="00916B59">
            <w:pPr>
              <w:pStyle w:val="Caption"/>
              <w:keepNext/>
              <w:jc w:val="right"/>
            </w:pPr>
            <w:r>
              <w:t>(</w:t>
            </w:r>
            <w:fldSimple w:instr=" SEQ Equation \* ARABIC ">
              <w:r w:rsidR="001D797E">
                <w:rPr>
                  <w:noProof/>
                </w:rPr>
                <w:t>40</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24185B9C" w:rsidR="00916B59" w:rsidRDefault="00916B59">
            <w:pPr>
              <w:pStyle w:val="Caption"/>
              <w:keepNext/>
              <w:jc w:val="right"/>
            </w:pPr>
            <w:r>
              <w:t>(</w:t>
            </w:r>
            <w:fldSimple w:instr=" SEQ Equation \* ARABIC ">
              <w:r w:rsidR="001D797E">
                <w:rPr>
                  <w:noProof/>
                </w:rPr>
                <w:t>41</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34D4DC3B" w:rsidR="00916B59" w:rsidRDefault="00916B59">
            <w:pPr>
              <w:pStyle w:val="Caption"/>
              <w:keepNext/>
              <w:jc w:val="right"/>
            </w:pPr>
            <w:r>
              <w:t>(</w:t>
            </w:r>
            <w:fldSimple w:instr=" SEQ Equation \* ARABIC ">
              <w:r w:rsidR="001D797E">
                <w:rPr>
                  <w:noProof/>
                </w:rPr>
                <w:t>42</w:t>
              </w:r>
            </w:fldSimple>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56E5F7B1" w14:textId="77777777" w:rsidR="004229BC" w:rsidRPr="00F05299" w:rsidRDefault="004229BC" w:rsidP="004229BC">
      <w:pPr>
        <w:pStyle w:val="Heading1"/>
      </w:pPr>
      <w:bookmarkStart w:id="14" w:name="_Ref169916057"/>
      <w:bookmarkStart w:id="15" w:name="_Ref169916041"/>
      <w:r>
        <w:t>Data</w:t>
      </w:r>
      <w:bookmarkEnd w:id="14"/>
    </w:p>
    <w:p w14:paraId="48952B25" w14:textId="5FF62BD8" w:rsidR="004229BC" w:rsidRDefault="007D1EC5" w:rsidP="007D1EC5">
      <w:pPr>
        <w:pStyle w:val="Heading2"/>
      </w:pPr>
      <w:r>
        <w:t>Data Sources and Collection</w:t>
      </w:r>
    </w:p>
    <w:p w14:paraId="0D65D477" w14:textId="7C284B89" w:rsidR="007D1EC5" w:rsidRDefault="007D1EC5" w:rsidP="007D1EC5">
      <w:pPr>
        <w:rPr>
          <w:rFonts w:eastAsia="Times New Roman"/>
        </w:rPr>
      </w:pPr>
      <w:r>
        <w:t xml:space="preserve">The primary dataset used in this analysis consists of trade-level information on IR swaps obtained from Bloomberg's Swaps Data Repository (SDR) screen. Bloomberg compiles and </w:t>
      </w:r>
      <w:r>
        <w:lastRenderedPageBreak/>
        <w:t>disseminates this data from the Depository Trust and Clearing Corporation's Swaps Data Repository (DTCC SDR), one of the largest repositories designated by the Commodity Futures Trading Commission (CFTC) to collect and maintain records of swap transactions.</w:t>
      </w:r>
    </w:p>
    <w:p w14:paraId="169489B6" w14:textId="0BEE758E" w:rsidR="007D1EC5" w:rsidRDefault="007D1EC5"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5B73D299" w14:textId="4893BD75" w:rsidR="007D1EC5" w:rsidRDefault="007D1EC5" w:rsidP="007D1EC5">
      <w:r>
        <w:t xml:space="preserve">The DTCC SDR dataset from Bloomberg captures detailed trade information, including trade date and time, swap currency, notional value, fixed and floating rates, contract tenor, payment frequency, capped notional indicators, and clearing status. The dataset spans </w:t>
      </w:r>
      <w:r w:rsidR="00D07E5F">
        <w:t>the</w:t>
      </w:r>
      <w:r>
        <w:t xml:space="preserve"> windows around the phased implementation of the CFTC’s central clearing mandate, providing comprehensive coverage for analyzing the causal impact of the regulation on pricing, liquidity, and volatility of IR swaps.</w:t>
      </w:r>
    </w:p>
    <w:p w14:paraId="4C9A838E" w14:textId="08972639" w:rsidR="001F4E65" w:rsidRDefault="001F4E65" w:rsidP="007D1EC5">
      <w:proofErr w:type="gramStart"/>
      <w:r>
        <w:t>In order to</w:t>
      </w:r>
      <w:proofErr w:type="gramEnd"/>
      <w:r>
        <w:t xml:space="preserve"> price swaps</w:t>
      </w:r>
      <w:r w:rsidR="00D07E5F">
        <w:t xml:space="preserve"> properly</w:t>
      </w:r>
      <w:r>
        <w:t xml:space="preserve">, I need relevant yield curves. I also obtain </w:t>
      </w:r>
      <w:r w:rsidR="0049244E">
        <w:t>the data for this</w:t>
      </w:r>
      <w:r>
        <w:t xml:space="preserve"> from the </w:t>
      </w:r>
      <w:r w:rsidR="0049244E">
        <w:t xml:space="preserve">Bloomberg Terminal </w:t>
      </w:r>
      <w:r w:rsidR="00D07E5F">
        <w:t>(</w:t>
      </w:r>
      <w:r w:rsidR="0049244E">
        <w:t>YC function</w:t>
      </w:r>
      <w:r w:rsidR="00D07E5F">
        <w:t>)</w:t>
      </w:r>
      <w:r w:rsidR="0049244E">
        <w:t>. I detail the exact curve building methodology (including the specific curves used) in a later section.</w:t>
      </w:r>
    </w:p>
    <w:p w14:paraId="36951489" w14:textId="77777777" w:rsidR="00811D20" w:rsidRDefault="00811D20" w:rsidP="00811D20">
      <w:pPr>
        <w:pStyle w:val="Heading2"/>
      </w:pPr>
      <w:r>
        <w:t>Raw Data Description</w:t>
      </w:r>
    </w:p>
    <w:p w14:paraId="3E6A66A6" w14:textId="77777777" w:rsidR="00811D20" w:rsidRDefault="00811D20" w:rsidP="00811D20">
      <w:r>
        <w:t>The raw dataset comprises individual trade-level observations of IR swaps from the DTCC SDR, accessed via Bloomberg's terminal. Each trade observation includes detailed characteristics necessary for comprehensive analysis:</w:t>
      </w:r>
    </w:p>
    <w:p w14:paraId="3C09D04B" w14:textId="77777777" w:rsidR="00811D20" w:rsidRDefault="00811D20" w:rsidP="00811D20">
      <w:pPr>
        <w:pStyle w:val="ListParagraph"/>
        <w:numPr>
          <w:ilvl w:val="0"/>
          <w:numId w:val="8"/>
        </w:numPr>
      </w:pPr>
      <w:r w:rsidRPr="00811D20">
        <w:rPr>
          <w:b/>
          <w:bCs/>
        </w:rPr>
        <w:t>Trade Date and Time</w:t>
      </w:r>
      <w:r>
        <w:t>: Timestamp indicating when each swap trade was executed.</w:t>
      </w:r>
    </w:p>
    <w:p w14:paraId="16BB7CF9" w14:textId="77777777" w:rsidR="00811D20" w:rsidRDefault="00811D20" w:rsidP="00811D20">
      <w:pPr>
        <w:pStyle w:val="ListParagraph"/>
        <w:numPr>
          <w:ilvl w:val="0"/>
          <w:numId w:val="8"/>
        </w:numPr>
      </w:pPr>
      <w:r w:rsidRPr="00811D20">
        <w:rPr>
          <w:b/>
          <w:bCs/>
        </w:rPr>
        <w:t>Swap Currency</w:t>
      </w:r>
      <w:r>
        <w:t>: Denomination currency of the swap (primarily USD and CAD in this study).</w:t>
      </w:r>
    </w:p>
    <w:p w14:paraId="2FB67F32" w14:textId="77777777" w:rsidR="00811D20" w:rsidRDefault="00811D20" w:rsidP="00811D20">
      <w:pPr>
        <w:pStyle w:val="ListParagraph"/>
        <w:numPr>
          <w:ilvl w:val="0"/>
          <w:numId w:val="8"/>
        </w:numPr>
      </w:pPr>
      <w:r w:rsidRPr="00811D20">
        <w:rPr>
          <w:b/>
          <w:bCs/>
        </w:rPr>
        <w:t>Notional Value</w:t>
      </w:r>
      <w:r>
        <w:t>: The principal amount used to calculate payments exchanged by counterparties.</w:t>
      </w:r>
    </w:p>
    <w:p w14:paraId="69CFC40F" w14:textId="77777777" w:rsidR="00811D20" w:rsidRDefault="00811D20" w:rsidP="00811D20">
      <w:pPr>
        <w:pStyle w:val="ListParagraph"/>
        <w:numPr>
          <w:ilvl w:val="0"/>
          <w:numId w:val="8"/>
        </w:numPr>
      </w:pPr>
      <w:r w:rsidRPr="00811D20">
        <w:rPr>
          <w:b/>
          <w:bCs/>
        </w:rPr>
        <w:lastRenderedPageBreak/>
        <w:t>Fixed and Floating Rates</w:t>
      </w:r>
      <w:r>
        <w:t>: The fixed interest rate agreed upon in the swap contract, and the reference rate for floating payments (e.g., LIBOR for USD swaps and CDOR for CAD swaps).</w:t>
      </w:r>
    </w:p>
    <w:p w14:paraId="64189F48" w14:textId="77777777" w:rsidR="00811D20" w:rsidRDefault="00811D20" w:rsidP="00811D20">
      <w:pPr>
        <w:pStyle w:val="ListParagraph"/>
        <w:numPr>
          <w:ilvl w:val="0"/>
          <w:numId w:val="8"/>
        </w:numPr>
      </w:pPr>
      <w:r w:rsidRPr="00811D20">
        <w:rPr>
          <w:b/>
          <w:bCs/>
        </w:rPr>
        <w:t>Contract Tenor</w:t>
      </w:r>
      <w:r>
        <w:t>: Duration of the swap contract from effective date to maturity.</w:t>
      </w:r>
    </w:p>
    <w:p w14:paraId="5DB293C7" w14:textId="77777777" w:rsidR="00811D20" w:rsidRDefault="00811D20" w:rsidP="00811D20">
      <w:pPr>
        <w:pStyle w:val="ListParagraph"/>
        <w:numPr>
          <w:ilvl w:val="0"/>
          <w:numId w:val="8"/>
        </w:numPr>
      </w:pPr>
      <w:r w:rsidRPr="00811D20">
        <w:rPr>
          <w:b/>
          <w:bCs/>
        </w:rPr>
        <w:t>Payment Frequency</w:t>
      </w:r>
      <w:r>
        <w:t>: Interval at which payments are exchanged (semiannual for fixed leg, quarterly for floating leg).</w:t>
      </w:r>
    </w:p>
    <w:p w14:paraId="659A1CB8" w14:textId="77777777" w:rsidR="00811D20" w:rsidRDefault="00811D20" w:rsidP="00811D20">
      <w:pPr>
        <w:pStyle w:val="ListParagraph"/>
        <w:numPr>
          <w:ilvl w:val="0"/>
          <w:numId w:val="8"/>
        </w:numPr>
      </w:pPr>
      <w:r w:rsidRPr="00811D20">
        <w:rPr>
          <w:b/>
          <w:bCs/>
        </w:rPr>
        <w:t>Capped Notional Indicators</w:t>
      </w:r>
      <w:r>
        <w:t>: Indicators specifying if swaps have capped notional amounts.</w:t>
      </w:r>
    </w:p>
    <w:p w14:paraId="6A3F5B19" w14:textId="77777777" w:rsidR="00811D20" w:rsidRDefault="00811D20" w:rsidP="00811D20">
      <w:pPr>
        <w:pStyle w:val="ListParagraph"/>
        <w:numPr>
          <w:ilvl w:val="0"/>
          <w:numId w:val="8"/>
        </w:numPr>
      </w:pPr>
      <w:r w:rsidRPr="00811D20">
        <w:rPr>
          <w:b/>
          <w:bCs/>
        </w:rPr>
        <w:t>Clearing Status</w:t>
      </w:r>
      <w:r>
        <w:t>: Indicator specifying whether a swap was centrally cleared or uncleared.</w:t>
      </w:r>
    </w:p>
    <w:p w14:paraId="268F64B6" w14:textId="7EF9ABCA" w:rsidR="007D1EC5" w:rsidRDefault="00811D20" w:rsidP="00811D20">
      <w:r>
        <w:t>The dataset covers trades conducted around the three implementation phases of the CFTC’s central clearing mandate: Phase 1 (March 11, 2013), Phase 2 (June 10, 2013), and Phase 3 (September 9, 2013). These periods include ten trading days before and after each implementation phase, ensuring comparability across pre- and post-regulatory environments.</w:t>
      </w:r>
    </w:p>
    <w:p w14:paraId="3627E04E" w14:textId="4E762872" w:rsidR="001E1669" w:rsidRDefault="001E1669" w:rsidP="00811D20">
      <w:r>
        <w:fldChar w:fldCharType="begin"/>
      </w:r>
      <w:r>
        <w:instrText xml:space="preserve"> REF _Ref202379438 \h </w:instrText>
      </w:r>
      <w:r>
        <w:fldChar w:fldCharType="separate"/>
      </w:r>
      <w:r w:rsidR="001D797E">
        <w:t xml:space="preserve">Table </w:t>
      </w:r>
      <w:r w:rsidR="001D797E">
        <w:rPr>
          <w:noProof/>
        </w:rPr>
        <w:t>3</w:t>
      </w:r>
      <w:r>
        <w:fldChar w:fldCharType="end"/>
      </w:r>
      <w:r>
        <w:t xml:space="preserve"> shows the counts and </w:t>
      </w:r>
      <w:r w:rsidR="00370098">
        <w:t xml:space="preserve">total </w:t>
      </w:r>
      <w:r>
        <w:t xml:space="preserve">notional values </w:t>
      </w:r>
      <w:r w:rsidR="00370098">
        <w:t xml:space="preserve">by floating leg reference. LIBOR was the most common floating leg reference for USD denominated contracts, used for more than 95% of all USD contracts (whether by count or total notional value). The CDOR was the most common reference rate for CAD-denominated contracts (again for more than 95% of CAD-denominated contracts). Other reference rates for USD contracts included the Fed Funds Rate, Prime Rate, OIS Rate, and several municipal rate indices. Interestingly, there are several contracts that use </w:t>
      </w:r>
      <w:r w:rsidR="001932BF">
        <w:t>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out in USD. For CAD-denominated contracts, besides the CDOR, the other reference rate was the CORRA (which is an overnight rate). Clearing trended from 61% prior to implementation of phase 1, to 78% after phase 1, and 89% after phase 2. It stayed at 89%</w:t>
      </w:r>
      <w:r w:rsidR="008A3C17">
        <w:t xml:space="preserve"> following the implementation of phase 3. For CAD-denominated swaps, clearing hovered between 48%-59%.</w:t>
      </w:r>
    </w:p>
    <w:p w14:paraId="1B8A8EDF" w14:textId="2D97C499" w:rsidR="00D07E5F" w:rsidRDefault="00D07E5F">
      <w:pPr>
        <w:spacing w:line="240" w:lineRule="auto"/>
        <w:ind w:firstLine="0"/>
        <w:jc w:val="left"/>
      </w:pPr>
      <w:r>
        <w:br w:type="page"/>
      </w:r>
    </w:p>
    <w:p w14:paraId="2D88EB92" w14:textId="5A7A1AD7" w:rsidR="00D07E5F" w:rsidRDefault="00D07E5F" w:rsidP="00D07E5F">
      <w:pPr>
        <w:pStyle w:val="Caption"/>
        <w:keepNext/>
        <w:ind w:firstLine="0"/>
      </w:pPr>
      <w:bookmarkStart w:id="16" w:name="_Ref202379438"/>
      <w:r>
        <w:lastRenderedPageBreak/>
        <w:t xml:space="preserve">Table </w:t>
      </w:r>
      <w:fldSimple w:instr=" SEQ Table \* ARABIC ">
        <w:r w:rsidR="001D797E">
          <w:rPr>
            <w:noProof/>
          </w:rPr>
          <w:t>3</w:t>
        </w:r>
      </w:fldSimple>
      <w:bookmarkEnd w:id="16"/>
      <w:r>
        <w:t xml:space="preserve"> </w:t>
      </w:r>
      <w:r>
        <w:rPr>
          <w:noProof/>
        </w:rPr>
        <w:t>Number of contracts and notional values by clearing status and reference rate for USD and CAD IR swaps (unfiltered data set). 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5"/>
        <w:gridCol w:w="2826"/>
        <w:gridCol w:w="988"/>
        <w:gridCol w:w="1347"/>
        <w:gridCol w:w="1226"/>
        <w:gridCol w:w="1371"/>
        <w:gridCol w:w="997"/>
      </w:tblGrid>
      <w:tr w:rsidR="00D07E5F" w:rsidRPr="004B58B8" w14:paraId="779567A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1FF7917F" w14:textId="0FE49955" w:rsidR="00D07E5F" w:rsidRPr="004B58B8" w:rsidRDefault="004B58B8"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D07E5F" w:rsidRPr="004B58B8" w14:paraId="38E64397" w14:textId="77777777" w:rsidTr="004B58B8">
        <w:trPr>
          <w:trHeight w:val="1020"/>
        </w:trPr>
        <w:tc>
          <w:tcPr>
            <w:tcW w:w="270" w:type="dxa"/>
            <w:tcBorders>
              <w:bottom w:val="single" w:sz="4" w:space="0" w:color="auto"/>
            </w:tcBorders>
            <w:shd w:val="clear" w:color="auto" w:fill="auto"/>
            <w:vAlign w:val="center"/>
            <w:hideMark/>
          </w:tcPr>
          <w:p w14:paraId="002A6A1F" w14:textId="513EBC3A" w:rsidR="00D07E5F" w:rsidRPr="004B58B8"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7635CAED"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08B6D1A0"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68949BA6"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282415CF"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0B656C43"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(Notional Value)</w:t>
            </w:r>
          </w:p>
        </w:tc>
        <w:tc>
          <w:tcPr>
            <w:tcW w:w="0" w:type="auto"/>
            <w:tcBorders>
              <w:bottom w:val="single" w:sz="4" w:space="0" w:color="auto"/>
            </w:tcBorders>
            <w:shd w:val="clear" w:color="auto" w:fill="auto"/>
            <w:vAlign w:val="center"/>
            <w:hideMark/>
          </w:tcPr>
          <w:p w14:paraId="4CF6F372" w14:textId="77777777" w:rsidR="00D07E5F" w:rsidRPr="004B58B8" w:rsidRDefault="00D07E5F"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D07E5F" w:rsidRPr="004B58B8" w14:paraId="6930C639"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74BBD643"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6517C37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5BB1D70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093605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40E2DA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59E210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97C36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D07E5F" w:rsidRPr="004B58B8" w14:paraId="37E1DF7E" w14:textId="77777777" w:rsidTr="004B58B8">
        <w:trPr>
          <w:trHeight w:val="300"/>
        </w:trPr>
        <w:tc>
          <w:tcPr>
            <w:tcW w:w="270" w:type="dxa"/>
            <w:tcBorders>
              <w:right w:val="single" w:sz="4" w:space="0" w:color="auto"/>
            </w:tcBorders>
            <w:shd w:val="clear" w:color="auto" w:fill="auto"/>
            <w:noWrap/>
            <w:vAlign w:val="bottom"/>
            <w:hideMark/>
          </w:tcPr>
          <w:p w14:paraId="0F315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2EACE8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5015E0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080A4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2460F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44D6CEB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FC4B1B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97DED21" w14:textId="77777777" w:rsidTr="004B58B8">
        <w:trPr>
          <w:trHeight w:val="300"/>
        </w:trPr>
        <w:tc>
          <w:tcPr>
            <w:tcW w:w="270" w:type="dxa"/>
            <w:tcBorders>
              <w:right w:val="single" w:sz="4" w:space="0" w:color="auto"/>
            </w:tcBorders>
            <w:shd w:val="clear" w:color="auto" w:fill="auto"/>
            <w:noWrap/>
            <w:vAlign w:val="bottom"/>
            <w:hideMark/>
          </w:tcPr>
          <w:p w14:paraId="6F47B8E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D8DE88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381EAF7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C3DCD4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9F827D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001CDB7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6E1C29D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AF95C56" w14:textId="77777777" w:rsidTr="004B58B8">
        <w:trPr>
          <w:trHeight w:val="300"/>
        </w:trPr>
        <w:tc>
          <w:tcPr>
            <w:tcW w:w="270" w:type="dxa"/>
            <w:tcBorders>
              <w:right w:val="single" w:sz="4" w:space="0" w:color="auto"/>
            </w:tcBorders>
            <w:shd w:val="clear" w:color="auto" w:fill="auto"/>
            <w:noWrap/>
            <w:vAlign w:val="bottom"/>
            <w:hideMark/>
          </w:tcPr>
          <w:p w14:paraId="7EFEF2E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5B9D26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14C87EC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AB439D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1F1C952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26929FA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204BDF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236C9683" w14:textId="77777777" w:rsidTr="004B58B8">
        <w:trPr>
          <w:trHeight w:val="300"/>
        </w:trPr>
        <w:tc>
          <w:tcPr>
            <w:tcW w:w="270" w:type="dxa"/>
            <w:tcBorders>
              <w:right w:val="single" w:sz="4" w:space="0" w:color="auto"/>
            </w:tcBorders>
            <w:shd w:val="clear" w:color="auto" w:fill="auto"/>
            <w:noWrap/>
            <w:vAlign w:val="bottom"/>
            <w:hideMark/>
          </w:tcPr>
          <w:p w14:paraId="7B584FB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5F819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19FC9E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B6863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3EBA20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5776CB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519385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305711BC" w14:textId="77777777" w:rsidTr="004B58B8">
        <w:trPr>
          <w:trHeight w:val="300"/>
        </w:trPr>
        <w:tc>
          <w:tcPr>
            <w:tcW w:w="270" w:type="dxa"/>
            <w:tcBorders>
              <w:right w:val="single" w:sz="4" w:space="0" w:color="auto"/>
            </w:tcBorders>
            <w:shd w:val="clear" w:color="auto" w:fill="auto"/>
            <w:noWrap/>
            <w:vAlign w:val="bottom"/>
            <w:hideMark/>
          </w:tcPr>
          <w:p w14:paraId="17D6EF6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2BAA93F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49FB2CE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3F60F94"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1C0780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5FCAA26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7BC42F4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4B5E756" w14:textId="77777777" w:rsidTr="004B58B8">
        <w:trPr>
          <w:trHeight w:val="300"/>
        </w:trPr>
        <w:tc>
          <w:tcPr>
            <w:tcW w:w="270" w:type="dxa"/>
            <w:tcBorders>
              <w:right w:val="single" w:sz="4" w:space="0" w:color="auto"/>
            </w:tcBorders>
            <w:shd w:val="clear" w:color="auto" w:fill="auto"/>
            <w:noWrap/>
            <w:vAlign w:val="bottom"/>
            <w:hideMark/>
          </w:tcPr>
          <w:p w14:paraId="175029B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95C67AE"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69026C2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CFB19D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81A02A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48E47C1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0079336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5037BF5F" w14:textId="77777777" w:rsidTr="004B58B8">
        <w:trPr>
          <w:trHeight w:val="300"/>
        </w:trPr>
        <w:tc>
          <w:tcPr>
            <w:tcW w:w="270" w:type="dxa"/>
            <w:tcBorders>
              <w:right w:val="single" w:sz="4" w:space="0" w:color="auto"/>
            </w:tcBorders>
            <w:shd w:val="clear" w:color="auto" w:fill="auto"/>
            <w:noWrap/>
            <w:vAlign w:val="bottom"/>
            <w:hideMark/>
          </w:tcPr>
          <w:p w14:paraId="11789D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5B4B3C7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705C278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664981"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11EA85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702BE5B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5F18A9D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04FC9172" w14:textId="77777777" w:rsidTr="004B58B8">
        <w:trPr>
          <w:trHeight w:val="300"/>
        </w:trPr>
        <w:tc>
          <w:tcPr>
            <w:tcW w:w="270" w:type="dxa"/>
            <w:tcBorders>
              <w:right w:val="single" w:sz="4" w:space="0" w:color="auto"/>
            </w:tcBorders>
            <w:shd w:val="clear" w:color="auto" w:fill="auto"/>
            <w:noWrap/>
            <w:vAlign w:val="bottom"/>
            <w:hideMark/>
          </w:tcPr>
          <w:p w14:paraId="05B57070"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CA732C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55530D8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6E3BA2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0CB7A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91E4B7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3A41AFA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62F78BE0" w14:textId="77777777" w:rsidTr="004B58B8">
        <w:trPr>
          <w:trHeight w:val="300"/>
        </w:trPr>
        <w:tc>
          <w:tcPr>
            <w:tcW w:w="270" w:type="dxa"/>
            <w:tcBorders>
              <w:right w:val="single" w:sz="4" w:space="0" w:color="auto"/>
            </w:tcBorders>
            <w:shd w:val="clear" w:color="auto" w:fill="auto"/>
            <w:noWrap/>
            <w:vAlign w:val="bottom"/>
            <w:hideMark/>
          </w:tcPr>
          <w:p w14:paraId="6864704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033E73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12396B1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3FCE29D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6328312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17F2EF1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5DCB7FE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8E869D8"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4DBDF5F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0B925D5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0913FDE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5EFFF68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CA0BB8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5D47363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FF86FD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D07E5F" w:rsidRPr="004B58B8" w14:paraId="4DB95CDC"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17316747" w14:textId="77777777" w:rsidR="00D07E5F" w:rsidRPr="004B58B8" w:rsidRDefault="00D07E5F"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D53C02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7100265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2DCC711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171C2959"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2E6AFD92"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598E936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D07E5F" w:rsidRPr="004B58B8" w14:paraId="559938F3" w14:textId="77777777" w:rsidTr="004B58B8">
        <w:trPr>
          <w:trHeight w:val="56"/>
        </w:trPr>
        <w:tc>
          <w:tcPr>
            <w:tcW w:w="270" w:type="dxa"/>
            <w:shd w:val="clear" w:color="auto" w:fill="auto"/>
            <w:noWrap/>
            <w:vAlign w:val="bottom"/>
            <w:hideMark/>
          </w:tcPr>
          <w:p w14:paraId="5B2C5596"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4EDC4A6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741E8B3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2CF68E3"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79F7B73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F3D72C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6369316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1B895FBC" w14:textId="77777777" w:rsidR="00D07E5F" w:rsidRDefault="00D07E5F"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B58B8" w:rsidRPr="0009785E" w14:paraId="58DFFD24"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42307AB3" w14:textId="3CE88818"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D07E5F" w:rsidRPr="0009785E" w14:paraId="37B5830A"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20D4EA48" w14:textId="2732495B"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232C893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7E992AF7"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5124F1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A7063CB"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4B13F10"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CCF3E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49F597F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70F139"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0CE2E25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711D3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01F697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6C31BA2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4AC00E1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E96C8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D07E5F" w:rsidRPr="0009785E" w14:paraId="3A8330B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D4A50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11CC729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B53B07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A4A6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8FD47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17D5E0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32195F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4A3E44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5F0023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39107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1DD4546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B6B02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91E0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36AF21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38D73F4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E3A651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79754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495C7F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612523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844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8895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7DFE77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3BEEA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5E307F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451313"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41F9931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1E8C0B3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96B8C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BCA4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2CB65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FF06F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E31E8E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B4B50C"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C92309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F5E5F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81C79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D3D01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3E1E3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6BE4A8F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EEF23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BC117E0"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9BDAF0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CF1C59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236F8D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F5440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93F4D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1C90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923A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40AFAE"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A0757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1C7F6A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4D5D7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08B74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76B755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082131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BB7C86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C8C384"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9018A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4B2A36E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88E1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3E1F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824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BAD8AE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1BCC0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8F8EC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2662C9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4C92F5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52AD77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986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BC35C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00AEEC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45F4F981"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513FAC96"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12CCD4A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5707D70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D1DE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2848E1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0EED627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43E86845"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AE3CB8"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214ACEB"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E3A922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3805D9C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537F970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60D2DB0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1429D82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245597D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D07E5F" w:rsidRPr="0009785E" w14:paraId="67DFC7C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15C01C2"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1BC620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630A266C"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770E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B8316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54BF8BD"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1E92269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6222157C"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EFFCB0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61B913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6A9E0E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B117D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EC3B1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1A4C79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6989AF9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0EEC786F" w14:textId="69624C5F" w:rsidR="00D07E5F" w:rsidRDefault="004B58B8"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B58B8" w:rsidRPr="0009785E" w14:paraId="31F35978"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5165301B" w14:textId="0E645CB7" w:rsidR="004B58B8" w:rsidRPr="0009785E"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D07E5F" w:rsidRPr="0009785E" w14:paraId="3F8365B3"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2E9FB641" w14:textId="377FC444" w:rsidR="00D07E5F" w:rsidRPr="0009785E"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401FA86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98CCB51"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960AFFA"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D4BE396"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366BC33"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74EA7AD" w14:textId="77777777" w:rsidR="00D07E5F" w:rsidRPr="0009785E" w:rsidRDefault="00D07E5F"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D07E5F" w:rsidRPr="0009785E" w14:paraId="63C2247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EE1534E"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1545918F"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28EDD39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46DB54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673FA3E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0F8009B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E01BD2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D07E5F" w:rsidRPr="0009785E" w14:paraId="419713B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FD8B8D"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7EDF5B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59B47F0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9F4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AD69F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0C71AF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16382A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9A320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BDCE471"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434B8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592990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405DD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19667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97CE14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6DA8EB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70E151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2F775A"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20287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61D7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379C6C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CB10B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664D093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3467101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3CF332A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EFC6005"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FC4882"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2376488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BC9C18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116DD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5B0CF1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1B057F5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02107EC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8EB08C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BBCD1DF"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5CC43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844CB7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3ED757"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D8248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1FD6B7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2D306B4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DDCB498"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709015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F843F98"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F88626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345F31"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3496B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E87DCD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06B68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FE1E7" w14:textId="77777777" w:rsidR="00D07E5F" w:rsidRPr="0009785E" w:rsidRDefault="00D07E5F"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6BDA185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28E5592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19A6EB6"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C95F66A"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401B0020"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66E092C4"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D07E5F" w:rsidRPr="0009785E" w14:paraId="59E1721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3898E86" w14:textId="77777777" w:rsidR="00D07E5F" w:rsidRPr="0009785E" w:rsidRDefault="00D07E5F"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nil"/>
              <w:left w:val="nil"/>
              <w:bottom w:val="nil"/>
              <w:right w:val="nil"/>
            </w:tcBorders>
            <w:shd w:val="clear" w:color="auto" w:fill="auto"/>
            <w:noWrap/>
            <w:vAlign w:val="center"/>
            <w:hideMark/>
          </w:tcPr>
          <w:p w14:paraId="0F2D7948"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nil"/>
              <w:left w:val="nil"/>
              <w:bottom w:val="nil"/>
              <w:right w:val="nil"/>
            </w:tcBorders>
            <w:shd w:val="clear" w:color="auto" w:fill="auto"/>
            <w:noWrap/>
            <w:vAlign w:val="center"/>
            <w:hideMark/>
          </w:tcPr>
          <w:p w14:paraId="5E92876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3660BEB3"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3880BBC9"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3DB0D0EE"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34C1C2B" w14:textId="77777777" w:rsidR="00D07E5F" w:rsidRPr="0009785E" w:rsidRDefault="00D07E5F"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2D5846C5" w14:textId="77777777" w:rsidR="00D07E5F" w:rsidRDefault="00D07E5F"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B58B8" w:rsidRPr="000D4B1B" w14:paraId="30E7846B"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4611B8B3" w14:textId="583A51EA"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D07E5F" w:rsidRPr="000D4B1B" w14:paraId="49907DFC"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7F20C84F" w14:textId="79F28E70"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27B18D97"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61919C5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A26ADB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8E1FFBF"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11D0ED1"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2CE25E4"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229259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3E0FE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32F4E537"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780A2FB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9D57D4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E34327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4380A3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912D56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D07E5F" w:rsidRPr="000D4B1B" w14:paraId="7722C26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92286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923EE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7279CA6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55AC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D8CB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5209BC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5A973D9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09BFC0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894051"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B7514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45ABF13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517E4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67607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5EB63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2667B7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76567291"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201997"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2982A48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3EE8D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B2C73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92327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DA61D9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8CA5C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1D91AD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D7625E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899DB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18D48F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4689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9D72A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4425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59620E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74DAF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0E7CC2D"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790AFE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4B98E7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9BE2D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5B44D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086D2FB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FCD6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0C1DC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A5287A2"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B2A2C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BF1F5F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74D6F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67DF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0FCEC2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01FC7B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1E16233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1DED4CF"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C96EA4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64A79BC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0F512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A7DE7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60E4AA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6D52D72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0B12F15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25168C4"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82D10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13CF9A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6DA18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DAD19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BA6A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48E886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E38E60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0C26DD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DFD21B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2302EA9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EF0BA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9F139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13BF160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24BC7DF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6F92AA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7DEC749" w14:textId="77777777" w:rsidR="00D07E5F" w:rsidRPr="000D4B1B" w:rsidRDefault="00D07E5F"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nil"/>
              <w:left w:val="nil"/>
              <w:bottom w:val="nil"/>
              <w:right w:val="nil"/>
            </w:tcBorders>
            <w:shd w:val="clear" w:color="auto" w:fill="auto"/>
            <w:noWrap/>
            <w:vAlign w:val="center"/>
            <w:hideMark/>
          </w:tcPr>
          <w:p w14:paraId="588FFC55"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nil"/>
              <w:left w:val="nil"/>
              <w:bottom w:val="nil"/>
              <w:right w:val="nil"/>
            </w:tcBorders>
            <w:shd w:val="clear" w:color="auto" w:fill="auto"/>
            <w:noWrap/>
            <w:vAlign w:val="center"/>
            <w:hideMark/>
          </w:tcPr>
          <w:p w14:paraId="26D0274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A8016A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3EF0E2A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A34C59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58C006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5183C57" w14:textId="77777777" w:rsidR="00D07E5F" w:rsidRDefault="00D07E5F" w:rsidP="00811D20"/>
    <w:p w14:paraId="140D6AE2" w14:textId="61CA1DC4" w:rsidR="00D07E5F" w:rsidRDefault="00D07E5F">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B58B8" w:rsidRPr="000D4B1B" w14:paraId="2DDAF580"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7C5D999C" w14:textId="1CB524F6" w:rsidR="004B58B8" w:rsidRPr="000D4B1B"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D07E5F" w:rsidRPr="000D4B1B" w14:paraId="772B3BF7"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2C67135" w14:textId="15B9326A" w:rsidR="00D07E5F" w:rsidRPr="000D4B1B"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71F1D91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662140B5"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BC5060"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7642693"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828BBFC"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DC05936" w14:textId="77777777" w:rsidR="00D07E5F" w:rsidRPr="000D4B1B" w:rsidRDefault="00D07E5F"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D07E5F" w:rsidRPr="000D4B1B" w14:paraId="3A970042" w14:textId="77777777" w:rsidTr="004B58B8">
        <w:trPr>
          <w:trHeight w:val="300"/>
        </w:trPr>
        <w:tc>
          <w:tcPr>
            <w:tcW w:w="630" w:type="dxa"/>
            <w:tcBorders>
              <w:top w:val="nil"/>
              <w:left w:val="nil"/>
              <w:bottom w:val="nil"/>
              <w:right w:val="nil"/>
            </w:tcBorders>
            <w:shd w:val="clear" w:color="auto" w:fill="auto"/>
            <w:noWrap/>
            <w:vAlign w:val="bottom"/>
            <w:hideMark/>
          </w:tcPr>
          <w:p w14:paraId="50A85A48"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59C570B"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39C4278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352C1F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8C384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7FBBE40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66287E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D07E5F" w:rsidRPr="000D4B1B" w14:paraId="2179B2DB" w14:textId="77777777" w:rsidTr="004B58B8">
        <w:trPr>
          <w:trHeight w:val="300"/>
        </w:trPr>
        <w:tc>
          <w:tcPr>
            <w:tcW w:w="630" w:type="dxa"/>
            <w:tcBorders>
              <w:top w:val="nil"/>
              <w:left w:val="nil"/>
              <w:bottom w:val="nil"/>
              <w:right w:val="nil"/>
            </w:tcBorders>
            <w:shd w:val="clear" w:color="auto" w:fill="auto"/>
            <w:noWrap/>
            <w:vAlign w:val="bottom"/>
            <w:hideMark/>
          </w:tcPr>
          <w:p w14:paraId="4DF1AB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B3A4D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16AB106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195C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FC33B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5891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2EE4FAE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5154ACF" w14:textId="77777777" w:rsidTr="004B58B8">
        <w:trPr>
          <w:trHeight w:val="300"/>
        </w:trPr>
        <w:tc>
          <w:tcPr>
            <w:tcW w:w="630" w:type="dxa"/>
            <w:tcBorders>
              <w:top w:val="nil"/>
              <w:left w:val="nil"/>
              <w:bottom w:val="nil"/>
              <w:right w:val="nil"/>
            </w:tcBorders>
            <w:shd w:val="clear" w:color="auto" w:fill="auto"/>
            <w:noWrap/>
            <w:vAlign w:val="bottom"/>
            <w:hideMark/>
          </w:tcPr>
          <w:p w14:paraId="54CF2D9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2B15A066"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77B7440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B93AE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16581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93F04F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31AF171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5CAE4E25" w14:textId="77777777" w:rsidTr="004B58B8">
        <w:trPr>
          <w:trHeight w:val="300"/>
        </w:trPr>
        <w:tc>
          <w:tcPr>
            <w:tcW w:w="630" w:type="dxa"/>
            <w:tcBorders>
              <w:top w:val="nil"/>
              <w:left w:val="nil"/>
              <w:bottom w:val="nil"/>
              <w:right w:val="nil"/>
            </w:tcBorders>
            <w:shd w:val="clear" w:color="auto" w:fill="auto"/>
            <w:noWrap/>
            <w:vAlign w:val="bottom"/>
            <w:hideMark/>
          </w:tcPr>
          <w:p w14:paraId="3CE3BA4C"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76EB9F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3DE04591"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D99E8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A436A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48D17DA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7CF745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2247DC56" w14:textId="77777777" w:rsidTr="004B58B8">
        <w:trPr>
          <w:trHeight w:val="300"/>
        </w:trPr>
        <w:tc>
          <w:tcPr>
            <w:tcW w:w="630" w:type="dxa"/>
            <w:tcBorders>
              <w:top w:val="nil"/>
              <w:left w:val="nil"/>
              <w:bottom w:val="nil"/>
              <w:right w:val="nil"/>
            </w:tcBorders>
            <w:shd w:val="clear" w:color="auto" w:fill="auto"/>
            <w:noWrap/>
            <w:vAlign w:val="bottom"/>
            <w:hideMark/>
          </w:tcPr>
          <w:p w14:paraId="25F8D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599A3C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22CAB6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B7C13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27D3DEB"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29BD3B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5B9C9D35"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37BA757C" w14:textId="77777777" w:rsidTr="004B58B8">
        <w:trPr>
          <w:trHeight w:val="300"/>
        </w:trPr>
        <w:tc>
          <w:tcPr>
            <w:tcW w:w="630" w:type="dxa"/>
            <w:tcBorders>
              <w:top w:val="nil"/>
              <w:left w:val="nil"/>
              <w:bottom w:val="nil"/>
              <w:right w:val="nil"/>
            </w:tcBorders>
            <w:shd w:val="clear" w:color="auto" w:fill="auto"/>
            <w:noWrap/>
            <w:vAlign w:val="bottom"/>
            <w:hideMark/>
          </w:tcPr>
          <w:p w14:paraId="39DCA02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FF94BB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79D9965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6AA8E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DDAF0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48FAF7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674AB2C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6376E6B1" w14:textId="77777777" w:rsidTr="004B58B8">
        <w:trPr>
          <w:trHeight w:val="300"/>
        </w:trPr>
        <w:tc>
          <w:tcPr>
            <w:tcW w:w="630" w:type="dxa"/>
            <w:tcBorders>
              <w:top w:val="nil"/>
              <w:left w:val="nil"/>
              <w:bottom w:val="nil"/>
              <w:right w:val="nil"/>
            </w:tcBorders>
            <w:shd w:val="clear" w:color="auto" w:fill="auto"/>
            <w:noWrap/>
            <w:vAlign w:val="bottom"/>
            <w:hideMark/>
          </w:tcPr>
          <w:p w14:paraId="0739D81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122924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651F3E0"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05A28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39F4A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6CA1E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148C3FC3"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D07E5F" w:rsidRPr="000D4B1B" w14:paraId="4E108F4A" w14:textId="77777777" w:rsidTr="004B58B8">
        <w:trPr>
          <w:trHeight w:val="300"/>
        </w:trPr>
        <w:tc>
          <w:tcPr>
            <w:tcW w:w="630" w:type="dxa"/>
            <w:tcBorders>
              <w:top w:val="nil"/>
              <w:left w:val="nil"/>
              <w:bottom w:val="nil"/>
              <w:right w:val="nil"/>
            </w:tcBorders>
            <w:shd w:val="clear" w:color="auto" w:fill="auto"/>
            <w:noWrap/>
            <w:vAlign w:val="bottom"/>
            <w:hideMark/>
          </w:tcPr>
          <w:p w14:paraId="637CFFBF" w14:textId="77777777" w:rsidR="00D07E5F" w:rsidRPr="00CD4470" w:rsidRDefault="00D07E5F"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nil"/>
              <w:left w:val="nil"/>
              <w:bottom w:val="nil"/>
              <w:right w:val="nil"/>
            </w:tcBorders>
            <w:shd w:val="clear" w:color="auto" w:fill="auto"/>
            <w:noWrap/>
            <w:vAlign w:val="center"/>
            <w:hideMark/>
          </w:tcPr>
          <w:p w14:paraId="4D6C2E5C"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nil"/>
              <w:left w:val="nil"/>
              <w:bottom w:val="nil"/>
              <w:right w:val="nil"/>
            </w:tcBorders>
            <w:shd w:val="clear" w:color="auto" w:fill="auto"/>
            <w:noWrap/>
            <w:vAlign w:val="center"/>
            <w:hideMark/>
          </w:tcPr>
          <w:p w14:paraId="4A3B4F72"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063A1F4"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948E9C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2D3E4759"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4943EE0F"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D07E5F" w:rsidRPr="000D4B1B" w14:paraId="0E7B94E0" w14:textId="77777777" w:rsidTr="004B58B8">
        <w:trPr>
          <w:trHeight w:val="300"/>
        </w:trPr>
        <w:tc>
          <w:tcPr>
            <w:tcW w:w="630" w:type="dxa"/>
            <w:tcBorders>
              <w:top w:val="nil"/>
              <w:left w:val="nil"/>
              <w:bottom w:val="nil"/>
              <w:right w:val="nil"/>
            </w:tcBorders>
            <w:shd w:val="clear" w:color="auto" w:fill="auto"/>
            <w:noWrap/>
            <w:vAlign w:val="bottom"/>
            <w:hideMark/>
          </w:tcPr>
          <w:p w14:paraId="6C55DB8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34D4AFFA"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5E6FD81E"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C2EFF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7D5E67"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9B76AD"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63249BD8" w14:textId="77777777" w:rsidR="00D07E5F" w:rsidRPr="000D4B1B" w:rsidRDefault="00D07E5F"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21E4D4DA" w14:textId="77777777" w:rsidR="00D07E5F" w:rsidRDefault="00D07E5F"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B58B8" w:rsidRPr="008E38DA" w14:paraId="30B7C016"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51AE8F2E" w14:textId="3F8FA4F2" w:rsidR="004B58B8" w:rsidRPr="008E38DA" w:rsidRDefault="004B58B8"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D07E5F" w:rsidRPr="008E38DA" w14:paraId="6C1F3DA2"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54F88945" w14:textId="78EA8EC4" w:rsidR="00D07E5F" w:rsidRPr="008E38DA" w:rsidRDefault="004B58B8"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5DB70E08"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2A22D4F"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2B118D3"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F122A6C"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6F24DED"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8A424AA" w14:textId="77777777" w:rsidR="00D07E5F" w:rsidRPr="008E38DA" w:rsidRDefault="00D07E5F"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D07E5F" w:rsidRPr="008E38DA" w14:paraId="2D2E54D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58C72A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7818363A"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53E558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206F52F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69CEDE0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40291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04B19F0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D07E5F" w:rsidRPr="008E38DA" w14:paraId="1F0E4EF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57A7827"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660502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57EFB5C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E0D7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F7EE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437C84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1AF75F4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3D2CDF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F8AB2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8CAEB4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BB1FE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66A68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B27501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E39064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0CB2D6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5643CD4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93344D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EE569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FF4CE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3687C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0282F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06698F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1B06284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8E43DA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2274AC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86C85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6424F4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8E88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A212A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13B1BD5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4B9D9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691E2F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71CDB8C"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91F5B1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2F60A9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0069F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EEEFEC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1B0F9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D5CA77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A9EC20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5BCE9EE"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B6745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3D8706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15D1C9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1FEDA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FEE17F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C19F3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09FB4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864230"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4A5F56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4DC3E1E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BD6BCC"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DD62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2BD47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F8193A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4942EEA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EFABB6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5012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3992E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C6678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FD48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10846E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596122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202BB23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7CB6FD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8F454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D61A6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638E586"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CA436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88E50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7C79F0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1341EDC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75FF0E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6AA4F8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0EB98D9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799F6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E4886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1550F5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DE0C71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3074D5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34BEF3D"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325F257"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11CEE52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938B74B"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DC9AB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D27B8CA"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27E90F93"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3EE959E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A2F2C18"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nil"/>
              <w:left w:val="nil"/>
              <w:bottom w:val="nil"/>
              <w:right w:val="nil"/>
            </w:tcBorders>
            <w:shd w:val="clear" w:color="auto" w:fill="auto"/>
            <w:noWrap/>
            <w:vAlign w:val="center"/>
            <w:hideMark/>
          </w:tcPr>
          <w:p w14:paraId="3EBB699D" w14:textId="77777777" w:rsidR="00D07E5F" w:rsidRPr="004B58B8" w:rsidRDefault="00D07E5F"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nil"/>
              <w:left w:val="nil"/>
              <w:bottom w:val="nil"/>
              <w:right w:val="nil"/>
            </w:tcBorders>
            <w:shd w:val="clear" w:color="auto" w:fill="auto"/>
            <w:noWrap/>
            <w:vAlign w:val="center"/>
            <w:hideMark/>
          </w:tcPr>
          <w:p w14:paraId="36CF7E2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127A15E"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8666F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0CBD941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5FE713A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D07E5F" w:rsidRPr="008E38DA" w14:paraId="1337D93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92A351B"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034405E8"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3A3587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86B0F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40DB3D"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1277A45"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28A6B02"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D07E5F" w:rsidRPr="008E38DA" w14:paraId="0A70A3B9"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6094A9E9" w14:textId="77777777" w:rsidR="00D07E5F" w:rsidRPr="008E38DA" w:rsidRDefault="00D07E5F"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2473074"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401A9FB1"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6D231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E70DE0"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540C4E3F"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722BB19" w14:textId="77777777" w:rsidR="00D07E5F" w:rsidRPr="008E38DA" w:rsidRDefault="00D07E5F"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24B7C9D" w14:textId="77777777" w:rsidR="00D07E5F" w:rsidRDefault="00D07E5F" w:rsidP="00811D20"/>
    <w:p w14:paraId="62E597C1" w14:textId="1CFBC200" w:rsidR="00D07E5F" w:rsidRDefault="00D07E5F">
      <w:pPr>
        <w:spacing w:line="240" w:lineRule="auto"/>
        <w:ind w:firstLine="0"/>
        <w:jc w:val="left"/>
      </w:pPr>
      <w:r>
        <w:br w:type="page"/>
      </w:r>
    </w:p>
    <w:p w14:paraId="273C4F91" w14:textId="40FF9E45" w:rsidR="007D1EC5" w:rsidRDefault="007D1EC5" w:rsidP="007D1EC5">
      <w:pPr>
        <w:pStyle w:val="Heading2"/>
      </w:pPr>
      <w:r>
        <w:lastRenderedPageBreak/>
        <w:t>Data Filtering and Cleaning</w:t>
      </w:r>
    </w:p>
    <w:p w14:paraId="22F0B1BB" w14:textId="77777777" w:rsidR="00AA70E8" w:rsidRDefault="00AA70E8" w:rsidP="00AA70E8">
      <w:r>
        <w:t>To ensure accuracy and comparability, several filtering and cleaning steps were applied to the raw dataset:</w:t>
      </w:r>
    </w:p>
    <w:p w14:paraId="3824D7DD" w14:textId="77777777" w:rsidR="00AA70E8" w:rsidRDefault="00AA70E8" w:rsidP="00AA70E8">
      <w:pPr>
        <w:pStyle w:val="ListParagraph"/>
        <w:numPr>
          <w:ilvl w:val="0"/>
          <w:numId w:val="17"/>
        </w:numPr>
      </w:pPr>
      <w:r w:rsidRPr="00AA70E8">
        <w:rPr>
          <w:b/>
          <w:bCs/>
        </w:rPr>
        <w:t>Premium Threshold</w:t>
      </w:r>
      <w:r>
        <w:t>: Trades with a premium outside ±50 basis points (bps) relative to Bloomberg’s fair valuation of a similar swap contract were excluded. These outliers likely involve unique or non-standard features not captured in the dataset.</w:t>
      </w:r>
    </w:p>
    <w:p w14:paraId="7EF47C04" w14:textId="7ACA92A7" w:rsidR="00AA70E8" w:rsidRDefault="00AA70E8" w:rsidP="00AA70E8">
      <w:pPr>
        <w:pStyle w:val="ListParagraph"/>
        <w:numPr>
          <w:ilvl w:val="0"/>
          <w:numId w:val="17"/>
        </w:numPr>
      </w:pPr>
      <w:r w:rsidRPr="00AA70E8">
        <w:rPr>
          <w:b/>
          <w:bCs/>
        </w:rPr>
        <w:t>Currency and Reference Rate Filtering</w:t>
      </w:r>
      <w:r>
        <w:t>: Only contracts denominated in USD and CAD with USD LIBOR (for USD) or CDOR (for CAD) as the floating reference rates were retained, as these are most relevant for the study.</w:t>
      </w:r>
    </w:p>
    <w:p w14:paraId="25F4A847" w14:textId="77777777" w:rsidR="00AA70E8" w:rsidRDefault="00AA70E8" w:rsidP="00AA70E8">
      <w:pPr>
        <w:pStyle w:val="ListParagraph"/>
        <w:numPr>
          <w:ilvl w:val="0"/>
          <w:numId w:val="17"/>
        </w:numPr>
      </w:pPr>
      <w:r w:rsidRPr="00AA70E8">
        <w:rPr>
          <w:b/>
          <w:bCs/>
        </w:rPr>
        <w:t>Contract Characteristics</w:t>
      </w:r>
      <w:r>
        <w:t>: Single-payment (zero-coupon) swaps and contracts with non-standard payment frequencies were excluded due to significant pricing differences compared to standard contracts.</w:t>
      </w:r>
    </w:p>
    <w:p w14:paraId="34024D89" w14:textId="77777777" w:rsidR="00AA70E8" w:rsidRDefault="00AA70E8" w:rsidP="00AA70E8">
      <w:pPr>
        <w:pStyle w:val="ListParagraph"/>
        <w:numPr>
          <w:ilvl w:val="0"/>
          <w:numId w:val="17"/>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71344746" w14:textId="77777777" w:rsidR="000753BC" w:rsidRDefault="00AF5999" w:rsidP="00AA70E8">
      <w:r>
        <w:t xml:space="preserve">In addition, </w:t>
      </w:r>
      <w:r w:rsidR="003B0DDC">
        <w:t xml:space="preserve">the following data cleaning steps were taken: </w:t>
      </w:r>
      <w:r w:rsidR="00B1006F">
        <w:t xml:space="preserve">(1) if the </w:t>
      </w:r>
      <w:r w:rsidR="00220236">
        <w:t xml:space="preserve">original </w:t>
      </w:r>
      <w:r w:rsidR="00B1006F">
        <w:t xml:space="preserve">rates </w:t>
      </w:r>
      <w:r w:rsidR="00220236">
        <w:t>were</w:t>
      </w:r>
      <w:r w:rsidR="00B1006F">
        <w:t xml:space="preserve"> expressed in basis points (</w:t>
      </w:r>
      <w:r w:rsidR="00E97E22">
        <w:t xml:space="preserve">detected by the rate being greater than 10), they </w:t>
      </w:r>
      <w:r w:rsidR="00220236">
        <w:t>were</w:t>
      </w:r>
      <w:r w:rsidR="00E97E22">
        <w:t xml:space="preserve"> converted to </w:t>
      </w:r>
      <w:r w:rsidR="00220236">
        <w:t xml:space="preserve">percentages by dividing by 100 and (2) usually the </w:t>
      </w:r>
      <w:r w:rsidR="003C6B07">
        <w:t xml:space="preserve">`Rate 1` is the fixed leg and `Rate 2` is the variable leg in the dataset; </w:t>
      </w:r>
      <w:r w:rsidR="000753BC">
        <w:t>in some records these legs are “flipped” and corrections were made to account for this.</w:t>
      </w:r>
    </w:p>
    <w:p w14:paraId="04B9439B" w14:textId="7D9F445C" w:rsidR="007D1EC5" w:rsidRDefault="00AA70E8" w:rsidP="00AA70E8">
      <w:r>
        <w:t>These steps resulted in a refined dataset suitable for analyzing the central clearing mandate’s impact on pricing, liquidity, and volatility of standardized IR swaps.</w:t>
      </w:r>
    </w:p>
    <w:p w14:paraId="453E8599" w14:textId="07CB27DD" w:rsidR="007D1EC5" w:rsidRDefault="007D1EC5" w:rsidP="007D1EC5">
      <w:pPr>
        <w:pStyle w:val="Heading2"/>
      </w:pPr>
      <w:r>
        <w:t>Yield Curve Construction</w:t>
      </w:r>
    </w:p>
    <w:p w14:paraId="52C8173B" w14:textId="7D700E39" w:rsidR="008A3C17" w:rsidRDefault="008A3C17"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w:t>
      </w:r>
      <w:r>
        <w:lastRenderedPageBreak/>
        <w:t>for pricing Canadian swaps</w:t>
      </w:r>
      <w:r w:rsidRPr="0004387C">
        <w:t>.</w:t>
      </w:r>
      <w:r w:rsidR="00273BEC">
        <w:t xml:space="preserve"> I use curve S45 for EUR denominated contracts, curve S10 for GBP denominated contracts and S12 for CHF denominated contracts.</w:t>
      </w:r>
    </w:p>
    <w:p w14:paraId="6130260C" w14:textId="77777777" w:rsidR="008A3C17" w:rsidRDefault="008A3C17"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p>
    <w:p w14:paraId="4EC5E9B7" w14:textId="4FFD027F" w:rsidR="00273BEC" w:rsidRDefault="008A3C17" w:rsidP="00273BEC">
      <w:r>
        <w:fldChar w:fldCharType="begin"/>
      </w:r>
      <w:r>
        <w:instrText xml:space="preserve"> REF _Ref169917152 \h </w:instrText>
      </w:r>
      <w:r>
        <w:fldChar w:fldCharType="separate"/>
      </w:r>
      <w:r w:rsidR="001D797E">
        <w:t xml:space="preserve">Table </w:t>
      </w:r>
      <w:r w:rsidR="001D797E">
        <w:rPr>
          <w:noProof/>
        </w:rPr>
        <w:t>4</w:t>
      </w:r>
      <w:r>
        <w:fldChar w:fldCharType="end"/>
      </w:r>
      <w:r>
        <w:t xml:space="preserve"> shows sample data for CAD and USD yield curves on September 11, 2013. Note that futures rates need to have a convexity adjustment applied to them since 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3270C301" w14:textId="2AF5D3FB" w:rsidR="00273BEC" w:rsidRDefault="00273BEC">
      <w:pPr>
        <w:spacing w:line="240" w:lineRule="auto"/>
        <w:ind w:firstLine="0"/>
        <w:jc w:val="left"/>
      </w:pPr>
      <w:r>
        <w:br w:type="page"/>
      </w:r>
    </w:p>
    <w:p w14:paraId="4343F562" w14:textId="06B18EF4" w:rsidR="00273BEC" w:rsidRDefault="00273BEC" w:rsidP="00273BEC">
      <w:pPr>
        <w:pStyle w:val="Caption"/>
        <w:keepNext/>
        <w:ind w:firstLine="0"/>
      </w:pPr>
      <w:bookmarkStart w:id="17" w:name="_Ref169917152"/>
      <w:r>
        <w:lastRenderedPageBreak/>
        <w:t xml:space="preserve">Table </w:t>
      </w:r>
      <w:fldSimple w:instr=" SEQ Table \* ARABIC ">
        <w:r w:rsidR="001D797E">
          <w:rPr>
            <w:noProof/>
          </w:rPr>
          <w:t>4</w:t>
        </w:r>
      </w:fldSimple>
      <w:bookmarkEnd w:id="17"/>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273BEC" w:rsidRPr="001D0E7E" w14:paraId="2E3705AF"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EB41F68" w14:textId="77777777" w:rsidR="00273BEC" w:rsidRPr="001D0E7E" w:rsidRDefault="00273BEC"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7F2596E5"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601ABF48" w14:textId="77777777" w:rsidR="00273BEC" w:rsidRPr="001D0E7E"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D29232A" w14:textId="77777777" w:rsidR="00273BEC" w:rsidRPr="001D0E7E"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18" w:name="_Ref202272706"/>
            <w:r>
              <w:rPr>
                <w:rStyle w:val="FootnoteReference"/>
                <w:rFonts w:eastAsia="Times New Roman" w:cs="Calibri"/>
              </w:rPr>
              <w:footnoteReference w:id="6"/>
            </w:r>
            <w:bookmarkEnd w:id="18"/>
          </w:p>
        </w:tc>
      </w:tr>
      <w:tr w:rsidR="00273BEC" w:rsidRPr="001D0E7E" w14:paraId="5779213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E1D4F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65B462D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543FF09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33FEF7E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E39427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FC6C6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5AD7D6C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255779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27EDF0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814372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B8F90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443725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12A2339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73A2D00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6BAFC0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A9572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625722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43D3353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18AE032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4373D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6285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149E24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11EE8D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07C575C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1DE61D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BFA2D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55D72AF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A97E7D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70A555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3B1AF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5CD2A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0AC83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5FB05EA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0C2C9AC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45CBC9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86389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6C34ED6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4584D4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13C8AB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21A9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C9AE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128EFE1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12B662F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7A006B4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661338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DC6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1BA4A50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165AA80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EEBC7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70210C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27B82"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C4936A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2FC21A8E"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44817F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93F94A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B55A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6219E9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2CDE62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5003B4E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FA2D9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368DE1"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62EDC7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571CC5F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05E364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D44A09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7ACB9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72E20A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64B1CB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3D0D3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5834A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D12A4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F50B25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5D5F8A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6CB060E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354BD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CEDC3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12E2BBD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F4BFD3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413F15D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750B7C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B718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332F8D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424DB35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39E5288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136F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A74D5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34F131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1B9B54C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11156A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6E544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AD71C4"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59F2495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3EF46B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1CAA9E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3F15B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EDDE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5C45188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61CAD2E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D08C16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CB2C3C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52DC3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ED7CEB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182282C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7EFEB6A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7E0E0021" w14:textId="77777777" w:rsidR="00273BEC" w:rsidRPr="00F47B71" w:rsidRDefault="00273BEC" w:rsidP="00273BEC">
      <w:pPr>
        <w:rPr>
          <w:i/>
          <w:iCs/>
        </w:rPr>
      </w:pPr>
      <w:r>
        <w:rPr>
          <w:i/>
          <w:iCs/>
        </w:rPr>
        <w:t>Note: USD Swaps Curve. Last Updated Date: 9/11/13</w:t>
      </w:r>
    </w:p>
    <w:p w14:paraId="33D21D20" w14:textId="77777777" w:rsidR="00273BEC" w:rsidRDefault="00273BEC" w:rsidP="00273BEC"/>
    <w:tbl>
      <w:tblPr>
        <w:tblStyle w:val="PlainTable2"/>
        <w:tblW w:w="0" w:type="auto"/>
        <w:tblLook w:val="06A0" w:firstRow="1" w:lastRow="0" w:firstColumn="1" w:lastColumn="0" w:noHBand="1" w:noVBand="1"/>
      </w:tblPr>
      <w:tblGrid>
        <w:gridCol w:w="751"/>
        <w:gridCol w:w="2107"/>
        <w:gridCol w:w="830"/>
        <w:gridCol w:w="1391"/>
      </w:tblGrid>
      <w:tr w:rsidR="00273BEC" w:rsidRPr="001D0E7E" w14:paraId="5824A581"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E5CC6F5" w14:textId="77777777" w:rsidR="00273BEC" w:rsidRPr="00C964AB" w:rsidRDefault="00273BEC"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68495B40" w14:textId="77777777"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613E9392" w14:textId="77777777" w:rsidR="00273BEC" w:rsidRPr="00C964AB" w:rsidRDefault="00273BEC"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38B02267" w14:textId="4730D8C9" w:rsidR="00273BEC" w:rsidRPr="00C964AB" w:rsidRDefault="00273BEC"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1D797E">
              <w:rPr>
                <w:rFonts w:ascii="Calibri" w:eastAsia="Times New Roman" w:hAnsi="Calibri" w:cs="Calibri"/>
                <w:vertAlign w:val="superscript"/>
              </w:rPr>
              <w:t>5</w:t>
            </w:r>
            <w:r w:rsidRPr="00C964AB">
              <w:rPr>
                <w:rFonts w:ascii="Calibri" w:eastAsia="Times New Roman" w:hAnsi="Calibri" w:cs="Calibri"/>
                <w:vertAlign w:val="superscript"/>
              </w:rPr>
              <w:fldChar w:fldCharType="end"/>
            </w:r>
          </w:p>
        </w:tc>
      </w:tr>
      <w:tr w:rsidR="00273BEC" w:rsidRPr="001D0E7E" w14:paraId="1403684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10EE2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1B9EDE6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38C761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540662A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7FD6551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C51E53"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6229338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61AA0EDD"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5409322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54CC73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B396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42633C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89C5F5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12013EA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273BEC" w:rsidRPr="001D0E7E" w14:paraId="4E85277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7E1E0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7B536B4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4A486AF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573CB1F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1A6587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547603C"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E43C87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096F7CC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513245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2F88299"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0383B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5DFC90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0531214A"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8D6C96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8C384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B72B28"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07FF75E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6E59CBC4"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05EB23A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2DEB80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BE08BF"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15M</w:t>
            </w:r>
          </w:p>
        </w:tc>
        <w:tc>
          <w:tcPr>
            <w:tcW w:w="0" w:type="auto"/>
            <w:noWrap/>
            <w:hideMark/>
          </w:tcPr>
          <w:p w14:paraId="68626BB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22CB2DB7"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7A57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06FA328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461CE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DCFFDF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F4EFF7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34AA5E8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127360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770F65A"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53A7B2F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63896028"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83AC1BD"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D90CE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5026CD"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05ED36C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785C3661"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49F1443"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2CC4CDA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2D0ED7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4327E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036EAB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25D663F1"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4428C1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121C8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2DCCB2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1B6B1AF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76F5862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F7FCE5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A8DF667"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332B86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BD9A30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5052A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D113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1B1115"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1A6B1EAF"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1A84E110"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76BAF335"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7736214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1D18C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F4C296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7DCA36B"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0675FB4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477666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82B29"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388CB9E8"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09C4D66C"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5F629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16DC891"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A05C2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49FB283E"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343AC9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640DD12"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55D0AC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BB4320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AEFF7BB"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2FF9BD2"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5309ADCA"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5D868593"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74544E"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2D31B8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77D34EFF"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008A87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65379A0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BF346B"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1E4AADE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31FE9099"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0DFE05F7"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1E42D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D4C26"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BFF1176"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34DDCE6"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5D200EC9"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273BEC" w:rsidRPr="001D0E7E" w14:paraId="3DCB7D5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BE2130" w14:textId="77777777" w:rsidR="00273BEC" w:rsidRPr="001D0E7E" w:rsidRDefault="00273BEC"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2E0BF0C0"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1B1FC613" w14:textId="77777777" w:rsidR="00273BEC" w:rsidRPr="001D0E7E" w:rsidRDefault="00273BEC"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2CFE95F4" w14:textId="77777777" w:rsidR="00273BEC" w:rsidRPr="001D0E7E" w:rsidRDefault="00273BEC"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1064015" w14:textId="77777777" w:rsidR="00273BEC" w:rsidRPr="00F47B71" w:rsidRDefault="00273BEC" w:rsidP="00273BEC">
      <w:pPr>
        <w:ind w:firstLine="0"/>
        <w:rPr>
          <w:i/>
          <w:iCs/>
        </w:rPr>
      </w:pPr>
      <w:r>
        <w:rPr>
          <w:i/>
          <w:iCs/>
        </w:rPr>
        <w:t>Note: CAD Swaps Curve. Last Updated Date: 9/11/13</w:t>
      </w:r>
    </w:p>
    <w:p w14:paraId="6585A118" w14:textId="52821339" w:rsidR="00273BEC" w:rsidRDefault="00273BEC">
      <w:pPr>
        <w:spacing w:line="240" w:lineRule="auto"/>
        <w:ind w:firstLine="0"/>
        <w:jc w:val="left"/>
      </w:pPr>
      <w:r>
        <w:br w:type="page"/>
      </w:r>
    </w:p>
    <w:p w14:paraId="6D35FAB5" w14:textId="6669F42F" w:rsidR="007D1EC5" w:rsidRDefault="007D1EC5" w:rsidP="007D1EC5">
      <w:pPr>
        <w:pStyle w:val="Heading2"/>
      </w:pPr>
      <w:r>
        <w:lastRenderedPageBreak/>
        <w:t>Descriptive Statistics</w:t>
      </w:r>
    </w:p>
    <w:p w14:paraId="501335EE" w14:textId="106D811B" w:rsidR="0046747E" w:rsidRDefault="0046747E" w:rsidP="0046747E">
      <w:r>
        <w:fldChar w:fldCharType="begin"/>
      </w:r>
      <w:r>
        <w:instrText xml:space="preserve"> REF _Ref169917219 \h </w:instrText>
      </w:r>
      <w:r>
        <w:fldChar w:fldCharType="separate"/>
      </w:r>
      <w:r w:rsidR="001D797E">
        <w:t xml:space="preserve">Table </w:t>
      </w:r>
      <w:r w:rsidR="001D797E">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1D797E">
        <w:t>4</w:t>
      </w:r>
      <w:r>
        <w:fldChar w:fldCharType="end"/>
      </w:r>
      <w:r>
        <w:t xml:space="preserve"> and </w:t>
      </w:r>
      <w:r>
        <w:fldChar w:fldCharType="begin"/>
      </w:r>
      <w:r>
        <w:instrText xml:space="preserve"> REF _Ref169916076 \r \h </w:instrText>
      </w:r>
      <w:r>
        <w:fldChar w:fldCharType="separate"/>
      </w:r>
      <w:r w:rsidR="001D797E">
        <w:t>5</w:t>
      </w:r>
      <w:r>
        <w:fldChar w:fldCharType="end"/>
      </w:r>
      <w:r>
        <w:t>). Wednesday was the most active trading day and Monday and Friday were the least active trading days. The dataset includes two trading holidays (Monday May 27, 2013, was Memorial Day and Monday, September 2, 2013, was Labor Day). I split the trading day into 4 sessions based on the reported trade time: 8:00 AM – 10:59 AM (Morning), 11:00 – 1:59 PM (Mid-Day), 2:00 PM – 4:59 PM (Afternoon) and 5:00 PM – 7:59 AM (After Hours). The midday trading session was the most active, but all on-hour trading sessions have similar level of activity. About 16% of contracts were traded during the off-hour trading session. The median notional value of the contract was $50M (with a range between $1,000 and $260M). The median tenor was about 7 years (with a range between 2 months and 43 years).</w:t>
      </w:r>
    </w:p>
    <w:p w14:paraId="74D9D69F" w14:textId="640B939C" w:rsidR="0046747E" w:rsidRDefault="0046747E">
      <w:pPr>
        <w:spacing w:line="240" w:lineRule="auto"/>
        <w:ind w:firstLine="0"/>
        <w:jc w:val="left"/>
      </w:pPr>
      <w:r>
        <w:br w:type="page"/>
      </w:r>
    </w:p>
    <w:p w14:paraId="71875021" w14:textId="0D165677" w:rsidR="0046747E" w:rsidRDefault="0046747E" w:rsidP="0046747E">
      <w:pPr>
        <w:pStyle w:val="Caption"/>
        <w:keepNext/>
        <w:ind w:firstLine="0"/>
      </w:pPr>
      <w:bookmarkStart w:id="19" w:name="_Ref169917219"/>
      <w:r>
        <w:lastRenderedPageBreak/>
        <w:t xml:space="preserve">Table </w:t>
      </w:r>
      <w:fldSimple w:instr=" SEQ Table \* ARABIC ">
        <w:r w:rsidR="001D797E">
          <w:rPr>
            <w:noProof/>
          </w:rPr>
          <w:t>5</w:t>
        </w:r>
      </w:fldSimple>
      <w:bookmarkEnd w:id="19"/>
      <w:r>
        <w:rPr>
          <w:noProof/>
        </w:rPr>
        <w:t xml:space="preserve"> Selected contarct characteristics. 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6747E" w:rsidRPr="00861964" w14:paraId="6885F9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B73CE5A"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4C01A7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6747E" w:rsidRPr="00861964" w14:paraId="176ACC6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CCA168"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2359099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6747E" w:rsidRPr="00861964" w14:paraId="12BCCF8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30512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13A7095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6747E" w:rsidRPr="0046747E" w14:paraId="2EBED26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7310B0"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0954202F"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6747E" w:rsidRPr="00861964" w14:paraId="46991AD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9B911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101AE67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6747E" w:rsidRPr="00861964" w14:paraId="4D84274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A85BB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27D4382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6747E" w:rsidRPr="00861964" w14:paraId="46BF10C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1E44BF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0E43869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17238D23"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AF429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73E3CB05"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6747E" w:rsidRPr="00861964" w14:paraId="726A67C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9EA417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3ADD821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6747E" w:rsidRPr="0046747E" w14:paraId="342C557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71C254A" w14:textId="77777777" w:rsidR="0046747E" w:rsidRPr="0046747E" w:rsidRDefault="0046747E"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0DCF8C96" w14:textId="77777777" w:rsidR="0046747E" w:rsidRPr="0046747E" w:rsidRDefault="0046747E"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6747E" w:rsidRPr="00861964" w14:paraId="005A7E9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D74A1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15420D01"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6747E" w:rsidRPr="00861964" w14:paraId="620B8D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B668C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32DD730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6747E" w:rsidRPr="00861964" w14:paraId="0928DB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04E939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180805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27F8A9F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F7FBCA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2765AB1"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6747E" w:rsidRPr="00861964" w14:paraId="36DF2FD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E2BE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406D9F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6747E" w:rsidRPr="00861964" w14:paraId="630F23E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3C28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3DFBA8D3"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6747E" w:rsidRPr="00861964" w14:paraId="4FAACE6D"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6E218A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3AD9C6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5001BB3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BE071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322A884"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6747E" w:rsidRPr="00861964" w14:paraId="068D0BE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D79514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622EFDA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6747E" w:rsidRPr="00861964" w14:paraId="75EC698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C0E6F6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00D50ED4"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6747E" w:rsidRPr="00861964" w14:paraId="67E4790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998EA6D"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4A65FDE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6747E" w:rsidRPr="00861964" w14:paraId="1F6471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304274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163ED4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6747E" w:rsidRPr="00861964" w14:paraId="71FE8D6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B73107F"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384CC6F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6747E" w:rsidRPr="00861964" w14:paraId="002C61B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D842826"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6205116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6747E" w:rsidRPr="00861964" w14:paraId="2806B61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1AD1FD1"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9AA5E35"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6747E" w:rsidRPr="00861964" w14:paraId="7F1365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484B3A0"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11EBD31A" w14:textId="77777777" w:rsidR="0046747E" w:rsidRPr="00861964" w:rsidRDefault="0046747E"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6747E" w:rsidRPr="00861964" w14:paraId="16DAB40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6219523"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71631DAE"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6747E" w:rsidRPr="00861964" w14:paraId="5056CA1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F39BFF2"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45858F5D"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6747E" w:rsidRPr="00861964" w14:paraId="5F8CC93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C939EE9"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6442038"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6747E" w:rsidRPr="00861964" w14:paraId="5F51194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710043E"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7C7FA060"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6747E" w:rsidRPr="00861964" w14:paraId="3CB2A13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54342FC"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406D8BF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6747E" w:rsidRPr="00861964" w14:paraId="77A4296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BDFE9B7" w14:textId="77777777" w:rsidR="0046747E" w:rsidRPr="00861964" w:rsidRDefault="0046747E"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815DB6F" w14:textId="77777777" w:rsidR="0046747E" w:rsidRPr="00861964" w:rsidRDefault="0046747E"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2B2ABFA2" w14:textId="77777777" w:rsidR="0046747E" w:rsidRDefault="0046747E" w:rsidP="0046747E"/>
    <w:p w14:paraId="63485967" w14:textId="0AA0058C" w:rsidR="007D1EC5" w:rsidRDefault="007D1EC5" w:rsidP="007D1EC5">
      <w:pPr>
        <w:pStyle w:val="Heading2"/>
      </w:pPr>
      <w:r>
        <w:lastRenderedPageBreak/>
        <w:t>Limitations</w:t>
      </w:r>
    </w:p>
    <w:p w14:paraId="3AE3D15A" w14:textId="3A9C9F7F" w:rsidR="001F4E65" w:rsidRPr="001F4E65" w:rsidRDefault="0046747E" w:rsidP="0046747E">
      <w:r>
        <w:t>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of the contract.</w:t>
      </w:r>
    </w:p>
    <w:p w14:paraId="7D9CEEBD" w14:textId="517508E8" w:rsidR="00E162B2" w:rsidRDefault="00E162B2" w:rsidP="00076D05">
      <w:pPr>
        <w:pStyle w:val="Heading1"/>
      </w:pPr>
      <w:bookmarkStart w:id="20" w:name="_Ref202267966"/>
      <w:r>
        <w:t>Identification Strategy</w:t>
      </w:r>
      <w:bookmarkEnd w:id="15"/>
      <w:bookmarkEnd w:id="20"/>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w:t>
      </w:r>
      <w:r w:rsidR="003677D8">
        <w:lastRenderedPageBreak/>
        <w:t xml:space="preserve">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355EB160" w:rsidR="008F335A" w:rsidRDefault="008F335A" w:rsidP="008F335A">
      <w:r>
        <w:t xml:space="preserve">The approach adopted in this </w:t>
      </w:r>
      <w:r w:rsidR="00693385">
        <w:t>essay</w:t>
      </w:r>
      <w:r>
        <w:t xml:space="preserve"> is the </w:t>
      </w:r>
      <w:r w:rsidR="00FA28BC">
        <w:rPr>
          <w:rStyle w:val="Strong"/>
          <w:b w:val="0"/>
          <w:bCs w:val="0"/>
        </w:rPr>
        <w:t>diff-in-diff</w:t>
      </w:r>
      <w:r w:rsidRPr="008F335A">
        <w:rPr>
          <w:rStyle w:val="Strong"/>
          <w:b w:val="0"/>
          <w:bCs w:val="0"/>
        </w:rPr>
        <w:t xml:space="preserve"> method</w:t>
      </w:r>
      <w:r>
        <w:t xml:space="preserve">. In this method, an appropriate </w:t>
      </w:r>
      <w:r w:rsidR="00772F66">
        <w:t>comparison</w:t>
      </w:r>
      <w:r>
        <w:t xml:space="preserve"> group (e.g., Canadian Dollar-denominated contracts) is 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rsidR="00586980">
        <w:t xml:space="preserve"> </w:t>
      </w:r>
      <w:r w:rsidR="00586980">
        <w:fldChar w:fldCharType="begin"/>
      </w:r>
      <w:r w:rsidR="00586980">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586980">
        <w:fldChar w:fldCharType="separate"/>
      </w:r>
      <w:r w:rsidR="00586980">
        <w:rPr>
          <w:noProof/>
        </w:rPr>
        <w:t>(Angrist and Pischke 2009)</w:t>
      </w:r>
      <w:r w:rsidR="00586980">
        <w:fldChar w:fldCharType="end"/>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1CFB2569"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 xml:space="preserve">in pricing, volatility, and liquidity over short periods, as well as formal </w:t>
      </w:r>
      <w:r w:rsidR="00586980">
        <w:t xml:space="preserve">tests for </w:t>
      </w:r>
      <w:r>
        <w:t>parallel trends</w:t>
      </w:r>
      <w:r w:rsidR="00586980">
        <w:t xml:space="preserve"> (see sections </w:t>
      </w:r>
      <w:r w:rsidR="00586980">
        <w:fldChar w:fldCharType="begin"/>
      </w:r>
      <w:r w:rsidR="00586980">
        <w:instrText xml:space="preserve"> REF _Ref202384286 \r \h </w:instrText>
      </w:r>
      <w:r w:rsidR="00586980">
        <w:fldChar w:fldCharType="separate"/>
      </w:r>
      <w:r w:rsidR="001D797E">
        <w:t>4.1</w:t>
      </w:r>
      <w:r w:rsidR="00586980">
        <w:fldChar w:fldCharType="end"/>
      </w:r>
      <w:r w:rsidR="00586980">
        <w:t xml:space="preserve">, </w:t>
      </w:r>
      <w:r w:rsidR="00586980">
        <w:fldChar w:fldCharType="begin"/>
      </w:r>
      <w:r w:rsidR="00586980">
        <w:instrText xml:space="preserve"> REF _Ref202384288 \r \h </w:instrText>
      </w:r>
      <w:r w:rsidR="00586980">
        <w:fldChar w:fldCharType="separate"/>
      </w:r>
      <w:r w:rsidR="001D797E">
        <w:t>4.2</w:t>
      </w:r>
      <w:r w:rsidR="00586980">
        <w:fldChar w:fldCharType="end"/>
      </w:r>
      <w:r w:rsidR="00586980">
        <w:t xml:space="preserve">, and </w:t>
      </w:r>
      <w:r w:rsidR="00586980">
        <w:fldChar w:fldCharType="begin"/>
      </w:r>
      <w:r w:rsidR="00586980">
        <w:instrText xml:space="preserve"> REF _Ref202384289 \r \h </w:instrText>
      </w:r>
      <w:r w:rsidR="00586980">
        <w:fldChar w:fldCharType="separate"/>
      </w:r>
      <w:r w:rsidR="001D797E">
        <w:t>4.3</w:t>
      </w:r>
      <w:r w:rsidR="00586980">
        <w:fldChar w:fldCharType="end"/>
      </w:r>
      <w:r w:rsidR="00586980">
        <w:t>)</w:t>
      </w:r>
      <w:r>
        <w:t>.</w:t>
      </w:r>
    </w:p>
    <w:p w14:paraId="6482980E" w14:textId="079AB0CC" w:rsidR="00E162B2" w:rsidRPr="00E162B2" w:rsidRDefault="00E162B2" w:rsidP="00076D05">
      <w:pPr>
        <w:pStyle w:val="Heading2"/>
      </w:pPr>
      <w:bookmarkStart w:id="21" w:name="_Ref202384286"/>
      <w:r>
        <w:t>Pricing</w:t>
      </w:r>
      <w:bookmarkEnd w:id="21"/>
    </w:p>
    <w:p w14:paraId="095C4E16" w14:textId="78480DD2"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1D797E">
        <w:t>2.1</w:t>
      </w:r>
      <w:r w:rsidR="00667B32">
        <w:fldChar w:fldCharType="end"/>
      </w:r>
      <w:r w:rsidR="00667B32">
        <w:t xml:space="preserve"> </w:t>
      </w:r>
      <w:r>
        <w:t xml:space="preserve">and the observed fixed rate on an actual contract) on USD denominated </w:t>
      </w:r>
      <w:r>
        <w:lastRenderedPageBreak/>
        <w:t xml:space="preserve">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3B5E57BC" w:rsidR="00916B59" w:rsidRDefault="00916B59">
            <w:pPr>
              <w:pStyle w:val="Caption"/>
              <w:keepNext/>
              <w:jc w:val="right"/>
            </w:pPr>
            <w:r>
              <w:t>(</w:t>
            </w:r>
            <w:fldSimple w:instr=" SEQ Equation \* ARABIC ">
              <w:r w:rsidR="001D797E">
                <w:rPr>
                  <w:noProof/>
                </w:rPr>
                <w:t>43</w:t>
              </w:r>
            </w:fldSimple>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3CA347F5"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 xml:space="preserve">session, with less trading activity happening </w:t>
      </w:r>
      <w:r w:rsidR="00586980">
        <w:t xml:space="preserve">in </w:t>
      </w:r>
      <w:r w:rsidR="00A92C54">
        <w:t>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1D797E">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 xml:space="preserve">that market participants prefer larger contracts (perhaps to economize over fixed costs) and due to </w:t>
      </w:r>
      <w:r w:rsidR="00A92C54">
        <w:lastRenderedPageBreak/>
        <w:t xml:space="preserve">the higher liquidity of these larger contracts, they may be priced differently than smaller contracts. If the </w:t>
      </w:r>
      <w:r w:rsidR="00DB3DA1">
        <w:t>notional amount is</w:t>
      </w:r>
      <w:r w:rsidR="00A92C54">
        <w:t xml:space="preserve"> “capped</w:t>
      </w:r>
      <w:r w:rsidR="00AE07A6">
        <w:t>,”</w:t>
      </w:r>
      <w:r w:rsidR="00A92C54">
        <w:t xml:space="preserve"> the</w:t>
      </w:r>
      <w:r w:rsidR="00DB3DA1">
        <w:t xml:space="preserve"> true nominal value of the contract is not reported</w:t>
      </w:r>
      <w:r w:rsidR="00A92C54">
        <w:t xml:space="preserve">. </w:t>
      </w:r>
      <w:r w:rsidR="00DB3DA1">
        <w:t xml:space="preserve">These are usually for large block trades and often involve large counterparties </w:t>
      </w:r>
      <w:r w:rsidR="00DB3DA1">
        <w:fldChar w:fldCharType="begin"/>
      </w:r>
      <w:r w:rsidR="00DB3DA1">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rsidR="00DB3DA1">
        <w:fldChar w:fldCharType="separate"/>
      </w:r>
      <w:r w:rsidR="00DB3DA1" w:rsidRPr="00DB3DA1">
        <w:t>(“SDR View, Capped Notional Changes” 2013)</w:t>
      </w:r>
      <w:r w:rsidR="00DB3DA1">
        <w:fldChar w:fldCharType="end"/>
      </w:r>
      <w:r w:rsidR="00DB3DA1">
        <w:t xml:space="preserve">. </w:t>
      </w:r>
      <w:r w:rsidR="00A92C54">
        <w:t>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7F8C786E"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1D797E">
        <w:t xml:space="preserve">Table </w:t>
      </w:r>
      <w:r w:rsidR="001D797E">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 xml:space="preserve">ten-year contracts. The interaction term </w:t>
      </w:r>
      <w:r w:rsidR="00DB3DA1">
        <w:t>(</w:t>
      </w:r>
      <w:r w:rsidR="00DB3DA1" w:rsidRPr="008A2E68">
        <w:rPr>
          <w:rFonts w:eastAsia="Times New Roman"/>
          <w:sz w:val="22"/>
          <w:szCs w:val="22"/>
        </w:rPr>
        <w:t>Currency: USD * `Trade Date</w:t>
      </w:r>
      <w:r w:rsidR="00DB3DA1">
        <w:rPr>
          <w:rFonts w:eastAsia="Times New Roman"/>
          <w:sz w:val="22"/>
          <w:szCs w:val="22"/>
        </w:rPr>
        <w:t>)</w:t>
      </w:r>
      <w:r w:rsidR="00DB3DA1">
        <w:t xml:space="preserve"> </w:t>
      </w:r>
      <w:r w:rsidR="007239CB">
        <w:t>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384FD08E" w:rsidR="007239CB" w:rsidRDefault="007239CB" w:rsidP="00C73C93">
      <w:pPr>
        <w:pStyle w:val="Caption"/>
        <w:keepNext/>
        <w:ind w:firstLine="0"/>
      </w:pPr>
      <w:bookmarkStart w:id="22" w:name="_Ref187170528"/>
      <w:r>
        <w:lastRenderedPageBreak/>
        <w:t xml:space="preserve">Table </w:t>
      </w:r>
      <w:fldSimple w:instr=" SEQ Table \* ARABIC ">
        <w:r w:rsidR="001D797E">
          <w:rPr>
            <w:noProof/>
          </w:rPr>
          <w:t>6</w:t>
        </w:r>
      </w:fldSimple>
      <w:bookmarkEnd w:id="22"/>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446721C4"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1D797E">
        <w:t xml:space="preserve">Figure </w:t>
      </w:r>
      <w:r w:rsidR="001D797E">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30276038" w:rsidR="000A0237" w:rsidRDefault="000A0237" w:rsidP="000A0237">
      <w:r>
        <w:t xml:space="preserve">Finally, I test the validity of the parallel </w:t>
      </w:r>
      <w:proofErr w:type="gramStart"/>
      <w:r>
        <w:t>trends</w:t>
      </w:r>
      <w:proofErr w:type="gramEnd"/>
      <w:r>
        <w:t xml:space="preserve"> assumption </w:t>
      </w:r>
      <w:r w:rsidR="00FB70F9">
        <w:t>doing</w:t>
      </w:r>
      <w:r>
        <w:t xml:space="preserve"> a placebo </w:t>
      </w:r>
      <w:r w:rsidR="0098413A">
        <w:t>diff-in-diff</w:t>
      </w:r>
      <w:r>
        <w:t xml:space="preserve">. </w:t>
      </w:r>
      <w:r w:rsidR="00C36FD5">
        <w:t>I pick the 20 trading days before the study period. I create a “placebo” diff-in-diff, as if there was a transition to clearing mandate on the 11</w:t>
      </w:r>
      <w:r w:rsidR="00C36FD5" w:rsidRPr="00EE0253">
        <w:rPr>
          <w:vertAlign w:val="superscript"/>
        </w:rPr>
        <w:t>th</w:t>
      </w:r>
      <w:r w:rsidR="00C36FD5">
        <w:t xml:space="preserve"> trading day. </w:t>
      </w:r>
      <w:r w:rsidR="00782DB1">
        <w:t xml:space="preserve">That is, I run the same type of diff-in-diff described earlier but pick a period when no treatment </w:t>
      </w:r>
      <w:proofErr w:type="gramStart"/>
      <w:r w:rsidR="00782DB1">
        <w:t>actually took</w:t>
      </w:r>
      <w:proofErr w:type="gramEnd"/>
      <w:r w:rsidR="00782DB1">
        <w:t xml:space="preserve"> place. </w:t>
      </w:r>
      <w:r>
        <w:fldChar w:fldCharType="begin"/>
      </w:r>
      <w:r>
        <w:instrText xml:space="preserve"> REF _Ref170032710 \h </w:instrText>
      </w:r>
      <w:r>
        <w:fldChar w:fldCharType="separate"/>
      </w:r>
      <w:r w:rsidR="001D797E">
        <w:t xml:space="preserve">Table </w:t>
      </w:r>
      <w:r w:rsidR="001D797E">
        <w:rPr>
          <w:noProof/>
        </w:rPr>
        <w:t>7</w:t>
      </w:r>
      <w:r>
        <w:fldChar w:fldCharType="end"/>
      </w:r>
      <w:r>
        <w:t xml:space="preserve"> shows the results. The placebo </w:t>
      </w:r>
      <w:r w:rsidR="0048448E">
        <w:t>diff-in-diff</w:t>
      </w:r>
      <w:r w:rsidR="002C0AB1">
        <w:t xml:space="preserve"> does not show </w:t>
      </w:r>
      <w:r w:rsidR="0065214E">
        <w:t>an increase in premia</w:t>
      </w:r>
      <w:r w:rsidR="00782DB1">
        <w:t xml:space="preserve"> (coefficient of the Group * Period term)</w:t>
      </w:r>
      <w:r>
        <w:t xml:space="preserve">, further strengthening our belief that the increase in premia </w:t>
      </w:r>
      <w:r w:rsidR="00C81FBB">
        <w:t xml:space="preserve">discussed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D797E">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1D797E">
        <w:t xml:space="preserve">Table </w:t>
      </w:r>
      <w:r w:rsidR="001D797E">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D797E">
        <w:t xml:space="preserve">Table </w:t>
      </w:r>
      <w:r w:rsidR="001D797E">
        <w:rPr>
          <w:noProof/>
        </w:rPr>
        <w:t>9</w:t>
      </w:r>
      <w:r w:rsidR="0015460F">
        <w:fldChar w:fldCharType="end"/>
      </w:r>
      <w:r w:rsidR="0015460F">
        <w:t>)</w:t>
      </w:r>
      <w:r w:rsidR="00D15C55">
        <w:t xml:space="preserve"> is real</w:t>
      </w:r>
      <w:r>
        <w:t>.</w:t>
      </w:r>
      <w:r w:rsidR="00754451">
        <w:t xml:space="preserve"> I forego the discussion of the control variables. They are discussed in more details in section </w:t>
      </w:r>
      <w:r w:rsidR="00754451">
        <w:fldChar w:fldCharType="begin"/>
      </w:r>
      <w:r w:rsidR="00754451">
        <w:instrText xml:space="preserve"> REF _Ref202361500 \r \h </w:instrText>
      </w:r>
      <w:r w:rsidR="00754451">
        <w:fldChar w:fldCharType="separate"/>
      </w:r>
      <w:r w:rsidR="00754451">
        <w:t>5.1</w:t>
      </w:r>
      <w:r w:rsidR="00754451">
        <w:fldChar w:fldCharType="end"/>
      </w:r>
      <w:r w:rsidR="00754451">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0B432132" w:rsidR="00C07EA6" w:rsidRDefault="00C07EA6" w:rsidP="00C73E21">
      <w:pPr>
        <w:pStyle w:val="Caption"/>
        <w:keepNext/>
        <w:ind w:firstLine="0"/>
      </w:pPr>
      <w:bookmarkStart w:id="23" w:name="_Ref169917013"/>
      <w:r>
        <w:lastRenderedPageBreak/>
        <w:t xml:space="preserve">Figure </w:t>
      </w:r>
      <w:fldSimple w:instr=" SEQ Figure \* ARABIC ">
        <w:r w:rsidR="001D797E">
          <w:rPr>
            <w:noProof/>
          </w:rPr>
          <w:t>4</w:t>
        </w:r>
      </w:fldSimple>
      <w:bookmarkEnd w:id="23"/>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5BC2CEA" w:rsidR="004079FB" w:rsidRDefault="004079FB" w:rsidP="00C73E21">
      <w:pPr>
        <w:pStyle w:val="Caption"/>
        <w:keepNext/>
        <w:ind w:firstLine="0"/>
        <w:jc w:val="left"/>
      </w:pPr>
      <w:bookmarkStart w:id="24" w:name="_Ref170032710"/>
      <w:r>
        <w:lastRenderedPageBreak/>
        <w:t xml:space="preserve">Table </w:t>
      </w:r>
      <w:fldSimple w:instr=" SEQ Table \* ARABIC ">
        <w:r w:rsidR="001D797E">
          <w:rPr>
            <w:noProof/>
          </w:rPr>
          <w:t>7</w:t>
        </w:r>
      </w:fldSimple>
      <w:bookmarkEnd w:id="24"/>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r w:rsidR="00782DB1">
        <w:rPr>
          <w:noProof/>
        </w:rPr>
        <w:t xml:space="preserve"> If the diff-in-diff method is sound, we should not see the </w:t>
      </w:r>
      <w:r w:rsidR="00754451">
        <w:rPr>
          <w:noProof/>
        </w:rPr>
        <w:t xml:space="preserve">interaction </w:t>
      </w:r>
      <w:r w:rsidR="00782DB1">
        <w:rPr>
          <w:noProof/>
        </w:rPr>
        <w:t>Group * Period term</w:t>
      </w:r>
      <w:r w:rsidR="00754451">
        <w:rPr>
          <w:noProof/>
        </w:rPr>
        <w:t xml:space="preserve">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sidRPr="002A5AD5">
              <w:rPr>
                <w:rStyle w:val="FootnoteReference"/>
              </w:rPr>
              <w:footnoteReference w:id="7"/>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lastRenderedPageBreak/>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bookmarkStart w:id="25" w:name="_Ref202384288"/>
      <w:r>
        <w:t>Liquidity</w:t>
      </w:r>
      <w:bookmarkEnd w:id="25"/>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72782FC3"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1D797E">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30EF02C9" w:rsidR="00916B59" w:rsidRDefault="00916B59">
            <w:pPr>
              <w:pStyle w:val="Caption"/>
              <w:keepNext/>
              <w:jc w:val="right"/>
            </w:pPr>
            <w:r>
              <w:t>(</w:t>
            </w:r>
            <w:fldSimple w:instr=" SEQ Equation \* ARABIC ">
              <w:r w:rsidR="001D797E">
                <w:rPr>
                  <w:noProof/>
                </w:rPr>
                <w:t>44</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5F507D74" w:rsidR="00916B59" w:rsidRDefault="00916B59">
            <w:pPr>
              <w:pStyle w:val="Caption"/>
              <w:keepNext/>
              <w:jc w:val="right"/>
            </w:pPr>
            <w:r>
              <w:t>(</w:t>
            </w:r>
            <w:fldSimple w:instr=" SEQ Equation \* ARABIC ">
              <w:r w:rsidR="001D797E">
                <w:rPr>
                  <w:noProof/>
                </w:rPr>
                <w:t>45</w:t>
              </w:r>
            </w:fldSimple>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192D1572" w:rsidR="00916B59" w:rsidRDefault="00916B59">
            <w:pPr>
              <w:pStyle w:val="Caption"/>
              <w:keepNext/>
              <w:jc w:val="right"/>
            </w:pPr>
            <w:r>
              <w:t>(</w:t>
            </w:r>
            <w:fldSimple w:instr=" SEQ Equation \* ARABIC ">
              <w:r w:rsidR="001D797E">
                <w:rPr>
                  <w:noProof/>
                </w:rPr>
                <w:t>46</w:t>
              </w:r>
            </w:fldSimple>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790F2068" w:rsidR="00916B59" w:rsidRDefault="00916B59">
            <w:pPr>
              <w:pStyle w:val="Caption"/>
              <w:keepNext/>
              <w:jc w:val="right"/>
            </w:pPr>
            <w:r>
              <w:t>(</w:t>
            </w:r>
            <w:fldSimple w:instr=" SEQ Equation \* ARABIC ">
              <w:r w:rsidR="001D797E">
                <w:rPr>
                  <w:noProof/>
                </w:rPr>
                <w:t>47</w:t>
              </w:r>
            </w:fldSimple>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30426FBD"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1D797E">
        <w:t xml:space="preserve">Figure </w:t>
      </w:r>
      <w:r w:rsidR="001D797E">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1D797E">
        <w:t xml:space="preserve">Figure </w:t>
      </w:r>
      <w:r w:rsidR="001D797E">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1D797E">
        <w:t xml:space="preserve">Figure </w:t>
      </w:r>
      <w:r w:rsidR="001D797E">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6CD61B72" w:rsidR="00DD00F7" w:rsidRDefault="00DD00F7" w:rsidP="00C73E21">
      <w:pPr>
        <w:pStyle w:val="Caption"/>
        <w:keepNext/>
        <w:ind w:firstLine="0"/>
      </w:pPr>
      <w:bookmarkStart w:id="26"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5</w:t>
      </w:r>
      <w:r w:rsidR="00A2102A">
        <w:rPr>
          <w:noProof/>
        </w:rPr>
        <w:fldChar w:fldCharType="end"/>
      </w:r>
      <w:bookmarkEnd w:id="26"/>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D9E32E3" w14:textId="42FEA985" w:rsidR="00EA1936" w:rsidRDefault="006B0CE0" w:rsidP="00C73E21">
      <w:pPr>
        <w:pStyle w:val="Caption"/>
        <w:keepNext/>
        <w:ind w:firstLine="0"/>
      </w:pPr>
      <w:bookmarkStart w:id="27"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1D797E">
        <w:rPr>
          <w:i w:val="0"/>
          <w:iCs w:val="0"/>
          <w:noProof/>
        </w:rPr>
        <w:t>6</w:t>
      </w:r>
      <w:r w:rsidR="00A2102A">
        <w:rPr>
          <w:noProof/>
        </w:rPr>
        <w:fldChar w:fldCharType="end"/>
      </w:r>
      <w:bookmarkEnd w:id="27"/>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03B36B7" w:rsidR="000E35F2" w:rsidRDefault="00302D61" w:rsidP="00C73E21">
      <w:pPr>
        <w:pStyle w:val="Caption"/>
        <w:keepNext/>
        <w:ind w:firstLine="0"/>
      </w:pPr>
      <w:bookmarkStart w:id="28" w:name="_Ref169960521"/>
      <w:r>
        <w:lastRenderedPageBreak/>
        <w:t xml:space="preserve">Figure </w:t>
      </w:r>
      <w:fldSimple w:instr=" SEQ Figure \* ARABIC ">
        <w:r w:rsidR="001D797E">
          <w:rPr>
            <w:noProof/>
          </w:rPr>
          <w:t>7</w:t>
        </w:r>
      </w:fldSimple>
      <w:bookmarkEnd w:id="28"/>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1">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71A7DFF" w14:textId="06675278" w:rsidR="00E162B2" w:rsidRPr="00A6337A" w:rsidRDefault="00E162B2" w:rsidP="00076D05">
      <w:pPr>
        <w:pStyle w:val="Heading2"/>
      </w:pPr>
      <w:bookmarkStart w:id="29" w:name="_Ref202384289"/>
      <w:r>
        <w:lastRenderedPageBreak/>
        <w:t>Volatility</w:t>
      </w:r>
      <w:bookmarkEnd w:id="29"/>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2F4BA8E1" w:rsidR="00916B59" w:rsidRDefault="00916B59">
            <w:pPr>
              <w:pStyle w:val="Caption"/>
              <w:keepNext/>
              <w:jc w:val="right"/>
            </w:pPr>
            <w:r>
              <w:t>(</w:t>
            </w:r>
            <w:fldSimple w:instr=" SEQ Equation \* ARABIC ">
              <w:r w:rsidR="001D797E">
                <w:rPr>
                  <w:noProof/>
                </w:rPr>
                <w:t>48</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12961910" w:rsidR="00916B59" w:rsidRDefault="00916B59">
            <w:pPr>
              <w:pStyle w:val="Caption"/>
              <w:keepNext/>
              <w:jc w:val="right"/>
            </w:pPr>
            <w:r>
              <w:t>(</w:t>
            </w:r>
            <w:fldSimple w:instr=" SEQ Equation \* ARABIC ">
              <w:r w:rsidR="001D797E">
                <w:rPr>
                  <w:noProof/>
                </w:rPr>
                <w:t>49</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2A5AD5">
        <w:rPr>
          <w:rStyle w:val="FootnoteReference"/>
        </w:rPr>
        <w:footnoteReference w:id="8"/>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59BF53E8"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w:t>
      </w:r>
      <w:r w:rsidR="00DA6D71">
        <w:t>diff-in-diff</w:t>
      </w:r>
      <w:r>
        <w:t xml:space="preserv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69475778" w:rsidR="00916B59" w:rsidRDefault="00916B59">
            <w:pPr>
              <w:pStyle w:val="Caption"/>
              <w:keepNext/>
              <w:jc w:val="right"/>
            </w:pPr>
            <w:bookmarkStart w:id="30" w:name="_Ref202300910"/>
            <w:r>
              <w:t>(</w:t>
            </w:r>
            <w:fldSimple w:instr=" SEQ Equation \* ARABIC ">
              <w:r w:rsidR="001D797E">
                <w:rPr>
                  <w:noProof/>
                </w:rPr>
                <w:t>50</w:t>
              </w:r>
            </w:fldSimple>
            <w:r>
              <w:t>)</w:t>
            </w:r>
            <w:bookmarkEnd w:id="30"/>
          </w:p>
        </w:tc>
      </w:tr>
    </w:tbl>
    <w:p w14:paraId="299DF1B9" w14:textId="45E64553" w:rsidR="00916B59" w:rsidRDefault="00916B59" w:rsidP="00916B59">
      <w:pPr>
        <w:ind w:firstLine="0"/>
      </w:pPr>
      <w:r>
        <w:lastRenderedPageBreak/>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26470F67"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1D797E">
        <w:t xml:space="preserve">Figure </w:t>
      </w:r>
      <w:r w:rsidR="001D797E">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024F1EF" w:rsidR="003D15B5" w:rsidRDefault="003D15B5" w:rsidP="00C73E21">
      <w:pPr>
        <w:pStyle w:val="Caption"/>
        <w:keepNext/>
        <w:ind w:firstLine="0"/>
      </w:pPr>
      <w:bookmarkStart w:id="31" w:name="_Ref170051212"/>
      <w:r>
        <w:lastRenderedPageBreak/>
        <w:t xml:space="preserve">Figure </w:t>
      </w:r>
      <w:fldSimple w:instr=" SEQ Figure \* ARABIC ">
        <w:r w:rsidR="001D797E">
          <w:rPr>
            <w:noProof/>
          </w:rPr>
          <w:t>8</w:t>
        </w:r>
      </w:fldSimple>
      <w:bookmarkEnd w:id="31"/>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p>
    <w:p w14:paraId="2E85A0C9" w14:textId="04FA8172" w:rsidR="008A65C5" w:rsidRDefault="00AC6FB7" w:rsidP="009A4CC2">
      <w:pPr>
        <w:spacing w:line="240" w:lineRule="auto"/>
        <w:ind w:firstLine="0"/>
        <w:jc w:val="left"/>
      </w:pPr>
      <w:r w:rsidRPr="00AC6FB7">
        <w:rPr>
          <w:noProof/>
        </w:rPr>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26818E7D" w:rsidR="009A4CC2" w:rsidRDefault="008A65C5" w:rsidP="009A4CC2">
      <w:pPr>
        <w:spacing w:line="240" w:lineRule="auto"/>
        <w:ind w:firstLine="0"/>
        <w:jc w:val="left"/>
      </w:pPr>
      <w:r w:rsidRPr="008A65C5">
        <w:rPr>
          <w:noProof/>
        </w:rPr>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32" w:name="_Ref169916076"/>
      <w:r>
        <w:lastRenderedPageBreak/>
        <w:t>Results</w:t>
      </w:r>
      <w:bookmarkEnd w:id="32"/>
    </w:p>
    <w:p w14:paraId="4624B044" w14:textId="52112339" w:rsidR="00565535" w:rsidRPr="00565535" w:rsidRDefault="00565535" w:rsidP="00076D05">
      <w:pPr>
        <w:pStyle w:val="Heading2"/>
      </w:pPr>
      <w:bookmarkStart w:id="33" w:name="_Ref202361500"/>
      <w:r>
        <w:t>Pri</w:t>
      </w:r>
      <w:r w:rsidR="000B6289">
        <w:t>cing</w:t>
      </w:r>
      <w:bookmarkEnd w:id="33"/>
    </w:p>
    <w:p w14:paraId="7EE9C1FE" w14:textId="6688D240" w:rsidR="00916B59" w:rsidRDefault="00916B59" w:rsidP="00E13076">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USD LIBOR contracts are subject to the CFTC clearing mandate</w:t>
      </w:r>
      <w:r w:rsidR="00E13076">
        <w:t xml:space="preserve">. </w:t>
      </w:r>
      <w:r w:rsidR="00667B32">
        <w:fldChar w:fldCharType="begin"/>
      </w:r>
      <w:r w:rsidR="00667B32">
        <w:instrText xml:space="preserve"> REF _Ref169917265 \h </w:instrText>
      </w:r>
      <w:r w:rsidR="00667B32">
        <w:fldChar w:fldCharType="separate"/>
      </w:r>
      <w:r w:rsidR="001D797E">
        <w:t xml:space="preserve">Table </w:t>
      </w:r>
      <w:r w:rsidR="001D797E">
        <w:rPr>
          <w:noProof/>
        </w:rPr>
        <w:t>8</w:t>
      </w:r>
      <w:r w:rsidR="00667B32">
        <w:fldChar w:fldCharType="end"/>
      </w:r>
      <w:r w:rsidR="00667B32">
        <w:t xml:space="preserve"> </w:t>
      </w:r>
      <w:r>
        <w:t xml:space="preserve">lists the </w:t>
      </w:r>
      <w:r w:rsidR="00E50655">
        <w:t>diff-in-diff</w:t>
      </w:r>
      <w:r w:rsidR="000525FC">
        <w:t xml:space="preserve"> </w:t>
      </w:r>
      <w:r>
        <w:t>results for the swap premium</w:t>
      </w:r>
      <w:r w:rsidR="00D855A9">
        <w:t>,</w:t>
      </w:r>
      <w:r w:rsidR="009358B9">
        <w:t xml:space="preserve"> pooling data from all phases</w:t>
      </w:r>
      <w:r>
        <w:t xml:space="preserve">. Column 1 shows a basic model without any controls for contract characteristics. Column 2 </w:t>
      </w:r>
      <w:r w:rsidR="00E13076">
        <w:t xml:space="preserve">(advanced model) </w:t>
      </w:r>
      <w:r>
        <w:t>shows the effects additional controls, such as the (log) notional value of the contract, day</w:t>
      </w:r>
      <w:r w:rsidR="000373B6">
        <w:t>,</w:t>
      </w:r>
      <w:r>
        <w:t xml:space="preserve"> and period of trading and whether the notional value was “capped” (i.e</w:t>
      </w:r>
      <w:r w:rsidR="000373B6">
        <w:t>.,</w:t>
      </w:r>
      <w:r>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6B617077"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 xml:space="preserve">Finally, a one-year increase in the tenor is associated with a 0.03 bps increase in the premium. It is difficult to determine whether </w:t>
      </w:r>
      <w:r w:rsidR="003038B9">
        <w:t xml:space="preserve">this represents a </w:t>
      </w:r>
      <w:r w:rsidR="00CB22BA">
        <w:t xml:space="preserve">riskless-arbitrage </w:t>
      </w:r>
      <w:r w:rsidR="003038B9">
        <w:t>opportunity</w:t>
      </w:r>
      <w:r w:rsidR="00721A58">
        <w:t xml:space="preserve"> or </w:t>
      </w:r>
      <w:r w:rsidR="00B11C73">
        <w:t xml:space="preserve">a difference in </w:t>
      </w:r>
      <w:r w:rsidR="00247DB7">
        <w:t>perceived riskiness for long</w:t>
      </w:r>
      <w:r w:rsidR="00B11C73">
        <w:t>er</w:t>
      </w:r>
      <w:r w:rsidR="00247DB7">
        <w:t>-dated contracts</w:t>
      </w:r>
      <w:r w:rsidR="00BF7C4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726AB3F1" w:rsidR="00565535" w:rsidRDefault="00337EDA" w:rsidP="00A712D2">
      <w:r>
        <w:fldChar w:fldCharType="begin"/>
      </w:r>
      <w:r>
        <w:instrText xml:space="preserve"> REF _Ref169917329 \h </w:instrText>
      </w:r>
      <w:r>
        <w:fldChar w:fldCharType="separate"/>
      </w:r>
      <w:r w:rsidR="001D797E">
        <w:t xml:space="preserve">Table </w:t>
      </w:r>
      <w:r w:rsidR="001D797E">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 xml:space="preserve">there </w:t>
      </w:r>
      <w:r w:rsidR="00E203C9">
        <w:lastRenderedPageBreak/>
        <w:t>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B6E4067" w:rsidR="000A0237" w:rsidRDefault="000A0237" w:rsidP="000A0237">
      <w:r>
        <w:fldChar w:fldCharType="begin"/>
      </w:r>
      <w:r>
        <w:instrText xml:space="preserve"> REF _Ref170030812 \h </w:instrText>
      </w:r>
      <w:r>
        <w:fldChar w:fldCharType="separate"/>
      </w:r>
      <w:r w:rsidR="001D797E">
        <w:t xml:space="preserve">Table </w:t>
      </w:r>
      <w:r w:rsidR="001D797E">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291234C0" w:rsidR="009F16B5" w:rsidRDefault="009F16B5" w:rsidP="00C73E21">
      <w:pPr>
        <w:pStyle w:val="Caption"/>
        <w:keepNext/>
        <w:ind w:firstLine="0"/>
        <w:jc w:val="left"/>
      </w:pPr>
      <w:bookmarkStart w:id="34" w:name="_Ref169917265"/>
      <w:bookmarkStart w:id="35" w:name="_Ref202361522"/>
      <w:r>
        <w:lastRenderedPageBreak/>
        <w:t xml:space="preserve">Table </w:t>
      </w:r>
      <w:fldSimple w:instr=" SEQ Table \* ARABIC ">
        <w:r w:rsidR="001D797E">
          <w:rPr>
            <w:noProof/>
          </w:rPr>
          <w:t>8</w:t>
        </w:r>
      </w:fldSimple>
      <w:bookmarkEnd w:id="34"/>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5"/>
      <w:r w:rsidR="00B11C73">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lastRenderedPageBreak/>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408BF653" w:rsidR="009F16B5" w:rsidRDefault="009F16B5" w:rsidP="00C73E21">
      <w:pPr>
        <w:pStyle w:val="Caption"/>
        <w:ind w:firstLine="0"/>
        <w:rPr>
          <w:noProof/>
        </w:rPr>
      </w:pPr>
      <w:r>
        <w:br w:type="page"/>
      </w:r>
      <w:bookmarkStart w:id="36" w:name="_Ref169917329"/>
      <w:bookmarkStart w:id="37" w:name="_Ref202361525"/>
      <w:r>
        <w:lastRenderedPageBreak/>
        <w:t xml:space="preserve">Table </w:t>
      </w:r>
      <w:fldSimple w:instr=" SEQ Table \* ARABIC ">
        <w:r w:rsidR="001D797E">
          <w:rPr>
            <w:noProof/>
          </w:rPr>
          <w:t>9</w:t>
        </w:r>
      </w:fldSimple>
      <w:bookmarkEnd w:id="36"/>
      <w:r>
        <w:rPr>
          <w:noProof/>
        </w:rPr>
        <w:t xml:space="preserve"> </w:t>
      </w:r>
      <w:r w:rsidR="00A11EE0">
        <w:rPr>
          <w:noProof/>
        </w:rPr>
        <w:t>diff-in-doff</w:t>
      </w:r>
      <w:r w:rsidR="00C7357E">
        <w:rPr>
          <w:noProof/>
        </w:rPr>
        <w:t xml:space="preserve"> results for prices by </w:t>
      </w:r>
      <w:r w:rsidR="00CF46DD">
        <w:rPr>
          <w:noProof/>
        </w:rPr>
        <w:t xml:space="preserve">each </w:t>
      </w:r>
      <w:r w:rsidR="00B11C73">
        <w:rPr>
          <w:noProof/>
        </w:rPr>
        <w:t xml:space="preserve">implementation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r w:rsidR="00B11C73">
        <w:rPr>
          <w:noProof/>
        </w:rPr>
        <w:t xml:space="preserve"> (coefficients on the Gorup * Period term)</w:t>
      </w:r>
      <w:r w:rsidR="007D76ED">
        <w:rPr>
          <w:noProof/>
        </w:rPr>
        <w:t>.</w:t>
      </w:r>
      <w:bookmarkEnd w:id="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2F46134C" w:rsidR="008F3A03" w:rsidRDefault="008F3A03" w:rsidP="00C73E21">
      <w:pPr>
        <w:pStyle w:val="Caption"/>
        <w:keepNext/>
        <w:ind w:firstLine="0"/>
      </w:pPr>
      <w:bookmarkStart w:id="38" w:name="_Ref170030812"/>
      <w:r>
        <w:t xml:space="preserve">Table </w:t>
      </w:r>
      <w:fldSimple w:instr=" SEQ Table \* ARABIC ">
        <w:r w:rsidR="001D797E">
          <w:rPr>
            <w:noProof/>
          </w:rPr>
          <w:t>10</w:t>
        </w:r>
      </w:fldSimple>
      <w:bookmarkEnd w:id="38"/>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r w:rsidR="00B11C73">
        <w:rPr>
          <w:noProof/>
        </w:rPr>
        <w:t>.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0E1B7FAD"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1D797E">
        <w:t xml:space="preserve">Table </w:t>
      </w:r>
      <w:r w:rsidR="001D797E">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 xml:space="preserve">ince the period of study is </w:t>
      </w:r>
      <w:r w:rsidR="00B11C73">
        <w:t xml:space="preserve">relatively </w:t>
      </w:r>
      <w:r w:rsidR="00AF5C18">
        <w:t>short and since liquidity is a “market wide</w:t>
      </w:r>
      <w:r w:rsidR="00105B3E">
        <w:t>,”</w:t>
      </w:r>
      <w:r w:rsidR="00AF5C18">
        <w:t xml:space="preserve"> rather than an individual contract-based measure, the opportunity to control for variables that impact liquidity is limited to market-wide metrics</w:t>
      </w:r>
      <w:r w:rsidR="00B11C73">
        <w:rPr>
          <w:rStyle w:val="FootnoteReference"/>
        </w:rPr>
        <w:footnoteReference w:id="9"/>
      </w:r>
      <w:r w:rsidR="00AF5C18">
        <w:t>.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w:t>
      </w:r>
      <w:r>
        <w:lastRenderedPageBreak/>
        <w:t xml:space="preserve">riskiness of </w:t>
      </w:r>
      <w:r w:rsidR="00EF2A70">
        <w:t>IR swap</w:t>
      </w:r>
      <w:r w:rsidR="00E00B5B">
        <w:t>s</w:t>
      </w:r>
      <w:r w:rsidR="00101AC3">
        <w:t xml:space="preserve"> </w:t>
      </w:r>
      <w:r w:rsidR="008B2215">
        <w:t>increase</w:t>
      </w:r>
      <w:r w:rsidR="00904D85">
        <w:t>s</w:t>
      </w:r>
      <w:r>
        <w:t xml:space="preserve"> their demand. If the swaps market is monopolistic (that is, new 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2FBA2C3D"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1D797E">
        <w:t xml:space="preserve">Table </w:t>
      </w:r>
      <w:r w:rsidR="001D797E">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7D569D54"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1D797E">
        <w:t xml:space="preserve">Table </w:t>
      </w:r>
      <w:r w:rsidR="001D797E">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7EB2616F" w:rsidR="000E7A31" w:rsidRDefault="000E7A31" w:rsidP="00C73E21">
      <w:pPr>
        <w:pStyle w:val="Caption"/>
        <w:keepNext/>
        <w:ind w:firstLine="0"/>
      </w:pPr>
      <w:bookmarkStart w:id="39" w:name="_Ref170051638"/>
      <w:r>
        <w:lastRenderedPageBreak/>
        <w:t xml:space="preserve">Table </w:t>
      </w:r>
      <w:fldSimple w:instr=" SEQ Table \* ARABIC ">
        <w:r w:rsidR="001D797E">
          <w:rPr>
            <w:noProof/>
          </w:rPr>
          <w:t>11</w:t>
        </w:r>
      </w:fldSimple>
      <w:bookmarkEnd w:id="39"/>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lastRenderedPageBreak/>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302C08E1" w:rsidR="000E7A31" w:rsidRDefault="000E7A31" w:rsidP="00C73E21">
      <w:pPr>
        <w:pStyle w:val="Caption"/>
        <w:keepNext/>
        <w:ind w:firstLine="0"/>
      </w:pPr>
      <w:bookmarkStart w:id="40" w:name="_Ref170051781"/>
      <w:r>
        <w:lastRenderedPageBreak/>
        <w:t xml:space="preserve">Table </w:t>
      </w:r>
      <w:fldSimple w:instr=" SEQ Table \* ARABIC ">
        <w:r w:rsidR="001D797E">
          <w:rPr>
            <w:noProof/>
          </w:rPr>
          <w:t>12</w:t>
        </w:r>
      </w:fldSimple>
      <w:bookmarkEnd w:id="40"/>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lastRenderedPageBreak/>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43555C8" w:rsidR="000E7A31" w:rsidRDefault="000E7A31" w:rsidP="00C73E21">
      <w:pPr>
        <w:pStyle w:val="Caption"/>
        <w:keepNext/>
        <w:ind w:firstLine="0"/>
      </w:pPr>
      <w:bookmarkStart w:id="41" w:name="_Ref170051786"/>
      <w:r>
        <w:lastRenderedPageBreak/>
        <w:t xml:space="preserve">Table </w:t>
      </w:r>
      <w:fldSimple w:instr=" SEQ Table \* ARABIC ">
        <w:r w:rsidR="001D797E">
          <w:rPr>
            <w:noProof/>
          </w:rPr>
          <w:t>13</w:t>
        </w:r>
      </w:fldSimple>
      <w:bookmarkEnd w:id="41"/>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lastRenderedPageBreak/>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41CC7BC"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w:t>
      </w:r>
      <w:r w:rsidR="00DA6D71">
        <w:t>diff-in-diff</w:t>
      </w:r>
      <w:r w:rsidRPr="002F2C1F">
        <w:t xml:space="preserve"> specification in equation </w:t>
      </w:r>
      <w:r>
        <w:fldChar w:fldCharType="begin"/>
      </w:r>
      <w:r>
        <w:instrText xml:space="preserve"> REF _Ref202300910 \h </w:instrText>
      </w:r>
      <w:r>
        <w:fldChar w:fldCharType="separate"/>
      </w:r>
      <w:r w:rsidR="001D797E">
        <w:t>(</w:t>
      </w:r>
      <w:r w:rsidR="001D797E">
        <w:rPr>
          <w:noProof/>
        </w:rPr>
        <w:t>50</w:t>
      </w:r>
      <w:r w:rsidR="001D797E">
        <w:t>)</w:t>
      </w:r>
      <w:r>
        <w:fldChar w:fldCharType="end"/>
      </w:r>
      <w:r w:rsidRPr="002F2C1F">
        <w:t>. Each observation is a tenor–currency–day cell; the sample pools the three mandate windows, giving 829 observations after filtering for data availability.</w:t>
      </w:r>
    </w:p>
    <w:p w14:paraId="2D83798F" w14:textId="564B63E6" w:rsidR="009B0115" w:rsidRDefault="00CD27F8" w:rsidP="009B0115">
      <w:r>
        <w:fldChar w:fldCharType="begin"/>
      </w:r>
      <w:r>
        <w:instrText xml:space="preserve"> REF _Ref170052233 \h </w:instrText>
      </w:r>
      <w:r>
        <w:fldChar w:fldCharType="separate"/>
      </w:r>
      <w:r w:rsidR="001D797E">
        <w:t xml:space="preserve">Table </w:t>
      </w:r>
      <w:r w:rsidR="001D797E">
        <w:rPr>
          <w:noProof/>
        </w:rPr>
        <w:t>14</w:t>
      </w:r>
      <w:r>
        <w:fldChar w:fldCharType="end"/>
      </w:r>
      <w:r w:rsidR="00635D77">
        <w:t xml:space="preserve"> reports the diff-in-diff results.</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0CFEB5E0" w:rsidR="00C0192F" w:rsidRDefault="008F6844" w:rsidP="009B0115">
      <w:r>
        <w:t xml:space="preserve">Theory suggest that any stabilizing benefit of central clearing should be most visible when counterparty-credit concerns flare up.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1D797E">
        <w:t xml:space="preserve">Table </w:t>
      </w:r>
      <w:r w:rsidR="001D797E">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3E805562" w:rsidR="00930217" w:rsidRDefault="00930217" w:rsidP="00C73E21">
      <w:pPr>
        <w:pStyle w:val="Caption"/>
        <w:keepNext/>
        <w:ind w:firstLine="0"/>
      </w:pPr>
      <w:bookmarkStart w:id="42" w:name="_Ref170052233"/>
      <w:r>
        <w:t xml:space="preserve">Table </w:t>
      </w:r>
      <w:fldSimple w:instr=" SEQ Table \* ARABIC ">
        <w:r w:rsidR="001D797E">
          <w:rPr>
            <w:noProof/>
          </w:rPr>
          <w:t>14</w:t>
        </w:r>
      </w:fldSimple>
      <w:bookmarkEnd w:id="42"/>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lastRenderedPageBreak/>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C8E7588" w:rsidR="00767205" w:rsidRDefault="00767205" w:rsidP="00C73E21">
      <w:pPr>
        <w:pStyle w:val="Caption"/>
        <w:keepNext/>
        <w:ind w:firstLine="0"/>
      </w:pPr>
      <w:bookmarkStart w:id="43" w:name="_Ref178619310"/>
      <w:r>
        <w:lastRenderedPageBreak/>
        <w:t xml:space="preserve">Table </w:t>
      </w:r>
      <w:fldSimple w:instr=" SEQ Table \* ARABIC ">
        <w:r w:rsidR="001D797E">
          <w:rPr>
            <w:noProof/>
          </w:rPr>
          <w:t>15</w:t>
        </w:r>
      </w:fldSimple>
      <w:bookmarkEnd w:id="43"/>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4" w:name="_Ref169916090"/>
      <w:r>
        <w:lastRenderedPageBreak/>
        <w:t>Conclusion</w:t>
      </w:r>
      <w:bookmarkEnd w:id="44"/>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9604CF8" w14:textId="77777777" w:rsidR="00DB3DA1" w:rsidRPr="00DB3DA1" w:rsidRDefault="002A62E7" w:rsidP="00DB3DA1">
      <w:pPr>
        <w:pStyle w:val="Bibliography"/>
      </w:pPr>
      <w:r>
        <w:lastRenderedPageBreak/>
        <w:fldChar w:fldCharType="begin"/>
      </w:r>
      <w:r w:rsidR="00DB3DA1">
        <w:instrText xml:space="preserve"> ADDIN ZOTERO_BIBL {"uncited":[],"omitted":[],"custom":[]} CSL_BIBLIOGRAPHY </w:instrText>
      </w:r>
      <w:r>
        <w:fldChar w:fldCharType="separate"/>
      </w:r>
      <w:r w:rsidR="00DB3DA1" w:rsidRPr="00DB3DA1">
        <w:t xml:space="preserve">Allen, Franklin, and Douglas Gale. 2000. “Financial Contagion.” </w:t>
      </w:r>
      <w:r w:rsidR="00DB3DA1" w:rsidRPr="00DB3DA1">
        <w:rPr>
          <w:i/>
          <w:iCs/>
        </w:rPr>
        <w:t>Journal of Political Economy</w:t>
      </w:r>
      <w:r w:rsidR="00DB3DA1" w:rsidRPr="00DB3DA1">
        <w:t xml:space="preserve"> 108 (1): 1–33. https://doi.org/10.1086/262109.</w:t>
      </w:r>
    </w:p>
    <w:p w14:paraId="7E75CB63" w14:textId="77777777" w:rsidR="00DB3DA1" w:rsidRPr="00DB3DA1" w:rsidRDefault="00DB3DA1" w:rsidP="00DB3DA1">
      <w:pPr>
        <w:pStyle w:val="Bibliography"/>
      </w:pPr>
      <w:r w:rsidRPr="00DB3DA1">
        <w:t>Allen, Franklin, and Douglas M. Gale. 2007. “An Introduction to Financial Crises.” SSRN Scholarly Paper. Rochester, NY. https://doi.org/10.2139/ssrn.1008311.</w:t>
      </w:r>
    </w:p>
    <w:p w14:paraId="08089A91" w14:textId="77777777" w:rsidR="00DB3DA1" w:rsidRPr="00DB3DA1" w:rsidRDefault="00DB3DA1" w:rsidP="00DB3DA1">
      <w:pPr>
        <w:pStyle w:val="Bibliography"/>
      </w:pPr>
      <w:r w:rsidRPr="00DB3DA1">
        <w:t>Ametrano, Ferdinando, and Luigi Ballabio. 2003a. “The QuatLib Library: An Open Source Framework for Quantitative Finance.” http://www.quantlib.org.</w:t>
      </w:r>
    </w:p>
    <w:p w14:paraId="4D1E5B0E" w14:textId="77777777" w:rsidR="00DB3DA1" w:rsidRPr="00DB3DA1" w:rsidRDefault="00DB3DA1" w:rsidP="00DB3DA1">
      <w:pPr>
        <w:pStyle w:val="Bibliography"/>
      </w:pPr>
      <w:r w:rsidRPr="00DB3DA1">
        <w:t>———. 2003b. “User’s Manual for QuantLib: An Open Source Framework for Quantitative Finance.” User’s Manual 0.3.1 beta. http://www.quantlib.org: TheOrganisation.</w:t>
      </w:r>
    </w:p>
    <w:p w14:paraId="209812A3" w14:textId="77777777" w:rsidR="00DB3DA1" w:rsidRPr="00DB3DA1" w:rsidRDefault="00DB3DA1" w:rsidP="00DB3DA1">
      <w:pPr>
        <w:pStyle w:val="Bibliography"/>
      </w:pPr>
      <w:r w:rsidRPr="00DB3DA1">
        <w:t xml:space="preserve">Angrist, Joshua D., and Jörn-Steffen Pischke. 2009. </w:t>
      </w:r>
      <w:r w:rsidRPr="00DB3DA1">
        <w:rPr>
          <w:i/>
          <w:iCs/>
        </w:rPr>
        <w:t>Mostly Harmless Econometrics: An Empiricist’s Companion</w:t>
      </w:r>
      <w:r w:rsidRPr="00DB3DA1">
        <w:t>. Princeton: Princeton University Press.</w:t>
      </w:r>
    </w:p>
    <w:p w14:paraId="050FB5EF" w14:textId="77777777" w:rsidR="00DB3DA1" w:rsidRPr="00DB3DA1" w:rsidRDefault="00DB3DA1" w:rsidP="00DB3DA1">
      <w:pPr>
        <w:pStyle w:val="Bibliography"/>
      </w:pPr>
      <w:r w:rsidRPr="00DB3DA1">
        <w:t xml:space="preserve">———. 2010. “The Credibility Revolution in Empirical Economics: How Better Research Design Is Taking the Con out of Econometrics.” </w:t>
      </w:r>
      <w:r w:rsidRPr="00DB3DA1">
        <w:rPr>
          <w:i/>
          <w:iCs/>
        </w:rPr>
        <w:t>Journal of Economic Perspectives</w:t>
      </w:r>
      <w:r w:rsidRPr="00DB3DA1">
        <w:t xml:space="preserve"> 24 (2): 3–30. https://doi.org/10.1257/jep.24.2.3.</w:t>
      </w:r>
    </w:p>
    <w:p w14:paraId="46C34693" w14:textId="77777777" w:rsidR="00DB3DA1" w:rsidRPr="00DB3DA1" w:rsidRDefault="00DB3DA1" w:rsidP="00DB3DA1">
      <w:pPr>
        <w:pStyle w:val="Bibliography"/>
      </w:pPr>
      <w:r w:rsidRPr="00DB3DA1">
        <w:t xml:space="preserve">Azad, A. S. M. Sohel, Victor Fang, and Chi-Hsiou Hung. 2012. “Linking the Interest Rate Swap Markets to the Macroeconomic Risk: The UK and Us Evidence.” </w:t>
      </w:r>
      <w:r w:rsidRPr="00DB3DA1">
        <w:rPr>
          <w:i/>
          <w:iCs/>
        </w:rPr>
        <w:t>International Review of Financial Analysis</w:t>
      </w:r>
      <w:r w:rsidRPr="00DB3DA1">
        <w:t xml:space="preserve"> 22 (April):38–47. https://doi.org/10.1016/j.irfa.2012.03.001.</w:t>
      </w:r>
    </w:p>
    <w:p w14:paraId="4C774A72" w14:textId="77777777" w:rsidR="00DB3DA1" w:rsidRPr="00DB3DA1" w:rsidRDefault="00DB3DA1" w:rsidP="00DB3DA1">
      <w:pPr>
        <w:pStyle w:val="Bibliography"/>
      </w:pPr>
      <w:r w:rsidRPr="00DB3DA1">
        <w:t xml:space="preserve">Bebchuk, Lucian A., and Itay Goldstein. 2011. “Self-Fulfilling Credit Market Freezes.” </w:t>
      </w:r>
      <w:r w:rsidRPr="00DB3DA1">
        <w:rPr>
          <w:i/>
          <w:iCs/>
        </w:rPr>
        <w:t>The Review of Financial Studies</w:t>
      </w:r>
      <w:r w:rsidRPr="00DB3DA1">
        <w:t xml:space="preserve"> 24 (11): 3519–55. https://doi.org/10.1093/rfs/hhr086.</w:t>
      </w:r>
    </w:p>
    <w:p w14:paraId="176FD77A" w14:textId="77777777" w:rsidR="00DB3DA1" w:rsidRPr="00DB3DA1" w:rsidRDefault="00DB3DA1" w:rsidP="00DB3DA1">
      <w:pPr>
        <w:pStyle w:val="Bibliography"/>
      </w:pPr>
      <w:r w:rsidRPr="00DB3DA1">
        <w:t>Benos, Evangelos, Wenqian Huang, Albert J. Menkveld, and Michalis Vasios. 2019. “The Cost of Clearing Fragmentation.” SSRN Scholarly Paper ID 3502465. Rochester, NY: Social Science Research Network. https://papers.ssrn.com/abstract=3502465.</w:t>
      </w:r>
    </w:p>
    <w:p w14:paraId="38AA118D" w14:textId="77777777" w:rsidR="00DB3DA1" w:rsidRPr="00DB3DA1" w:rsidRDefault="00DB3DA1" w:rsidP="00DB3DA1">
      <w:pPr>
        <w:pStyle w:val="Bibliography"/>
      </w:pPr>
      <w:r w:rsidRPr="00DB3DA1">
        <w:t xml:space="preserve">Benos, Evangelos, Richard Payne, and Michalis Vasios. 2020. “Centralized Trading, Transparency, and Interest Rate Swap Market Liquidity: Evidence from the Implementation of the Dodd–Frank Act.” </w:t>
      </w:r>
      <w:r w:rsidRPr="00DB3DA1">
        <w:rPr>
          <w:i/>
          <w:iCs/>
        </w:rPr>
        <w:t>Journal of Financial and Quantitative Analysis</w:t>
      </w:r>
      <w:r w:rsidRPr="00DB3DA1">
        <w:t xml:space="preserve"> 55 (1): 159–92. https://doi.org/10.1017/S0022109018001527.</w:t>
      </w:r>
    </w:p>
    <w:p w14:paraId="6F702AD5" w14:textId="77777777" w:rsidR="00DB3DA1" w:rsidRPr="00DB3DA1" w:rsidRDefault="00DB3DA1" w:rsidP="00DB3DA1">
      <w:pPr>
        <w:pStyle w:val="Bibliography"/>
      </w:pPr>
      <w:r w:rsidRPr="00DB3DA1">
        <w:t xml:space="preserve">Bernstein, Asaf, Eric Hughson, and Marc Weidenmier. 2019. “Counterparty Risk and the Establishment of the New York Stock Exchange Clearinghouse.” </w:t>
      </w:r>
      <w:r w:rsidRPr="00DB3DA1">
        <w:rPr>
          <w:i/>
          <w:iCs/>
        </w:rPr>
        <w:t>Journal of Political Economy</w:t>
      </w:r>
      <w:r w:rsidRPr="00DB3DA1">
        <w:t xml:space="preserve"> 127 (2): 689–729. https://doi.org/10.1086/701033.</w:t>
      </w:r>
    </w:p>
    <w:p w14:paraId="3D281AB3" w14:textId="77777777" w:rsidR="00DB3DA1" w:rsidRPr="00DB3DA1" w:rsidRDefault="00DB3DA1" w:rsidP="00DB3DA1">
      <w:pPr>
        <w:pStyle w:val="Bibliography"/>
      </w:pPr>
      <w:r w:rsidRPr="00DB3DA1">
        <w:t xml:space="preserve">Biais, Bruno. 1993. “Price Formation and Equilibrium Liquidity in Fragmented and Centralized Markets.” </w:t>
      </w:r>
      <w:r w:rsidRPr="00DB3DA1">
        <w:rPr>
          <w:i/>
          <w:iCs/>
        </w:rPr>
        <w:t>The Journal of Finance</w:t>
      </w:r>
      <w:r w:rsidRPr="00DB3DA1">
        <w:t xml:space="preserve"> 48 (1): 157–85. https://doi.org/10.1111/j.1540-6261.1993.tb04705.x.</w:t>
      </w:r>
    </w:p>
    <w:p w14:paraId="46951F77" w14:textId="77777777" w:rsidR="00DB3DA1" w:rsidRPr="00DB3DA1" w:rsidRDefault="00DB3DA1" w:rsidP="00DB3DA1">
      <w:pPr>
        <w:pStyle w:val="Bibliography"/>
      </w:pPr>
      <w:r w:rsidRPr="00DB3DA1">
        <w:t xml:space="preserve">Bicksler, James, and Andrew H. Chen. 1986. “An Economic Analysis of Interest Rate Swaps.” </w:t>
      </w:r>
      <w:r w:rsidRPr="00DB3DA1">
        <w:rPr>
          <w:i/>
          <w:iCs/>
        </w:rPr>
        <w:t>The Journal of Finance</w:t>
      </w:r>
      <w:r w:rsidRPr="00DB3DA1">
        <w:t xml:space="preserve"> 41 (3): 645–55. https://doi.org/10.2307/2328495.</w:t>
      </w:r>
    </w:p>
    <w:p w14:paraId="61E4FB49" w14:textId="77777777" w:rsidR="00DB3DA1" w:rsidRPr="00DB3DA1" w:rsidRDefault="00DB3DA1" w:rsidP="00DB3DA1">
      <w:pPr>
        <w:pStyle w:val="Bibliography"/>
      </w:pPr>
      <w:r w:rsidRPr="00DB3DA1">
        <w:t>Bloomberg L.P. 2013. “Yield Curve Data for U.S. Swap Rates and Canadian Dollar Rates.” Bloomberg Terminal.</w:t>
      </w:r>
    </w:p>
    <w:p w14:paraId="2888FE4E" w14:textId="77777777" w:rsidR="00DB3DA1" w:rsidRPr="00DB3DA1" w:rsidRDefault="00DB3DA1" w:rsidP="00DB3DA1">
      <w:pPr>
        <w:pStyle w:val="Bibliography"/>
      </w:pPr>
      <w:r w:rsidRPr="00DB3DA1">
        <w:t>———. 2024. “Building the Bloomberg Interest Rate Curve – Definitions and Methodology.” Bloomberg L.P.</w:t>
      </w:r>
    </w:p>
    <w:p w14:paraId="2A90C78F" w14:textId="77777777" w:rsidR="00DB3DA1" w:rsidRPr="00DB3DA1" w:rsidRDefault="00DB3DA1" w:rsidP="00DB3DA1">
      <w:pPr>
        <w:pStyle w:val="Bibliography"/>
      </w:pPr>
      <w:r w:rsidRPr="00DB3DA1">
        <w:t>Bolandnazar, Mohammadreza. 2020. “The Market Structure of Dealer-to-Client Interest Rate Swaps.” SSRN Scholarly Paper 3752367. Rochester, NY: Social Science Research Network. https://doi.org/10.2139/ssrn.3752367.</w:t>
      </w:r>
    </w:p>
    <w:p w14:paraId="0F448EE5" w14:textId="77777777" w:rsidR="00DB3DA1" w:rsidRPr="00DB3DA1" w:rsidRDefault="00DB3DA1" w:rsidP="00DB3DA1">
      <w:pPr>
        <w:pStyle w:val="Bibliography"/>
      </w:pPr>
      <w:r w:rsidRPr="00DB3DA1">
        <w:t>Boudiaf, Ismael Alexander, Immo Frieden, and Martin Scheicher. 2024. “The Market Liquidity of Interest Rate Swaps.” SSRN Scholarly Paper. Rochester, NY. https://doi.org/10.2139/ssrn.4745740.</w:t>
      </w:r>
    </w:p>
    <w:p w14:paraId="542AA7C7" w14:textId="77777777" w:rsidR="00DB3DA1" w:rsidRPr="00DB3DA1" w:rsidRDefault="00DB3DA1" w:rsidP="00DB3DA1">
      <w:pPr>
        <w:pStyle w:val="Bibliography"/>
      </w:pPr>
      <w:r w:rsidRPr="00DB3DA1">
        <w:t xml:space="preserve">Brunnermeier, Markus K. 2009. “Deciphering the Liquidity and Credit Crunch 2007-2008.” </w:t>
      </w:r>
      <w:r w:rsidRPr="00DB3DA1">
        <w:rPr>
          <w:i/>
          <w:iCs/>
        </w:rPr>
        <w:t>Journal of Economic Perspectives</w:t>
      </w:r>
      <w:r w:rsidRPr="00DB3DA1">
        <w:t xml:space="preserve"> 23 (1): 77–100. https://doi.org/10.1257/jep.23.1.77.</w:t>
      </w:r>
    </w:p>
    <w:p w14:paraId="03736D2A" w14:textId="77777777" w:rsidR="00DB3DA1" w:rsidRPr="00DB3DA1" w:rsidRDefault="00DB3DA1" w:rsidP="00DB3DA1">
      <w:pPr>
        <w:pStyle w:val="Bibliography"/>
      </w:pPr>
      <w:r w:rsidRPr="00DB3DA1">
        <w:lastRenderedPageBreak/>
        <w:t xml:space="preserve">Capponi, Agostino, and Martin Larsson. 2015. “Price Contagion through Balance Sheet Linkages.” </w:t>
      </w:r>
      <w:r w:rsidRPr="00DB3DA1">
        <w:rPr>
          <w:i/>
          <w:iCs/>
        </w:rPr>
        <w:t>The Review of Asset Pricing Studies</w:t>
      </w:r>
      <w:r w:rsidRPr="00DB3DA1">
        <w:t xml:space="preserve"> 5 (2): 227–53. https://doi.org/10.1093/rapstu/rav006.</w:t>
      </w:r>
    </w:p>
    <w:p w14:paraId="7E2F9F00" w14:textId="77777777" w:rsidR="00DB3DA1" w:rsidRPr="00DB3DA1" w:rsidRDefault="00DB3DA1" w:rsidP="00DB3DA1">
      <w:pPr>
        <w:pStyle w:val="Bibliography"/>
      </w:pPr>
      <w:r w:rsidRPr="00DB3DA1">
        <w:t xml:space="preserve">Cifuentes, Rodrigo, Gianluigi Ferrucci, and Hyun Song Shin. 2005. “Liquidity Risk and Contagion.” </w:t>
      </w:r>
      <w:r w:rsidRPr="00DB3DA1">
        <w:rPr>
          <w:i/>
          <w:iCs/>
        </w:rPr>
        <w:t>Journal of the European Economic Association</w:t>
      </w:r>
      <w:r w:rsidRPr="00DB3DA1">
        <w:t xml:space="preserve"> 3 (2–3): 556–66. https://doi.org/10.1162/jeea.2005.3.2-3.556.</w:t>
      </w:r>
    </w:p>
    <w:p w14:paraId="03F3AC6E" w14:textId="77777777" w:rsidR="00DB3DA1" w:rsidRPr="00DB3DA1" w:rsidRDefault="00DB3DA1" w:rsidP="00DB3DA1">
      <w:pPr>
        <w:pStyle w:val="Bibliography"/>
      </w:pPr>
      <w:r w:rsidRPr="00DB3DA1">
        <w:t>Commodity Futures Trading Commission. n.d. “Dodd-Frank Act.” CFTC.Gov. Accessed June 30, 2025. https://www.cftc.gov/LawRegulation/DoddFrankAct/index.htm.</w:t>
      </w:r>
    </w:p>
    <w:p w14:paraId="362A9AF4" w14:textId="77777777" w:rsidR="00DB3DA1" w:rsidRPr="00DB3DA1" w:rsidRDefault="00DB3DA1" w:rsidP="00DB3DA1">
      <w:pPr>
        <w:pStyle w:val="Bibliography"/>
      </w:pPr>
      <w:r w:rsidRPr="00DB3DA1">
        <w:t xml:space="preserve">Cross, Frank. 1973. “The Behavior of Stock Prices on Fridays and Mondays.” </w:t>
      </w:r>
      <w:r w:rsidRPr="00DB3DA1">
        <w:rPr>
          <w:i/>
          <w:iCs/>
        </w:rPr>
        <w:t>Financial Analysts Journal</w:t>
      </w:r>
      <w:r w:rsidRPr="00DB3DA1">
        <w:t xml:space="preserve"> 29 (6): 67–69. https://doi.org/10.2469/faj.v29.n6.67.</w:t>
      </w:r>
    </w:p>
    <w:p w14:paraId="1B8755D0" w14:textId="77777777" w:rsidR="00DB3DA1" w:rsidRPr="00DB3DA1" w:rsidRDefault="00DB3DA1" w:rsidP="00DB3DA1">
      <w:pPr>
        <w:pStyle w:val="Bibliography"/>
      </w:pPr>
      <w:r w:rsidRPr="00DB3DA1">
        <w:t xml:space="preserve">Cunningham, Scott. 2021. </w:t>
      </w:r>
      <w:r w:rsidRPr="00DB3DA1">
        <w:rPr>
          <w:i/>
          <w:iCs/>
        </w:rPr>
        <w:t>Causal Inference: The Mixtape</w:t>
      </w:r>
      <w:r w:rsidRPr="00DB3DA1">
        <w:t>. New Haven London: Yale University Press.</w:t>
      </w:r>
    </w:p>
    <w:p w14:paraId="31F3D7DE" w14:textId="77777777" w:rsidR="00DB3DA1" w:rsidRPr="00DB3DA1" w:rsidRDefault="00DB3DA1" w:rsidP="00DB3DA1">
      <w:pPr>
        <w:pStyle w:val="Bibliography"/>
      </w:pPr>
      <w:r w:rsidRPr="00DB3DA1">
        <w:t xml:space="preserve">Darbyshire, J. H. M. 2022. </w:t>
      </w:r>
      <w:r w:rsidRPr="00DB3DA1">
        <w:rPr>
          <w:i/>
          <w:iCs/>
        </w:rPr>
        <w:t>Pricing and Trading Interest Rate Derivatives: A Practical Guide to Swaps</w:t>
      </w:r>
      <w:r w:rsidRPr="00DB3DA1">
        <w:t>. Aitch &amp; Dee Limited.</w:t>
      </w:r>
    </w:p>
    <w:p w14:paraId="72AD282D" w14:textId="77777777" w:rsidR="00DB3DA1" w:rsidRPr="00DB3DA1" w:rsidRDefault="00DB3DA1" w:rsidP="00DB3DA1">
      <w:pPr>
        <w:pStyle w:val="Bibliography"/>
      </w:pPr>
      <w:r w:rsidRPr="00DB3DA1">
        <w:t xml:space="preserve">Diamond, Douglas W., and Philip H. Dybvig. 1983. “Bank Runs, Deposit Insurance, and Liquidity.” </w:t>
      </w:r>
      <w:r w:rsidRPr="00DB3DA1">
        <w:rPr>
          <w:i/>
          <w:iCs/>
        </w:rPr>
        <w:t>Journal of Political Economy</w:t>
      </w:r>
      <w:r w:rsidRPr="00DB3DA1">
        <w:t xml:space="preserve"> 91 (3): 401–19. https://doi.org/10.1086/261155.</w:t>
      </w:r>
    </w:p>
    <w:p w14:paraId="77EB3FF4" w14:textId="77777777" w:rsidR="00DB3DA1" w:rsidRPr="00DB3DA1" w:rsidRDefault="00DB3DA1" w:rsidP="00DB3DA1">
      <w:pPr>
        <w:pStyle w:val="Bibliography"/>
      </w:pPr>
      <w:r w:rsidRPr="00DB3DA1">
        <w:t xml:space="preserve">Diamond, Douglas W., and Raghuram G. Rajan. 2011. “Fear of Fire Sales, Illiquidity Seeking, and Credit Freezes *.” </w:t>
      </w:r>
      <w:r w:rsidRPr="00DB3DA1">
        <w:rPr>
          <w:i/>
          <w:iCs/>
        </w:rPr>
        <w:t>The Quarterly Journal of Economics</w:t>
      </w:r>
      <w:r w:rsidRPr="00DB3DA1">
        <w:t xml:space="preserve"> 126 (2): 557–91. https://doi.org/10.1093/qje/qjr012.</w:t>
      </w:r>
    </w:p>
    <w:p w14:paraId="17016C5A" w14:textId="77777777" w:rsidR="00DB3DA1" w:rsidRPr="00DB3DA1" w:rsidRDefault="00DB3DA1" w:rsidP="00DB3DA1">
      <w:pPr>
        <w:pStyle w:val="Bibliography"/>
      </w:pPr>
      <w:r w:rsidRPr="00DB3DA1">
        <w:rPr>
          <w:i/>
          <w:iCs/>
        </w:rPr>
        <w:t>Dodd-Frank Wall Street Reform and Consumer Protection Act</w:t>
      </w:r>
      <w:r w:rsidRPr="00DB3DA1">
        <w:t xml:space="preserve">. 2010. </w:t>
      </w:r>
      <w:r w:rsidRPr="00DB3DA1">
        <w:rPr>
          <w:i/>
          <w:iCs/>
        </w:rPr>
        <w:t>United States Code</w:t>
      </w:r>
      <w:r w:rsidRPr="00DB3DA1">
        <w:t>.</w:t>
      </w:r>
    </w:p>
    <w:p w14:paraId="2CA68426" w14:textId="77777777" w:rsidR="00DB3DA1" w:rsidRPr="00DB3DA1" w:rsidRDefault="00DB3DA1" w:rsidP="00DB3DA1">
      <w:pPr>
        <w:pStyle w:val="Bibliography"/>
      </w:pPr>
      <w:r w:rsidRPr="00DB3DA1">
        <w:t xml:space="preserve">Duffie, Darrell, Martin Scheicher, and Guillaume Vuillemey. 2015. “Central Clearing and Collateral Demand.” </w:t>
      </w:r>
      <w:r w:rsidRPr="00DB3DA1">
        <w:rPr>
          <w:i/>
          <w:iCs/>
        </w:rPr>
        <w:t>Journal of Financial Economics</w:t>
      </w:r>
      <w:r w:rsidRPr="00DB3DA1">
        <w:t xml:space="preserve"> 116 (2): 237–56. https://doi.org/10.1016/j.jfineco.2014.12.006.</w:t>
      </w:r>
    </w:p>
    <w:p w14:paraId="0B287C47" w14:textId="77777777" w:rsidR="00DB3DA1" w:rsidRPr="00DB3DA1" w:rsidRDefault="00DB3DA1" w:rsidP="00DB3DA1">
      <w:pPr>
        <w:pStyle w:val="Bibliography"/>
      </w:pPr>
      <w:r w:rsidRPr="00DB3DA1">
        <w:t xml:space="preserve">Duffie, Darrell, and Haoxiang Zhu. 2011. “Does a Central Clearing Counterparty Reduce Counterparty Risk?” </w:t>
      </w:r>
      <w:r w:rsidRPr="00DB3DA1">
        <w:rPr>
          <w:i/>
          <w:iCs/>
        </w:rPr>
        <w:t>Review of Asset Pricing Studies</w:t>
      </w:r>
      <w:r w:rsidRPr="00DB3DA1">
        <w:t xml:space="preserve"> 1 (1): 74–95.</w:t>
      </w:r>
    </w:p>
    <w:p w14:paraId="2B34546F" w14:textId="77777777" w:rsidR="00DB3DA1" w:rsidRPr="00DB3DA1" w:rsidRDefault="00DB3DA1" w:rsidP="00DB3DA1">
      <w:pPr>
        <w:pStyle w:val="Bibliography"/>
      </w:pPr>
      <w:r w:rsidRPr="00DB3DA1">
        <w:t xml:space="preserve">Fett, Nicholas, and Richard Haynes. 2017. “Liquidity in Select Futures Markets.” </w:t>
      </w:r>
      <w:r w:rsidRPr="00DB3DA1">
        <w:rPr>
          <w:i/>
          <w:iCs/>
        </w:rPr>
        <w:t>White Paper. Office of the Chief Economist, United States Commodity Futures Trading Commission</w:t>
      </w:r>
      <w:r w:rsidRPr="00DB3DA1">
        <w:t>. https://www.cftc.gov/sites/default/files/idc/groups/public/@economicanalysis/documents/file/oce_liquidityfuturesmarkets.pdf.</w:t>
      </w:r>
    </w:p>
    <w:p w14:paraId="1197F959" w14:textId="77777777" w:rsidR="00DB3DA1" w:rsidRPr="00DB3DA1" w:rsidRDefault="00DB3DA1" w:rsidP="00DB3DA1">
      <w:pPr>
        <w:pStyle w:val="Bibliography"/>
      </w:pPr>
      <w:r w:rsidRPr="00DB3DA1">
        <w:t>Fock, Albert. 2024. “Trade Size and Transaction Costs in Over-The-Counter Markets.” Master’s Thesis, Universidade NOVA de Lisboa (Portugal). https://search.proquest.com/openview/fa910bd6b945b267c5d8f6aec4657d17/1?pq-origsite=gscholar&amp;cbl=2026366&amp;diss=y.</w:t>
      </w:r>
    </w:p>
    <w:p w14:paraId="0E4588B4" w14:textId="77777777" w:rsidR="00DB3DA1" w:rsidRPr="00DB3DA1" w:rsidRDefault="00DB3DA1" w:rsidP="00DB3DA1">
      <w:pPr>
        <w:pStyle w:val="Bibliography"/>
      </w:pPr>
      <w:r w:rsidRPr="00DB3DA1">
        <w:t xml:space="preserve">French, Kenneth R. 1980. “Stock Returns and the Weekend Effect.” </w:t>
      </w:r>
      <w:r w:rsidRPr="00DB3DA1">
        <w:rPr>
          <w:i/>
          <w:iCs/>
        </w:rPr>
        <w:t>Journal of Financial Economics</w:t>
      </w:r>
      <w:r w:rsidRPr="00DB3DA1">
        <w:t xml:space="preserve"> 8 (1): 55–69.</w:t>
      </w:r>
    </w:p>
    <w:p w14:paraId="1C9A0BCD" w14:textId="77777777" w:rsidR="00DB3DA1" w:rsidRPr="00DB3DA1" w:rsidRDefault="00DB3DA1" w:rsidP="00DB3DA1">
      <w:pPr>
        <w:pStyle w:val="Bibliography"/>
      </w:pPr>
      <w:r w:rsidRPr="00DB3DA1">
        <w:t xml:space="preserve">Gai, Prasanna, and Sujit Kapadia. 2010. “Contagion in Financial Networks.” </w:t>
      </w:r>
      <w:r w:rsidRPr="00DB3DA1">
        <w:rPr>
          <w:i/>
          <w:iCs/>
        </w:rPr>
        <w:t>Proceedings of the Royal Society A: Mathematical, Physical and Engineering Sciences</w:t>
      </w:r>
      <w:r w:rsidRPr="00DB3DA1">
        <w:t xml:space="preserve"> 466 (2120): 2401–23. https://doi.org/10.1098/rspa.2009.0410.</w:t>
      </w:r>
    </w:p>
    <w:p w14:paraId="5CC389F8" w14:textId="77777777" w:rsidR="00DB3DA1" w:rsidRPr="00DB3DA1" w:rsidRDefault="00DB3DA1" w:rsidP="00DB3DA1">
      <w:pPr>
        <w:pStyle w:val="Bibliography"/>
      </w:pPr>
      <w:r w:rsidRPr="00DB3DA1">
        <w:t xml:space="preserve">Greenwood, Robin, Augustin Landier, and David Thesmar. 2015. “Vulnerable Banks.” </w:t>
      </w:r>
      <w:r w:rsidRPr="00DB3DA1">
        <w:rPr>
          <w:i/>
          <w:iCs/>
        </w:rPr>
        <w:t>Journal of Financial Economics</w:t>
      </w:r>
      <w:r w:rsidRPr="00DB3DA1">
        <w:t xml:space="preserve"> 115 (3): 471–85. https://doi.org/10.1016/j.jfineco.2014.11.006.</w:t>
      </w:r>
    </w:p>
    <w:p w14:paraId="5490C868" w14:textId="77777777" w:rsidR="00DB3DA1" w:rsidRPr="00DB3DA1" w:rsidRDefault="00DB3DA1" w:rsidP="00DB3DA1">
      <w:pPr>
        <w:pStyle w:val="Bibliography"/>
      </w:pPr>
      <w:r w:rsidRPr="00DB3DA1">
        <w:t xml:space="preserve">Hull, John. 2022. </w:t>
      </w:r>
      <w:r w:rsidRPr="00DB3DA1">
        <w:rPr>
          <w:i/>
          <w:iCs/>
        </w:rPr>
        <w:t>Options, Futures, and Other Derivatives</w:t>
      </w:r>
      <w:r w:rsidRPr="00DB3DA1">
        <w:t>. Eleventh edition, Global edition. Harlow, England: Pearson4060 1 Online-Ressource (880 Seiten).</w:t>
      </w:r>
    </w:p>
    <w:p w14:paraId="51652B67" w14:textId="77777777" w:rsidR="00DB3DA1" w:rsidRPr="00DB3DA1" w:rsidRDefault="00DB3DA1" w:rsidP="00DB3DA1">
      <w:pPr>
        <w:pStyle w:val="Bibliography"/>
      </w:pPr>
      <w:r w:rsidRPr="00DB3DA1">
        <w:t xml:space="preserve">Jackson, Matthew O., and Agathe Pernoud. 2021. “Systemic Risk in Financial Networks: A Survey.” </w:t>
      </w:r>
      <w:r w:rsidRPr="00DB3DA1">
        <w:rPr>
          <w:i/>
          <w:iCs/>
        </w:rPr>
        <w:t>Annual Review of Economics</w:t>
      </w:r>
      <w:r w:rsidRPr="00DB3DA1">
        <w:t xml:space="preserve"> 13 (1): 171–202. https://doi.org/10.1146/annurev-economics-083120-111540.</w:t>
      </w:r>
    </w:p>
    <w:p w14:paraId="313EDE4B" w14:textId="77777777" w:rsidR="00DB3DA1" w:rsidRPr="00DB3DA1" w:rsidRDefault="00DB3DA1" w:rsidP="00DB3DA1">
      <w:pPr>
        <w:pStyle w:val="Bibliography"/>
      </w:pPr>
      <w:r w:rsidRPr="00DB3DA1">
        <w:lastRenderedPageBreak/>
        <w:t xml:space="preserve">Kiyotaki, Nobuhiro, and John Moore. 1997. “Credit Cycles.” </w:t>
      </w:r>
      <w:r w:rsidRPr="00DB3DA1">
        <w:rPr>
          <w:i/>
          <w:iCs/>
        </w:rPr>
        <w:t>Journal of Political Economy</w:t>
      </w:r>
      <w:r w:rsidRPr="00DB3DA1">
        <w:t xml:space="preserve"> 105 (2): 211–48. https://doi.org/10.1086/262072.</w:t>
      </w:r>
    </w:p>
    <w:p w14:paraId="53E2AED9" w14:textId="77777777" w:rsidR="00DB3DA1" w:rsidRPr="00DB3DA1" w:rsidRDefault="00DB3DA1" w:rsidP="00DB3DA1">
      <w:pPr>
        <w:pStyle w:val="Bibliography"/>
      </w:pPr>
      <w:r w:rsidRPr="00DB3DA1">
        <w:t>Kleist, Karsten von, and C. Mallo. 2011. “OTC Derivatives Market Activity in the Second Half of 2010.” Bank of International Settlements. https://www.bis.org/publ/otc_hy1105.pdf.</w:t>
      </w:r>
    </w:p>
    <w:p w14:paraId="3A5A9F3D" w14:textId="77777777" w:rsidR="00DB3DA1" w:rsidRPr="00DB3DA1" w:rsidRDefault="00DB3DA1" w:rsidP="00DB3DA1">
      <w:pPr>
        <w:pStyle w:val="Bibliography"/>
      </w:pPr>
      <w:r w:rsidRPr="00DB3DA1">
        <w:t xml:space="preserve">Lee, David S., and Thomas Lemieux. 2010. “Regression Discontinuity Designs in Economics.” </w:t>
      </w:r>
      <w:r w:rsidRPr="00DB3DA1">
        <w:rPr>
          <w:i/>
          <w:iCs/>
        </w:rPr>
        <w:t>Journal of Economic Literature</w:t>
      </w:r>
      <w:r w:rsidRPr="00DB3DA1">
        <w:t xml:space="preserve"> 48 (2): 281–355. https://doi.org/10.1257/jel.48.2.281.</w:t>
      </w:r>
    </w:p>
    <w:p w14:paraId="419BA9EC" w14:textId="77777777" w:rsidR="00DB3DA1" w:rsidRPr="00DB3DA1" w:rsidRDefault="00DB3DA1" w:rsidP="00DB3DA1">
      <w:pPr>
        <w:pStyle w:val="Bibliography"/>
      </w:pPr>
      <w:r w:rsidRPr="00DB3DA1">
        <w:t xml:space="preserve">Liu, Jun, Francis A. Longstaff, and Ravit E. Mandell. 2006. “The Market Price of Risk in Interest Rate Swaps: The Roles of Default and Liquidity Risks.” </w:t>
      </w:r>
      <w:r w:rsidRPr="00DB3DA1">
        <w:rPr>
          <w:i/>
          <w:iCs/>
        </w:rPr>
        <w:t>The Journal of Business</w:t>
      </w:r>
      <w:r w:rsidRPr="00DB3DA1">
        <w:t xml:space="preserve"> 79 (5): 2337–59. https://doi.org/10.1086/505237.</w:t>
      </w:r>
    </w:p>
    <w:p w14:paraId="0BD29682" w14:textId="77777777" w:rsidR="00DB3DA1" w:rsidRPr="00DB3DA1" w:rsidRDefault="00DB3DA1" w:rsidP="00DB3DA1">
      <w:pPr>
        <w:pStyle w:val="Bibliography"/>
      </w:pPr>
      <w:r w:rsidRPr="00DB3DA1">
        <w:t xml:space="preserve">Loon, Yee Cheng, and Zhaodong Ken Zhong. 2014. “The Impact of Central Clearing on Counterparty Risk, Liquidity, and Trading: Evidence from the Credit Default Swap Market.” </w:t>
      </w:r>
      <w:r w:rsidRPr="00DB3DA1">
        <w:rPr>
          <w:i/>
          <w:iCs/>
        </w:rPr>
        <w:t>Journal of Financial Economics</w:t>
      </w:r>
      <w:r w:rsidRPr="00DB3DA1">
        <w:t xml:space="preserve"> 112 (1): 91–115. https://doi.org/10.1016/j.jfineco.2013.12.001.</w:t>
      </w:r>
    </w:p>
    <w:p w14:paraId="28E4AF8D" w14:textId="77777777" w:rsidR="00DB3DA1" w:rsidRPr="00DB3DA1" w:rsidRDefault="00DB3DA1" w:rsidP="00DB3DA1">
      <w:pPr>
        <w:pStyle w:val="Bibliography"/>
      </w:pPr>
      <w:r w:rsidRPr="00DB3DA1">
        <w:t xml:space="preserve">Loon, Yee Cheng, and Zhaodong (Ken) Zhong. 2016. “Does Dodd-Frank Affect OTC Transaction Costs and Liquidity? Evidence from Real-Time CDS Trade Reports.” </w:t>
      </w:r>
      <w:r w:rsidRPr="00DB3DA1">
        <w:rPr>
          <w:i/>
          <w:iCs/>
        </w:rPr>
        <w:t>Journal of Financial Economics</w:t>
      </w:r>
      <w:r w:rsidRPr="00DB3DA1">
        <w:t xml:space="preserve"> 119 (3): 645–72. https://doi.org/10.1016/j.jfineco.2016.01.019.</w:t>
      </w:r>
    </w:p>
    <w:p w14:paraId="682F8225" w14:textId="77777777" w:rsidR="00DB3DA1" w:rsidRPr="00DB3DA1" w:rsidRDefault="00DB3DA1" w:rsidP="00DB3DA1">
      <w:pPr>
        <w:pStyle w:val="Bibliography"/>
      </w:pPr>
      <w:r w:rsidRPr="00DB3DA1">
        <w:t xml:space="preserve">Mateus, Cesario, and Fabio Faltoni. 2015. “How Swap Execution Facilities Will Reshape the OTC Derivative Swap Market?” </w:t>
      </w:r>
      <w:r w:rsidRPr="00DB3DA1">
        <w:rPr>
          <w:i/>
          <w:iCs/>
        </w:rPr>
        <w:t>Journal of Stock &amp; Forex Trading</w:t>
      </w:r>
      <w:r w:rsidRPr="00DB3DA1">
        <w:t xml:space="preserve"> 4 (3). http://gala.gre.ac.uk/id/eprint/15000/.</w:t>
      </w:r>
    </w:p>
    <w:p w14:paraId="01A0C20D" w14:textId="77777777" w:rsidR="00DB3DA1" w:rsidRPr="00DB3DA1" w:rsidRDefault="00DB3DA1" w:rsidP="00DB3DA1">
      <w:pPr>
        <w:pStyle w:val="Bibliography"/>
      </w:pPr>
      <w:r w:rsidRPr="00DB3DA1">
        <w:t xml:space="preserve">McAlley, Eric. 2024. “Examining the Impact of Central Clearing and Swap Execution Facilities on Interest Rate Swap Spreads and Their Determinants.” </w:t>
      </w:r>
      <w:r w:rsidRPr="00DB3DA1">
        <w:rPr>
          <w:i/>
          <w:iCs/>
        </w:rPr>
        <w:t>McAlley, E.(2024). Examining the Impact of Central Clearing and Swap Execution Facilities on Interest Rate Swap Spreads and Their Determinants. Risk Governance and Control: Financial Markets &amp; Institutions</w:t>
      </w:r>
      <w:r w:rsidRPr="00DB3DA1">
        <w:t xml:space="preserve"> 14 (1): 8–18.</w:t>
      </w:r>
    </w:p>
    <w:p w14:paraId="0F4122D3" w14:textId="77777777" w:rsidR="00DB3DA1" w:rsidRPr="00DB3DA1" w:rsidRDefault="00DB3DA1" w:rsidP="00DB3DA1">
      <w:pPr>
        <w:pStyle w:val="Bibliography"/>
      </w:pPr>
      <w:r w:rsidRPr="00DB3DA1">
        <w:t xml:space="preserve">McPartland, John W. 2009. “Clearing and Settlement of Exchange Traded Derivatives.” </w:t>
      </w:r>
      <w:r w:rsidRPr="00DB3DA1">
        <w:rPr>
          <w:i/>
          <w:iCs/>
        </w:rPr>
        <w:t>Chicago Fed Letter</w:t>
      </w:r>
      <w:r w:rsidRPr="00DB3DA1">
        <w:t xml:space="preserve"> 267 (2). https://fraser.stlouisfed.org/files/docs/historical/frbchi/policydiscussion/frbchi_policy_2009-02.pdf.</w:t>
      </w:r>
    </w:p>
    <w:p w14:paraId="50E1B1AC" w14:textId="77777777" w:rsidR="00DB3DA1" w:rsidRPr="00DB3DA1" w:rsidRDefault="00DB3DA1" w:rsidP="00DB3DA1">
      <w:pPr>
        <w:pStyle w:val="Bibliography"/>
      </w:pPr>
      <w:r w:rsidRPr="00DB3DA1">
        <w:t xml:space="preserve">Menkveld, Albert J., and Guillaume Vuillemey. 2021. “The Economics of Central Clearing.” </w:t>
      </w:r>
      <w:r w:rsidRPr="00DB3DA1">
        <w:rPr>
          <w:i/>
          <w:iCs/>
        </w:rPr>
        <w:t>Annual Review of Financial Economics</w:t>
      </w:r>
      <w:r w:rsidRPr="00DB3DA1">
        <w:t xml:space="preserve"> 13 (1): annurev-financial-100520-100321. https://doi.org/10.1146/annurev-financial-100520-100321.</w:t>
      </w:r>
    </w:p>
    <w:p w14:paraId="7D6A0197" w14:textId="77777777" w:rsidR="00DB3DA1" w:rsidRPr="00DB3DA1" w:rsidRDefault="00DB3DA1" w:rsidP="00DB3DA1">
      <w:pPr>
        <w:pStyle w:val="Bibliography"/>
      </w:pPr>
      <w:r w:rsidRPr="00DB3DA1">
        <w:t xml:space="preserve">Minton, Bernadette A. 1997. “An Empirical Examination of Basic Valuation Models for Plain Vanilla U.S. Interest Rate Swaps.” </w:t>
      </w:r>
      <w:r w:rsidRPr="00DB3DA1">
        <w:rPr>
          <w:i/>
          <w:iCs/>
        </w:rPr>
        <w:t>Journal of Financial Economics</w:t>
      </w:r>
      <w:r w:rsidRPr="00DB3DA1">
        <w:t xml:space="preserve"> 44 (2): 251–77. https://doi.org/10.1016/S0304-405X(97)00005-6.</w:t>
      </w:r>
    </w:p>
    <w:p w14:paraId="66CBE7E1" w14:textId="77777777" w:rsidR="00DB3DA1" w:rsidRPr="00DB3DA1" w:rsidRDefault="00DB3DA1" w:rsidP="00DB3DA1">
      <w:pPr>
        <w:pStyle w:val="Bibliography"/>
      </w:pPr>
      <w:r w:rsidRPr="00DB3DA1">
        <w:t>“OTC Derivatives Statistics at End-June 2024.” 2024. Bank of International Settlement.</w:t>
      </w:r>
    </w:p>
    <w:p w14:paraId="378B7D7A" w14:textId="77777777" w:rsidR="00DB3DA1" w:rsidRPr="00DB3DA1" w:rsidRDefault="00DB3DA1" w:rsidP="00DB3DA1">
      <w:pPr>
        <w:pStyle w:val="Bibliography"/>
      </w:pPr>
      <w:r w:rsidRPr="00DB3DA1">
        <w:t>Pirrong, Craig. 2011. “The Economics of Central Clearing: Theory and Practice.”</w:t>
      </w:r>
    </w:p>
    <w:p w14:paraId="7D5989E2" w14:textId="77777777" w:rsidR="00DB3DA1" w:rsidRPr="00DB3DA1" w:rsidRDefault="00DB3DA1" w:rsidP="00DB3DA1">
      <w:pPr>
        <w:pStyle w:val="Bibliography"/>
      </w:pPr>
      <w:r w:rsidRPr="00DB3DA1">
        <w:t xml:space="preserve">Randall, Oliver. 2015. “Pricing and Liquidity in Over-the-Counter Markets.” </w:t>
      </w:r>
      <w:r w:rsidRPr="00DB3DA1">
        <w:rPr>
          <w:i/>
          <w:iCs/>
        </w:rPr>
        <w:t>Available at SSRN 2590351</w:t>
      </w:r>
      <w:r w:rsidRPr="00DB3DA1">
        <w:t>. https://papers.ssrn.com/sol3/papers.cfm?abstract_id=2590351.</w:t>
      </w:r>
    </w:p>
    <w:p w14:paraId="6F0B97C3" w14:textId="77777777" w:rsidR="00DB3DA1" w:rsidRPr="00DB3DA1" w:rsidRDefault="00DB3DA1" w:rsidP="00DB3DA1">
      <w:pPr>
        <w:pStyle w:val="Bibliography"/>
      </w:pPr>
      <w:r w:rsidRPr="00DB3DA1">
        <w:t xml:space="preserve">Rochet, Jean-Charles, and Jean Tirole. 1996. “Interbank Lending and Systemic Risk.” </w:t>
      </w:r>
      <w:r w:rsidRPr="00DB3DA1">
        <w:rPr>
          <w:i/>
          <w:iCs/>
        </w:rPr>
        <w:t>Journal of Money, Credit and Banking</w:t>
      </w:r>
      <w:r w:rsidRPr="00DB3DA1">
        <w:t xml:space="preserve"> 28 (4): 733–62. https://doi.org/10.2307/2077918.</w:t>
      </w:r>
    </w:p>
    <w:p w14:paraId="2ACA0D00" w14:textId="77777777" w:rsidR="00DB3DA1" w:rsidRPr="00DB3DA1" w:rsidRDefault="00DB3DA1" w:rsidP="00DB3DA1">
      <w:pPr>
        <w:pStyle w:val="Bibliography"/>
      </w:pPr>
      <w:r w:rsidRPr="00DB3DA1">
        <w:t xml:space="preserve">Roll, Richard. 1984. “A Simple Implicit Measure of the Effective Bid-Ask Spread in an Efficient Market.” </w:t>
      </w:r>
      <w:r w:rsidRPr="00DB3DA1">
        <w:rPr>
          <w:i/>
          <w:iCs/>
        </w:rPr>
        <w:t>The Journal of Finance</w:t>
      </w:r>
      <w:r w:rsidRPr="00DB3DA1">
        <w:t xml:space="preserve"> 39 (4): 1127–39. https://doi.org/10.1111/j.1540-6261.1984.tb03897.x.</w:t>
      </w:r>
    </w:p>
    <w:p w14:paraId="246187E7" w14:textId="77777777" w:rsidR="00DB3DA1" w:rsidRPr="00DB3DA1" w:rsidRDefault="00DB3DA1" w:rsidP="00DB3DA1">
      <w:pPr>
        <w:pStyle w:val="Bibliography"/>
      </w:pPr>
      <w:r w:rsidRPr="00DB3DA1">
        <w:t xml:space="preserve">Rubin, Donald B. 1976. “Inference and Missing Data.” </w:t>
      </w:r>
      <w:r w:rsidRPr="00DB3DA1">
        <w:rPr>
          <w:i/>
          <w:iCs/>
        </w:rPr>
        <w:t>Biometrika</w:t>
      </w:r>
      <w:r w:rsidRPr="00DB3DA1">
        <w:t xml:space="preserve"> 63 (3): 581–92. https://doi.org/10.1093/biomet/63.3.581.</w:t>
      </w:r>
    </w:p>
    <w:p w14:paraId="4CA766A9" w14:textId="77777777" w:rsidR="00DB3DA1" w:rsidRPr="00DB3DA1" w:rsidRDefault="00DB3DA1" w:rsidP="00DB3DA1">
      <w:pPr>
        <w:pStyle w:val="Bibliography"/>
      </w:pPr>
      <w:r w:rsidRPr="00DB3DA1">
        <w:lastRenderedPageBreak/>
        <w:t xml:space="preserve">“SDR View, Capped Notional Changes.” 2013. </w:t>
      </w:r>
      <w:r w:rsidRPr="00DB3DA1">
        <w:rPr>
          <w:i/>
          <w:iCs/>
        </w:rPr>
        <w:t>Clarus</w:t>
      </w:r>
      <w:r w:rsidRPr="00DB3DA1">
        <w:t xml:space="preserve"> (blog). August 2013. https://www.clarusft.com/sdr-view-capped-notional-changes/.</w:t>
      </w:r>
    </w:p>
    <w:p w14:paraId="4D1A2EA5" w14:textId="77777777" w:rsidR="00DB3DA1" w:rsidRPr="00DB3DA1" w:rsidRDefault="00DB3DA1" w:rsidP="00DB3DA1">
      <w:pPr>
        <w:pStyle w:val="Bibliography"/>
      </w:pPr>
      <w:r w:rsidRPr="00DB3DA1">
        <w:t>Skarr, Doug, and Kristin Szakaly-Moore. 2007. “Understanding Interest Rate Swap Math &amp; Pricing.” California Debt and Investment Advisory Commission. https://www.treasurer.ca.gov/cdiac/publications/math.pdf.</w:t>
      </w:r>
    </w:p>
    <w:p w14:paraId="007C5433" w14:textId="77777777" w:rsidR="00DB3DA1" w:rsidRPr="00DB3DA1" w:rsidRDefault="00DB3DA1" w:rsidP="00DB3DA1">
      <w:pPr>
        <w:pStyle w:val="Bibliography"/>
      </w:pPr>
      <w:r w:rsidRPr="00DB3DA1">
        <w:t xml:space="preserve">Smith, Clifford W., Charles W. Smithson, and Lee Macdonald Wakeman. 1988. “The Market for Interest Rate Swaps.” </w:t>
      </w:r>
      <w:r w:rsidRPr="00DB3DA1">
        <w:rPr>
          <w:i/>
          <w:iCs/>
        </w:rPr>
        <w:t>Financial Management</w:t>
      </w:r>
      <w:r w:rsidRPr="00DB3DA1">
        <w:t xml:space="preserve"> 17 (4): 34–44. https://doi.org/10.2307/3665765.</w:t>
      </w:r>
    </w:p>
    <w:p w14:paraId="3CB6DD5A" w14:textId="77777777" w:rsidR="00DB3DA1" w:rsidRPr="00DB3DA1" w:rsidRDefault="00DB3DA1" w:rsidP="00DB3DA1">
      <w:pPr>
        <w:pStyle w:val="Bibliography"/>
      </w:pPr>
      <w:r w:rsidRPr="00DB3DA1">
        <w:t xml:space="preserve">Sun, Tong-sheng, Suresh Sundaresan, and Ching Wang. 1993. “Interest Rate Swaps: An Empirical Investigation.” </w:t>
      </w:r>
      <w:r w:rsidRPr="00DB3DA1">
        <w:rPr>
          <w:i/>
          <w:iCs/>
        </w:rPr>
        <w:t>Journal of Financial Economics</w:t>
      </w:r>
      <w:r w:rsidRPr="00DB3DA1">
        <w:t xml:space="preserve"> 34 (1): 77–99. https://doi.org/10.1016/0304-405X(93)90041-9.</w:t>
      </w:r>
    </w:p>
    <w:p w14:paraId="4E56A1B5" w14:textId="77777777" w:rsidR="00DB3DA1" w:rsidRPr="00DB3DA1" w:rsidRDefault="00DB3DA1" w:rsidP="00DB3DA1">
      <w:pPr>
        <w:pStyle w:val="Bibliography"/>
      </w:pPr>
      <w:r w:rsidRPr="00DB3DA1">
        <w:rPr>
          <w:i/>
          <w:iCs/>
        </w:rPr>
        <w:t>Swap Data Recordkeeping and Reporting Requirements</w:t>
      </w:r>
      <w:r w:rsidRPr="00DB3DA1">
        <w:t xml:space="preserve">. 2012. </w:t>
      </w:r>
      <w:r w:rsidRPr="00DB3DA1">
        <w:rPr>
          <w:i/>
          <w:iCs/>
        </w:rPr>
        <w:t>CFR</w:t>
      </w:r>
      <w:r w:rsidRPr="00DB3DA1">
        <w:t>. Vol. 17 CFR.</w:t>
      </w:r>
    </w:p>
    <w:p w14:paraId="6C868427" w14:textId="77777777" w:rsidR="00DB3DA1" w:rsidRPr="00DB3DA1" w:rsidRDefault="00DB3DA1" w:rsidP="00DB3DA1">
      <w:pPr>
        <w:pStyle w:val="Bibliography"/>
      </w:pPr>
      <w:r w:rsidRPr="00DB3DA1">
        <w:t xml:space="preserve">Tarbert, Heath P., and Daniel J. Grimm. 2021. “The CFTC’s Swap Data Overhaul.” </w:t>
      </w:r>
      <w:r w:rsidRPr="00DB3DA1">
        <w:rPr>
          <w:i/>
          <w:iCs/>
        </w:rPr>
        <w:t>Florida State University Business Review</w:t>
      </w:r>
      <w:r w:rsidRPr="00DB3DA1">
        <w:t xml:space="preserve"> 20:1.</w:t>
      </w:r>
    </w:p>
    <w:p w14:paraId="0490112E" w14:textId="42AD167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5" w:name="_Ref181435687"/>
      <w:r>
        <w:lastRenderedPageBreak/>
        <w:t>Contract Characteristics</w:t>
      </w:r>
      <w:bookmarkEnd w:id="45"/>
    </w:p>
    <w:p w14:paraId="186C04B7" w14:textId="790434B0" w:rsidR="00260ADF" w:rsidRDefault="00260ADF" w:rsidP="00260ADF">
      <w:r>
        <w:t xml:space="preserve">This appendix lists the detailed characteristics of the “standard” (most liquid) interest-rate swaps contract for the currencies studied in this </w:t>
      </w:r>
      <w:r w:rsidR="00693385">
        <w:t>essay</w:t>
      </w:r>
      <w:r>
        <w:t>.</w:t>
      </w:r>
    </w:p>
    <w:p w14:paraId="2808F452" w14:textId="77140207" w:rsidR="00FE38B0" w:rsidRDefault="00FE38B0" w:rsidP="00C73E21">
      <w:pPr>
        <w:pStyle w:val="Caption"/>
        <w:keepNext/>
        <w:ind w:firstLine="0"/>
      </w:pPr>
      <w:r>
        <w:t xml:space="preserve">Table </w:t>
      </w:r>
      <w:fldSimple w:instr=" SEQ Table \* ARABIC ">
        <w:r w:rsidR="001D797E">
          <w:rPr>
            <w:noProof/>
          </w:rPr>
          <w:t>16</w:t>
        </w:r>
      </w:fldSimple>
      <w:r>
        <w:rPr>
          <w:noProof/>
        </w:rPr>
        <w:t xml:space="preserve"> Contract characteristics for common contracts</w:t>
      </w:r>
      <w:r w:rsidR="00E45865">
        <w:rPr>
          <w:noProof/>
        </w:rPr>
        <w:t xml:space="preserve"> (Source: Bloomberg L.P.)</w:t>
      </w:r>
    </w:p>
    <w:tbl>
      <w:tblPr>
        <w:tblW w:w="0" w:type="auto"/>
        <w:tblLook w:val="04A0" w:firstRow="1" w:lastRow="0" w:firstColumn="1" w:lastColumn="0" w:noHBand="0" w:noVBand="1"/>
      </w:tblPr>
      <w:tblGrid>
        <w:gridCol w:w="1800"/>
        <w:gridCol w:w="1882"/>
        <w:gridCol w:w="1898"/>
        <w:gridCol w:w="1980"/>
        <w:gridCol w:w="1786"/>
      </w:tblGrid>
      <w:tr w:rsidR="00260ADF" w:rsidRPr="00F700F5" w14:paraId="2F732E19" w14:textId="77777777" w:rsidTr="00F700F5">
        <w:tc>
          <w:tcPr>
            <w:tcW w:w="0" w:type="auto"/>
            <w:tcBorders>
              <w:bottom w:val="single" w:sz="4" w:space="0" w:color="auto"/>
            </w:tcBorders>
          </w:tcPr>
          <w:p w14:paraId="02FDA019" w14:textId="77777777" w:rsidR="00260ADF" w:rsidRPr="00F700F5" w:rsidRDefault="00260ADF" w:rsidP="00017116">
            <w:pPr>
              <w:ind w:firstLine="0"/>
              <w:jc w:val="left"/>
              <w:rPr>
                <w:sz w:val="22"/>
                <w:szCs w:val="22"/>
              </w:rPr>
            </w:pPr>
            <w:r w:rsidRPr="00F700F5">
              <w:rPr>
                <w:sz w:val="22"/>
                <w:szCs w:val="22"/>
              </w:rPr>
              <w:t>Currency</w:t>
            </w:r>
          </w:p>
        </w:tc>
        <w:tc>
          <w:tcPr>
            <w:tcW w:w="0" w:type="auto"/>
            <w:tcBorders>
              <w:bottom w:val="single" w:sz="4" w:space="0" w:color="auto"/>
            </w:tcBorders>
          </w:tcPr>
          <w:p w14:paraId="56F39AB9" w14:textId="77777777" w:rsidR="00260ADF" w:rsidRPr="00F700F5" w:rsidRDefault="00260ADF" w:rsidP="00017116">
            <w:pPr>
              <w:ind w:firstLine="0"/>
              <w:jc w:val="left"/>
              <w:rPr>
                <w:sz w:val="22"/>
                <w:szCs w:val="22"/>
              </w:rPr>
            </w:pPr>
            <w:r w:rsidRPr="00F700F5">
              <w:rPr>
                <w:sz w:val="22"/>
                <w:szCs w:val="22"/>
              </w:rPr>
              <w:t>USD</w:t>
            </w:r>
          </w:p>
        </w:tc>
        <w:tc>
          <w:tcPr>
            <w:tcW w:w="1898" w:type="dxa"/>
            <w:tcBorders>
              <w:bottom w:val="single" w:sz="4" w:space="0" w:color="auto"/>
            </w:tcBorders>
          </w:tcPr>
          <w:p w14:paraId="5A839B87" w14:textId="77777777" w:rsidR="00260ADF" w:rsidRPr="00F700F5" w:rsidRDefault="00260ADF" w:rsidP="00017116">
            <w:pPr>
              <w:ind w:firstLine="0"/>
              <w:jc w:val="left"/>
              <w:rPr>
                <w:sz w:val="22"/>
                <w:szCs w:val="22"/>
              </w:rPr>
            </w:pPr>
            <w:r w:rsidRPr="00F700F5">
              <w:rPr>
                <w:sz w:val="22"/>
                <w:szCs w:val="22"/>
              </w:rPr>
              <w:t>CAD</w:t>
            </w:r>
          </w:p>
        </w:tc>
        <w:tc>
          <w:tcPr>
            <w:tcW w:w="1980" w:type="dxa"/>
            <w:tcBorders>
              <w:bottom w:val="single" w:sz="4" w:space="0" w:color="auto"/>
            </w:tcBorders>
          </w:tcPr>
          <w:p w14:paraId="05F25F3E" w14:textId="77777777" w:rsidR="00260ADF" w:rsidRPr="00F700F5" w:rsidRDefault="00260ADF" w:rsidP="00017116">
            <w:pPr>
              <w:ind w:firstLine="0"/>
              <w:jc w:val="left"/>
              <w:rPr>
                <w:sz w:val="22"/>
                <w:szCs w:val="22"/>
              </w:rPr>
            </w:pPr>
            <w:r w:rsidRPr="00F700F5">
              <w:rPr>
                <w:sz w:val="22"/>
                <w:szCs w:val="22"/>
              </w:rPr>
              <w:t>GBP</w:t>
            </w:r>
          </w:p>
        </w:tc>
        <w:tc>
          <w:tcPr>
            <w:tcW w:w="1786" w:type="dxa"/>
            <w:tcBorders>
              <w:bottom w:val="single" w:sz="4" w:space="0" w:color="auto"/>
            </w:tcBorders>
          </w:tcPr>
          <w:p w14:paraId="3E3C6ECB" w14:textId="77777777" w:rsidR="00260ADF" w:rsidRPr="00F700F5" w:rsidRDefault="00260ADF" w:rsidP="00017116">
            <w:pPr>
              <w:ind w:firstLine="0"/>
              <w:jc w:val="left"/>
              <w:rPr>
                <w:sz w:val="22"/>
                <w:szCs w:val="22"/>
              </w:rPr>
            </w:pPr>
            <w:r w:rsidRPr="00F700F5">
              <w:rPr>
                <w:sz w:val="22"/>
                <w:szCs w:val="22"/>
              </w:rPr>
              <w:t>CHF</w:t>
            </w:r>
          </w:p>
        </w:tc>
      </w:tr>
      <w:tr w:rsidR="00260ADF" w:rsidRPr="00F700F5" w14:paraId="6420EE4B" w14:textId="77777777" w:rsidTr="00F700F5">
        <w:tc>
          <w:tcPr>
            <w:tcW w:w="0" w:type="auto"/>
            <w:tcBorders>
              <w:top w:val="single" w:sz="4" w:space="0" w:color="auto"/>
              <w:bottom w:val="single" w:sz="4" w:space="0" w:color="auto"/>
            </w:tcBorders>
          </w:tcPr>
          <w:p w14:paraId="70BC5271" w14:textId="77777777" w:rsidR="00260ADF" w:rsidRPr="00F700F5" w:rsidRDefault="00260ADF" w:rsidP="00017116">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03B39F55" w14:textId="77777777" w:rsidR="00260ADF" w:rsidRPr="00F700F5" w:rsidRDefault="00260ADF" w:rsidP="00017116">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1CF4311C" w14:textId="77777777" w:rsidR="00260ADF" w:rsidRPr="00F700F5" w:rsidRDefault="00260ADF" w:rsidP="00AE14C8">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5F0CBF9C" w14:textId="77777777" w:rsidR="00260ADF" w:rsidRPr="00F700F5" w:rsidRDefault="00260ADF" w:rsidP="00AE14C8">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71FA59B" w14:textId="77777777" w:rsidR="00260ADF" w:rsidRPr="00F700F5" w:rsidRDefault="00260ADF" w:rsidP="00FA037E">
            <w:pPr>
              <w:ind w:firstLine="0"/>
              <w:jc w:val="left"/>
              <w:rPr>
                <w:sz w:val="22"/>
                <w:szCs w:val="22"/>
              </w:rPr>
            </w:pPr>
            <w:r w:rsidRPr="00F700F5">
              <w:rPr>
                <w:sz w:val="22"/>
                <w:szCs w:val="22"/>
              </w:rPr>
              <w:t>T+2</w:t>
            </w:r>
          </w:p>
        </w:tc>
      </w:tr>
      <w:tr w:rsidR="00260ADF" w:rsidRPr="00F700F5" w14:paraId="08047D10" w14:textId="77777777" w:rsidTr="007D6CB3">
        <w:tc>
          <w:tcPr>
            <w:tcW w:w="0" w:type="auto"/>
            <w:gridSpan w:val="5"/>
            <w:tcBorders>
              <w:top w:val="single" w:sz="4" w:space="0" w:color="auto"/>
              <w:bottom w:val="single" w:sz="4" w:space="0" w:color="auto"/>
            </w:tcBorders>
          </w:tcPr>
          <w:p w14:paraId="5E629BEB" w14:textId="77777777" w:rsidR="00260ADF" w:rsidRPr="00F700F5" w:rsidRDefault="00260ADF" w:rsidP="00017116">
            <w:pPr>
              <w:ind w:firstLine="0"/>
              <w:jc w:val="left"/>
              <w:rPr>
                <w:sz w:val="22"/>
                <w:szCs w:val="22"/>
              </w:rPr>
            </w:pPr>
            <w:r w:rsidRPr="00F700F5">
              <w:rPr>
                <w:sz w:val="22"/>
                <w:szCs w:val="22"/>
              </w:rPr>
              <w:t>Fixed Leg</w:t>
            </w:r>
          </w:p>
        </w:tc>
      </w:tr>
      <w:tr w:rsidR="00260ADF" w:rsidRPr="00F700F5" w14:paraId="20AF48FD" w14:textId="77777777" w:rsidTr="00F700F5">
        <w:tc>
          <w:tcPr>
            <w:tcW w:w="0" w:type="auto"/>
            <w:tcBorders>
              <w:top w:val="single" w:sz="4" w:space="0" w:color="auto"/>
            </w:tcBorders>
          </w:tcPr>
          <w:p w14:paraId="2F3E7780"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0A7B352E" w14:textId="77777777" w:rsidR="00260ADF" w:rsidRPr="00F700F5" w:rsidRDefault="00260ADF" w:rsidP="00017116">
            <w:pPr>
              <w:ind w:firstLine="0"/>
              <w:jc w:val="left"/>
              <w:rPr>
                <w:sz w:val="22"/>
                <w:szCs w:val="22"/>
              </w:rPr>
            </w:pPr>
            <w:r w:rsidRPr="00F700F5">
              <w:rPr>
                <w:sz w:val="22"/>
                <w:szCs w:val="22"/>
              </w:rPr>
              <w:t>30I/360</w:t>
            </w:r>
          </w:p>
        </w:tc>
        <w:tc>
          <w:tcPr>
            <w:tcW w:w="1898" w:type="dxa"/>
            <w:tcBorders>
              <w:top w:val="single" w:sz="4" w:space="0" w:color="auto"/>
            </w:tcBorders>
          </w:tcPr>
          <w:p w14:paraId="33B3EAB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184079DA" w14:textId="77777777" w:rsidR="00260ADF" w:rsidRPr="00F700F5" w:rsidRDefault="00260ADF" w:rsidP="00AE14C8">
            <w:pPr>
              <w:ind w:firstLine="20"/>
              <w:jc w:val="left"/>
              <w:rPr>
                <w:sz w:val="22"/>
                <w:szCs w:val="22"/>
              </w:rPr>
            </w:pPr>
            <w:r w:rsidRPr="00F700F5">
              <w:rPr>
                <w:sz w:val="22"/>
                <w:szCs w:val="22"/>
              </w:rPr>
              <w:t>ACT/365.FIXED</w:t>
            </w:r>
          </w:p>
        </w:tc>
        <w:tc>
          <w:tcPr>
            <w:tcW w:w="1786" w:type="dxa"/>
            <w:tcBorders>
              <w:top w:val="single" w:sz="4" w:space="0" w:color="auto"/>
            </w:tcBorders>
          </w:tcPr>
          <w:p w14:paraId="7C8F4DF9" w14:textId="77777777" w:rsidR="00260ADF" w:rsidRPr="00F700F5" w:rsidRDefault="00260ADF" w:rsidP="00FA037E">
            <w:pPr>
              <w:ind w:firstLine="0"/>
              <w:jc w:val="left"/>
              <w:rPr>
                <w:sz w:val="22"/>
                <w:szCs w:val="22"/>
              </w:rPr>
            </w:pPr>
            <w:r w:rsidRPr="00F700F5">
              <w:rPr>
                <w:sz w:val="22"/>
                <w:szCs w:val="22"/>
              </w:rPr>
              <w:t>30E/360</w:t>
            </w:r>
          </w:p>
        </w:tc>
      </w:tr>
      <w:tr w:rsidR="00260ADF" w:rsidRPr="00F700F5" w14:paraId="65DCC86F" w14:textId="77777777" w:rsidTr="00F700F5">
        <w:tc>
          <w:tcPr>
            <w:tcW w:w="0" w:type="auto"/>
          </w:tcPr>
          <w:p w14:paraId="7F8FCB3A"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4A746E8D" w14:textId="77777777" w:rsidR="00260ADF" w:rsidRPr="00F700F5" w:rsidRDefault="00260ADF" w:rsidP="00017116">
            <w:pPr>
              <w:ind w:firstLine="0"/>
              <w:jc w:val="left"/>
              <w:rPr>
                <w:sz w:val="22"/>
                <w:szCs w:val="22"/>
              </w:rPr>
            </w:pPr>
            <w:r w:rsidRPr="00F700F5">
              <w:rPr>
                <w:sz w:val="22"/>
                <w:szCs w:val="22"/>
              </w:rPr>
              <w:t>Semiannual</w:t>
            </w:r>
          </w:p>
        </w:tc>
        <w:tc>
          <w:tcPr>
            <w:tcW w:w="1898" w:type="dxa"/>
          </w:tcPr>
          <w:p w14:paraId="6FC1E213"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7C0ADE59"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4800E84E" w14:textId="77777777" w:rsidR="00260ADF" w:rsidRPr="00F700F5" w:rsidRDefault="00260ADF" w:rsidP="00FA037E">
            <w:pPr>
              <w:ind w:firstLine="0"/>
              <w:jc w:val="left"/>
              <w:rPr>
                <w:sz w:val="22"/>
                <w:szCs w:val="22"/>
              </w:rPr>
            </w:pPr>
            <w:r w:rsidRPr="00F700F5">
              <w:rPr>
                <w:sz w:val="22"/>
                <w:szCs w:val="22"/>
              </w:rPr>
              <w:t>Annual</w:t>
            </w:r>
          </w:p>
        </w:tc>
      </w:tr>
      <w:tr w:rsidR="00260ADF" w:rsidRPr="00F700F5" w14:paraId="15FFA191" w14:textId="77777777" w:rsidTr="00F700F5">
        <w:tc>
          <w:tcPr>
            <w:tcW w:w="0" w:type="auto"/>
          </w:tcPr>
          <w:p w14:paraId="62022AD5" w14:textId="77777777" w:rsidR="00260ADF" w:rsidRPr="00F700F5" w:rsidRDefault="00260ADF" w:rsidP="00017116">
            <w:pPr>
              <w:ind w:firstLine="0"/>
              <w:jc w:val="left"/>
              <w:rPr>
                <w:sz w:val="22"/>
                <w:szCs w:val="22"/>
              </w:rPr>
            </w:pPr>
            <w:r w:rsidRPr="00F700F5">
              <w:rPr>
                <w:sz w:val="22"/>
                <w:szCs w:val="22"/>
              </w:rPr>
              <w:t>Business Day Adjustment Convention</w:t>
            </w:r>
          </w:p>
        </w:tc>
        <w:tc>
          <w:tcPr>
            <w:tcW w:w="0" w:type="auto"/>
          </w:tcPr>
          <w:p w14:paraId="0832056C" w14:textId="77777777" w:rsidR="00260ADF" w:rsidRPr="00F700F5" w:rsidRDefault="00260ADF" w:rsidP="00017116">
            <w:pPr>
              <w:ind w:firstLine="0"/>
              <w:jc w:val="left"/>
              <w:rPr>
                <w:sz w:val="22"/>
                <w:szCs w:val="22"/>
              </w:rPr>
            </w:pPr>
            <w:r w:rsidRPr="00F700F5">
              <w:rPr>
                <w:sz w:val="22"/>
                <w:szCs w:val="22"/>
              </w:rPr>
              <w:t>Modified Following</w:t>
            </w:r>
          </w:p>
        </w:tc>
        <w:tc>
          <w:tcPr>
            <w:tcW w:w="1898" w:type="dxa"/>
          </w:tcPr>
          <w:p w14:paraId="0206C420"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589EA277"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58CB9AD4"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74548013" w14:textId="77777777" w:rsidTr="00F700F5">
        <w:tc>
          <w:tcPr>
            <w:tcW w:w="0" w:type="auto"/>
          </w:tcPr>
          <w:p w14:paraId="0AE5F665" w14:textId="77777777" w:rsidR="00260ADF" w:rsidRPr="00F700F5" w:rsidRDefault="00260ADF" w:rsidP="00017116">
            <w:pPr>
              <w:ind w:firstLine="0"/>
              <w:jc w:val="left"/>
              <w:rPr>
                <w:sz w:val="22"/>
                <w:szCs w:val="22"/>
              </w:rPr>
            </w:pPr>
            <w:r w:rsidRPr="00F700F5">
              <w:rPr>
                <w:sz w:val="22"/>
                <w:szCs w:val="22"/>
              </w:rPr>
              <w:t>Adjustment Type</w:t>
            </w:r>
          </w:p>
        </w:tc>
        <w:tc>
          <w:tcPr>
            <w:tcW w:w="0" w:type="auto"/>
          </w:tcPr>
          <w:p w14:paraId="332A3571"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75510517"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403D49C7"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A442BE4"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42152265" w14:textId="77777777" w:rsidTr="00F700F5">
        <w:tc>
          <w:tcPr>
            <w:tcW w:w="0" w:type="auto"/>
          </w:tcPr>
          <w:p w14:paraId="68C24638"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000CD32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070D1580"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1BFE87ED"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0EB1479E"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507CA936" w14:textId="77777777" w:rsidTr="00F700F5">
        <w:tc>
          <w:tcPr>
            <w:tcW w:w="0" w:type="auto"/>
          </w:tcPr>
          <w:p w14:paraId="3FD56268" w14:textId="77777777" w:rsidR="00260ADF" w:rsidRPr="00F700F5" w:rsidRDefault="00260ADF" w:rsidP="00017116">
            <w:pPr>
              <w:ind w:firstLine="0"/>
              <w:jc w:val="left"/>
              <w:rPr>
                <w:sz w:val="22"/>
                <w:szCs w:val="22"/>
              </w:rPr>
            </w:pPr>
            <w:r w:rsidRPr="00F700F5">
              <w:rPr>
                <w:sz w:val="22"/>
                <w:szCs w:val="22"/>
              </w:rPr>
              <w:t>Accrual Calculation Calendar</w:t>
            </w:r>
          </w:p>
        </w:tc>
        <w:tc>
          <w:tcPr>
            <w:tcW w:w="0" w:type="auto"/>
          </w:tcPr>
          <w:p w14:paraId="782D0C9D" w14:textId="0D06795E" w:rsidR="00260ADF" w:rsidRPr="00F700F5" w:rsidRDefault="00260ADF" w:rsidP="00017116">
            <w:pPr>
              <w:ind w:firstLine="0"/>
              <w:jc w:val="left"/>
              <w:rPr>
                <w:sz w:val="22"/>
                <w:szCs w:val="22"/>
              </w:rPr>
            </w:pPr>
            <w:r w:rsidRPr="00F700F5">
              <w:rPr>
                <w:sz w:val="22"/>
                <w:szCs w:val="22"/>
              </w:rPr>
              <w:t>US Federal Reserve</w:t>
            </w:r>
            <w:r w:rsidR="006A1596">
              <w:rPr>
                <w:sz w:val="22"/>
                <w:szCs w:val="22"/>
              </w:rPr>
              <w:t xml:space="preserve"> and Bank of </w:t>
            </w:r>
            <w:r w:rsidRPr="00F700F5">
              <w:rPr>
                <w:sz w:val="22"/>
                <w:szCs w:val="22"/>
              </w:rPr>
              <w:t>England</w:t>
            </w:r>
          </w:p>
        </w:tc>
        <w:tc>
          <w:tcPr>
            <w:tcW w:w="1898" w:type="dxa"/>
          </w:tcPr>
          <w:p w14:paraId="7349E542"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74ED0956" w14:textId="08223D76" w:rsidR="00260ADF" w:rsidRPr="00F700F5" w:rsidRDefault="006A1596" w:rsidP="00FA037E">
            <w:pPr>
              <w:ind w:firstLine="0"/>
              <w:jc w:val="left"/>
              <w:rPr>
                <w:sz w:val="22"/>
                <w:szCs w:val="22"/>
              </w:rPr>
            </w:pPr>
            <w:r>
              <w:rPr>
                <w:sz w:val="22"/>
                <w:szCs w:val="22"/>
              </w:rPr>
              <w:t xml:space="preserve">Bank of </w:t>
            </w:r>
            <w:r w:rsidR="00260ADF" w:rsidRPr="00F700F5">
              <w:rPr>
                <w:sz w:val="22"/>
                <w:szCs w:val="22"/>
              </w:rPr>
              <w:t>England</w:t>
            </w:r>
          </w:p>
        </w:tc>
        <w:tc>
          <w:tcPr>
            <w:tcW w:w="1786" w:type="dxa"/>
          </w:tcPr>
          <w:p w14:paraId="448C2BE4"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2CD07F60" w14:textId="77777777" w:rsidTr="00F700F5">
        <w:tc>
          <w:tcPr>
            <w:tcW w:w="0" w:type="auto"/>
            <w:tcBorders>
              <w:bottom w:val="single" w:sz="4" w:space="0" w:color="auto"/>
            </w:tcBorders>
          </w:tcPr>
          <w:p w14:paraId="59745F39" w14:textId="77777777" w:rsidR="00260ADF" w:rsidRPr="00F700F5" w:rsidRDefault="00260ADF" w:rsidP="00017116">
            <w:pPr>
              <w:ind w:firstLine="0"/>
              <w:jc w:val="left"/>
              <w:rPr>
                <w:sz w:val="22"/>
                <w:szCs w:val="22"/>
              </w:rPr>
            </w:pPr>
            <w:r w:rsidRPr="00F700F5">
              <w:rPr>
                <w:sz w:val="22"/>
                <w:szCs w:val="22"/>
              </w:rPr>
              <w:t>Pay Delay</w:t>
            </w:r>
          </w:p>
        </w:tc>
        <w:tc>
          <w:tcPr>
            <w:tcW w:w="0" w:type="auto"/>
            <w:tcBorders>
              <w:bottom w:val="single" w:sz="4" w:space="0" w:color="auto"/>
            </w:tcBorders>
          </w:tcPr>
          <w:p w14:paraId="6075E90B" w14:textId="77777777" w:rsidR="00260ADF" w:rsidRPr="00F700F5" w:rsidRDefault="00260ADF" w:rsidP="00017116">
            <w:pPr>
              <w:ind w:firstLine="0"/>
              <w:jc w:val="left"/>
              <w:rPr>
                <w:sz w:val="22"/>
                <w:szCs w:val="22"/>
              </w:rPr>
            </w:pPr>
            <w:r w:rsidRPr="00F700F5">
              <w:rPr>
                <w:sz w:val="22"/>
                <w:szCs w:val="22"/>
              </w:rPr>
              <w:t>0 days</w:t>
            </w:r>
          </w:p>
        </w:tc>
        <w:tc>
          <w:tcPr>
            <w:tcW w:w="1898" w:type="dxa"/>
            <w:tcBorders>
              <w:bottom w:val="single" w:sz="4" w:space="0" w:color="auto"/>
            </w:tcBorders>
          </w:tcPr>
          <w:p w14:paraId="267A34F2" w14:textId="77777777" w:rsidR="00260ADF" w:rsidRPr="00F700F5" w:rsidRDefault="00260ADF" w:rsidP="00AE14C8">
            <w:pPr>
              <w:ind w:firstLine="0"/>
              <w:jc w:val="left"/>
              <w:rPr>
                <w:sz w:val="22"/>
                <w:szCs w:val="22"/>
              </w:rPr>
            </w:pPr>
            <w:r w:rsidRPr="00F700F5">
              <w:rPr>
                <w:sz w:val="22"/>
                <w:szCs w:val="22"/>
              </w:rPr>
              <w:t>0 days</w:t>
            </w:r>
          </w:p>
        </w:tc>
        <w:tc>
          <w:tcPr>
            <w:tcW w:w="1980" w:type="dxa"/>
            <w:tcBorders>
              <w:bottom w:val="single" w:sz="4" w:space="0" w:color="auto"/>
            </w:tcBorders>
          </w:tcPr>
          <w:p w14:paraId="394DFB9C" w14:textId="77777777" w:rsidR="00260ADF" w:rsidRPr="00F700F5" w:rsidRDefault="00260ADF" w:rsidP="00FA037E">
            <w:pPr>
              <w:ind w:firstLine="0"/>
              <w:jc w:val="left"/>
              <w:rPr>
                <w:sz w:val="22"/>
                <w:szCs w:val="22"/>
              </w:rPr>
            </w:pPr>
            <w:r w:rsidRPr="00F700F5">
              <w:rPr>
                <w:sz w:val="22"/>
                <w:szCs w:val="22"/>
              </w:rPr>
              <w:t>0 days</w:t>
            </w:r>
          </w:p>
        </w:tc>
        <w:tc>
          <w:tcPr>
            <w:tcW w:w="1786" w:type="dxa"/>
            <w:tcBorders>
              <w:bottom w:val="single" w:sz="4" w:space="0" w:color="auto"/>
            </w:tcBorders>
          </w:tcPr>
          <w:p w14:paraId="7FBA6563"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5CD647E0" w14:textId="77777777" w:rsidTr="007D6CB3">
        <w:tc>
          <w:tcPr>
            <w:tcW w:w="0" w:type="auto"/>
            <w:gridSpan w:val="5"/>
            <w:tcBorders>
              <w:top w:val="single" w:sz="4" w:space="0" w:color="auto"/>
              <w:bottom w:val="single" w:sz="4" w:space="0" w:color="auto"/>
            </w:tcBorders>
          </w:tcPr>
          <w:p w14:paraId="55B35BD1" w14:textId="77777777" w:rsidR="00260ADF" w:rsidRPr="00F700F5" w:rsidRDefault="00260ADF" w:rsidP="00017116">
            <w:pPr>
              <w:ind w:firstLine="0"/>
              <w:jc w:val="left"/>
              <w:rPr>
                <w:sz w:val="22"/>
                <w:szCs w:val="22"/>
              </w:rPr>
            </w:pPr>
            <w:r w:rsidRPr="00F700F5">
              <w:rPr>
                <w:sz w:val="22"/>
                <w:szCs w:val="22"/>
              </w:rPr>
              <w:t>Floating Leg</w:t>
            </w:r>
          </w:p>
        </w:tc>
      </w:tr>
      <w:tr w:rsidR="00260ADF" w:rsidRPr="00F700F5" w14:paraId="15C7CA4F" w14:textId="77777777" w:rsidTr="00F700F5">
        <w:tc>
          <w:tcPr>
            <w:tcW w:w="0" w:type="auto"/>
            <w:tcBorders>
              <w:top w:val="single" w:sz="4" w:space="0" w:color="auto"/>
            </w:tcBorders>
          </w:tcPr>
          <w:p w14:paraId="23904C3F"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71C9C7A1" w14:textId="77777777" w:rsidR="00260ADF" w:rsidRPr="00F700F5" w:rsidRDefault="00260ADF" w:rsidP="00017116">
            <w:pPr>
              <w:ind w:firstLine="0"/>
              <w:jc w:val="left"/>
              <w:rPr>
                <w:sz w:val="22"/>
                <w:szCs w:val="22"/>
              </w:rPr>
            </w:pPr>
            <w:r w:rsidRPr="00F700F5">
              <w:rPr>
                <w:sz w:val="22"/>
                <w:szCs w:val="22"/>
              </w:rPr>
              <w:t>Actual/360</w:t>
            </w:r>
          </w:p>
        </w:tc>
        <w:tc>
          <w:tcPr>
            <w:tcW w:w="1898" w:type="dxa"/>
            <w:tcBorders>
              <w:top w:val="single" w:sz="4" w:space="0" w:color="auto"/>
            </w:tcBorders>
          </w:tcPr>
          <w:p w14:paraId="64FC54E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3F525E5D" w14:textId="77777777" w:rsidR="00260ADF" w:rsidRPr="00F700F5" w:rsidRDefault="00260ADF" w:rsidP="00FA037E">
            <w:pPr>
              <w:ind w:firstLine="0"/>
              <w:jc w:val="left"/>
              <w:rPr>
                <w:sz w:val="22"/>
                <w:szCs w:val="22"/>
              </w:rPr>
            </w:pPr>
            <w:r w:rsidRPr="00F700F5">
              <w:rPr>
                <w:sz w:val="22"/>
                <w:szCs w:val="22"/>
              </w:rPr>
              <w:t>ACT/365.FIXED</w:t>
            </w:r>
          </w:p>
        </w:tc>
        <w:tc>
          <w:tcPr>
            <w:tcW w:w="1786" w:type="dxa"/>
            <w:tcBorders>
              <w:top w:val="single" w:sz="4" w:space="0" w:color="auto"/>
            </w:tcBorders>
          </w:tcPr>
          <w:p w14:paraId="55FAE8F4" w14:textId="77777777" w:rsidR="00260ADF" w:rsidRPr="00F700F5" w:rsidRDefault="00260ADF" w:rsidP="00FA037E">
            <w:pPr>
              <w:ind w:firstLine="0"/>
              <w:jc w:val="left"/>
              <w:rPr>
                <w:sz w:val="22"/>
                <w:szCs w:val="22"/>
              </w:rPr>
            </w:pPr>
            <w:r w:rsidRPr="00F700F5">
              <w:rPr>
                <w:sz w:val="22"/>
                <w:szCs w:val="22"/>
              </w:rPr>
              <w:t>Actual/360</w:t>
            </w:r>
          </w:p>
        </w:tc>
      </w:tr>
      <w:tr w:rsidR="00260ADF" w:rsidRPr="00F700F5" w14:paraId="2F051760" w14:textId="77777777" w:rsidTr="00F700F5">
        <w:tc>
          <w:tcPr>
            <w:tcW w:w="0" w:type="auto"/>
          </w:tcPr>
          <w:p w14:paraId="2CA9013B"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6AA107AD"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3EB0707C"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11D80976"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27EFA120"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06744F4A" w14:textId="77777777" w:rsidTr="00F700F5">
        <w:tc>
          <w:tcPr>
            <w:tcW w:w="0" w:type="auto"/>
          </w:tcPr>
          <w:p w14:paraId="715E940A" w14:textId="77777777" w:rsidR="00260ADF" w:rsidRPr="00F700F5" w:rsidRDefault="00260ADF" w:rsidP="00017116">
            <w:pPr>
              <w:ind w:firstLine="0"/>
              <w:jc w:val="left"/>
              <w:rPr>
                <w:sz w:val="22"/>
                <w:szCs w:val="22"/>
              </w:rPr>
            </w:pPr>
            <w:r w:rsidRPr="00F700F5">
              <w:rPr>
                <w:sz w:val="22"/>
                <w:szCs w:val="22"/>
              </w:rPr>
              <w:t>Reference Index</w:t>
            </w:r>
          </w:p>
        </w:tc>
        <w:tc>
          <w:tcPr>
            <w:tcW w:w="0" w:type="auto"/>
          </w:tcPr>
          <w:p w14:paraId="54623F7D" w14:textId="77777777" w:rsidR="00260ADF" w:rsidRPr="00F700F5" w:rsidRDefault="00260ADF" w:rsidP="00017116">
            <w:pPr>
              <w:ind w:firstLine="0"/>
              <w:jc w:val="left"/>
              <w:rPr>
                <w:sz w:val="22"/>
                <w:szCs w:val="22"/>
              </w:rPr>
            </w:pPr>
            <w:r w:rsidRPr="00F700F5">
              <w:rPr>
                <w:sz w:val="22"/>
                <w:szCs w:val="22"/>
              </w:rPr>
              <w:t>USD LIBOR 3M</w:t>
            </w:r>
          </w:p>
        </w:tc>
        <w:tc>
          <w:tcPr>
            <w:tcW w:w="1898" w:type="dxa"/>
          </w:tcPr>
          <w:p w14:paraId="582A81FD" w14:textId="77777777" w:rsidR="00260ADF" w:rsidRPr="00F700F5" w:rsidRDefault="00260ADF" w:rsidP="00AE14C8">
            <w:pPr>
              <w:ind w:firstLine="0"/>
              <w:jc w:val="left"/>
              <w:rPr>
                <w:sz w:val="22"/>
                <w:szCs w:val="22"/>
              </w:rPr>
            </w:pPr>
            <w:r w:rsidRPr="00F700F5">
              <w:rPr>
                <w:sz w:val="22"/>
                <w:szCs w:val="22"/>
              </w:rPr>
              <w:t>CDOR 3M</w:t>
            </w:r>
          </w:p>
        </w:tc>
        <w:tc>
          <w:tcPr>
            <w:tcW w:w="1980" w:type="dxa"/>
          </w:tcPr>
          <w:p w14:paraId="71C9B01B" w14:textId="77777777" w:rsidR="00260ADF" w:rsidRPr="00F700F5" w:rsidRDefault="00260ADF" w:rsidP="00FA037E">
            <w:pPr>
              <w:ind w:firstLine="0"/>
              <w:jc w:val="left"/>
              <w:rPr>
                <w:sz w:val="22"/>
                <w:szCs w:val="22"/>
              </w:rPr>
            </w:pPr>
            <w:r w:rsidRPr="00F700F5">
              <w:rPr>
                <w:sz w:val="22"/>
                <w:szCs w:val="22"/>
              </w:rPr>
              <w:t>GBP LIBOR 6M</w:t>
            </w:r>
          </w:p>
        </w:tc>
        <w:tc>
          <w:tcPr>
            <w:tcW w:w="1786" w:type="dxa"/>
          </w:tcPr>
          <w:p w14:paraId="6175FCE9" w14:textId="77777777" w:rsidR="00260ADF" w:rsidRPr="00F700F5" w:rsidRDefault="00260ADF" w:rsidP="00FA037E">
            <w:pPr>
              <w:ind w:firstLine="0"/>
              <w:jc w:val="left"/>
              <w:rPr>
                <w:sz w:val="22"/>
                <w:szCs w:val="22"/>
              </w:rPr>
            </w:pPr>
            <w:r w:rsidRPr="00F700F5">
              <w:rPr>
                <w:sz w:val="22"/>
                <w:szCs w:val="22"/>
              </w:rPr>
              <w:t>CHF LIBOR 6M</w:t>
            </w:r>
          </w:p>
        </w:tc>
      </w:tr>
      <w:tr w:rsidR="00260ADF" w:rsidRPr="00F700F5" w14:paraId="3DB3A1E2" w14:textId="77777777" w:rsidTr="00F700F5">
        <w:tc>
          <w:tcPr>
            <w:tcW w:w="0" w:type="auto"/>
          </w:tcPr>
          <w:p w14:paraId="371278CA" w14:textId="77777777" w:rsidR="00260ADF" w:rsidRPr="00F700F5" w:rsidRDefault="00260ADF" w:rsidP="00017116">
            <w:pPr>
              <w:ind w:firstLine="0"/>
              <w:jc w:val="left"/>
              <w:rPr>
                <w:sz w:val="22"/>
                <w:szCs w:val="22"/>
              </w:rPr>
            </w:pPr>
            <w:r w:rsidRPr="00F700F5">
              <w:rPr>
                <w:sz w:val="22"/>
                <w:szCs w:val="22"/>
              </w:rPr>
              <w:t>Reset Frequency</w:t>
            </w:r>
          </w:p>
        </w:tc>
        <w:tc>
          <w:tcPr>
            <w:tcW w:w="0" w:type="auto"/>
          </w:tcPr>
          <w:p w14:paraId="5AB0ABFB"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46C2AAC7" w14:textId="77777777" w:rsidR="00260ADF" w:rsidRPr="00F700F5" w:rsidRDefault="00260ADF" w:rsidP="00AE14C8">
            <w:pPr>
              <w:ind w:firstLine="0"/>
              <w:jc w:val="left"/>
              <w:rPr>
                <w:sz w:val="22"/>
                <w:szCs w:val="22"/>
              </w:rPr>
            </w:pPr>
            <w:r w:rsidRPr="00F700F5">
              <w:rPr>
                <w:sz w:val="22"/>
                <w:szCs w:val="22"/>
              </w:rPr>
              <w:t>Quarterly</w:t>
            </w:r>
          </w:p>
        </w:tc>
        <w:tc>
          <w:tcPr>
            <w:tcW w:w="1980" w:type="dxa"/>
          </w:tcPr>
          <w:p w14:paraId="351E7207"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6C09594C"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2631A834" w14:textId="77777777" w:rsidTr="00F700F5">
        <w:tc>
          <w:tcPr>
            <w:tcW w:w="0" w:type="auto"/>
          </w:tcPr>
          <w:p w14:paraId="2F563CE2" w14:textId="77777777" w:rsidR="00260ADF" w:rsidRPr="00F700F5" w:rsidRDefault="00260ADF" w:rsidP="00017116">
            <w:pPr>
              <w:ind w:firstLine="0"/>
              <w:jc w:val="left"/>
              <w:rPr>
                <w:sz w:val="22"/>
                <w:szCs w:val="22"/>
              </w:rPr>
            </w:pPr>
            <w:r w:rsidRPr="00F700F5">
              <w:rPr>
                <w:sz w:val="22"/>
                <w:szCs w:val="22"/>
              </w:rPr>
              <w:t>Business Day Adjustment</w:t>
            </w:r>
          </w:p>
        </w:tc>
        <w:tc>
          <w:tcPr>
            <w:tcW w:w="0" w:type="auto"/>
          </w:tcPr>
          <w:p w14:paraId="1A6A8584" w14:textId="77777777" w:rsidR="00260ADF" w:rsidRPr="00F700F5" w:rsidRDefault="00260ADF" w:rsidP="00017116">
            <w:pPr>
              <w:ind w:firstLine="0"/>
              <w:jc w:val="left"/>
              <w:rPr>
                <w:sz w:val="22"/>
                <w:szCs w:val="22"/>
              </w:rPr>
            </w:pPr>
            <w:r w:rsidRPr="00F700F5">
              <w:rPr>
                <w:sz w:val="22"/>
                <w:szCs w:val="22"/>
              </w:rPr>
              <w:t>Modified Following Business Day</w:t>
            </w:r>
          </w:p>
        </w:tc>
        <w:tc>
          <w:tcPr>
            <w:tcW w:w="1898" w:type="dxa"/>
          </w:tcPr>
          <w:p w14:paraId="0390E383"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6874C1CC"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623BAB90"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1125E2B5" w14:textId="77777777" w:rsidTr="00F700F5">
        <w:tc>
          <w:tcPr>
            <w:tcW w:w="0" w:type="auto"/>
          </w:tcPr>
          <w:p w14:paraId="5A0E9427" w14:textId="77777777" w:rsidR="00260ADF" w:rsidRPr="00F700F5" w:rsidRDefault="00260ADF" w:rsidP="00017116">
            <w:pPr>
              <w:ind w:firstLine="0"/>
              <w:jc w:val="left"/>
              <w:rPr>
                <w:sz w:val="22"/>
                <w:szCs w:val="22"/>
              </w:rPr>
            </w:pPr>
            <w:r w:rsidRPr="00F700F5">
              <w:rPr>
                <w:sz w:val="22"/>
                <w:szCs w:val="22"/>
              </w:rPr>
              <w:lastRenderedPageBreak/>
              <w:t>Adjustment Type</w:t>
            </w:r>
          </w:p>
        </w:tc>
        <w:tc>
          <w:tcPr>
            <w:tcW w:w="0" w:type="auto"/>
          </w:tcPr>
          <w:p w14:paraId="7C567E05"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1D2D8E90"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77C2F0D1"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C9D7F36"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59B36B35" w14:textId="77777777" w:rsidTr="00F700F5">
        <w:tc>
          <w:tcPr>
            <w:tcW w:w="0" w:type="auto"/>
          </w:tcPr>
          <w:p w14:paraId="7576F40C"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6F7D565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36660353"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029A5827"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76349134"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6516644C" w14:textId="77777777" w:rsidTr="00F700F5">
        <w:tc>
          <w:tcPr>
            <w:tcW w:w="0" w:type="auto"/>
          </w:tcPr>
          <w:p w14:paraId="5324AFA3" w14:textId="77777777" w:rsidR="00260ADF" w:rsidRPr="00F700F5" w:rsidRDefault="00260ADF" w:rsidP="00017116">
            <w:pPr>
              <w:ind w:firstLine="0"/>
              <w:jc w:val="left"/>
              <w:rPr>
                <w:sz w:val="22"/>
                <w:szCs w:val="22"/>
              </w:rPr>
            </w:pPr>
            <w:r w:rsidRPr="00F700F5">
              <w:rPr>
                <w:sz w:val="22"/>
                <w:szCs w:val="22"/>
              </w:rPr>
              <w:t>Calculation Calendar</w:t>
            </w:r>
          </w:p>
        </w:tc>
        <w:tc>
          <w:tcPr>
            <w:tcW w:w="0" w:type="auto"/>
          </w:tcPr>
          <w:p w14:paraId="4172E2D2" w14:textId="77777777" w:rsidR="00260ADF" w:rsidRPr="00F700F5" w:rsidRDefault="00260ADF" w:rsidP="00017116">
            <w:pPr>
              <w:ind w:firstLine="0"/>
              <w:jc w:val="left"/>
              <w:rPr>
                <w:sz w:val="22"/>
                <w:szCs w:val="22"/>
              </w:rPr>
            </w:pPr>
            <w:r w:rsidRPr="00F700F5">
              <w:rPr>
                <w:sz w:val="22"/>
                <w:szCs w:val="22"/>
              </w:rPr>
              <w:t>US Federal Reserve, England</w:t>
            </w:r>
          </w:p>
        </w:tc>
        <w:tc>
          <w:tcPr>
            <w:tcW w:w="1898" w:type="dxa"/>
          </w:tcPr>
          <w:p w14:paraId="6F746DA0"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609E7D12"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B311599"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1E81B24D" w14:textId="77777777" w:rsidTr="00F700F5">
        <w:tc>
          <w:tcPr>
            <w:tcW w:w="0" w:type="auto"/>
          </w:tcPr>
          <w:p w14:paraId="2712B005" w14:textId="77777777" w:rsidR="00260ADF" w:rsidRPr="00F700F5" w:rsidRDefault="00260ADF" w:rsidP="00017116">
            <w:pPr>
              <w:ind w:firstLine="0"/>
              <w:jc w:val="left"/>
              <w:rPr>
                <w:sz w:val="22"/>
                <w:szCs w:val="22"/>
              </w:rPr>
            </w:pPr>
            <w:r w:rsidRPr="00F700F5">
              <w:rPr>
                <w:sz w:val="22"/>
                <w:szCs w:val="22"/>
              </w:rPr>
              <w:t>Fixing Calendar</w:t>
            </w:r>
          </w:p>
        </w:tc>
        <w:tc>
          <w:tcPr>
            <w:tcW w:w="0" w:type="auto"/>
          </w:tcPr>
          <w:p w14:paraId="12F785B0" w14:textId="77777777" w:rsidR="00260ADF" w:rsidRPr="00F700F5" w:rsidRDefault="00260ADF" w:rsidP="00017116">
            <w:pPr>
              <w:ind w:firstLine="0"/>
              <w:jc w:val="left"/>
              <w:rPr>
                <w:sz w:val="22"/>
                <w:szCs w:val="22"/>
              </w:rPr>
            </w:pPr>
            <w:r w:rsidRPr="00F700F5">
              <w:rPr>
                <w:sz w:val="22"/>
                <w:szCs w:val="22"/>
              </w:rPr>
              <w:t>England</w:t>
            </w:r>
          </w:p>
        </w:tc>
        <w:tc>
          <w:tcPr>
            <w:tcW w:w="1898" w:type="dxa"/>
          </w:tcPr>
          <w:p w14:paraId="3CD06A8F"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2294BD94"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F399123" w14:textId="77777777" w:rsidR="00260ADF" w:rsidRPr="00F700F5" w:rsidRDefault="00260ADF" w:rsidP="00FA037E">
            <w:pPr>
              <w:ind w:firstLine="0"/>
              <w:jc w:val="left"/>
              <w:rPr>
                <w:sz w:val="22"/>
                <w:szCs w:val="22"/>
              </w:rPr>
            </w:pPr>
            <w:r w:rsidRPr="00F700F5">
              <w:rPr>
                <w:sz w:val="22"/>
                <w:szCs w:val="22"/>
              </w:rPr>
              <w:t>England</w:t>
            </w:r>
          </w:p>
        </w:tc>
      </w:tr>
      <w:tr w:rsidR="00260ADF" w:rsidRPr="00F700F5" w14:paraId="51F3CB6B" w14:textId="77777777" w:rsidTr="00F700F5">
        <w:tc>
          <w:tcPr>
            <w:tcW w:w="0" w:type="auto"/>
          </w:tcPr>
          <w:p w14:paraId="70A1EB7E" w14:textId="77777777" w:rsidR="00260ADF" w:rsidRPr="00F700F5" w:rsidRDefault="00260ADF" w:rsidP="00017116">
            <w:pPr>
              <w:ind w:firstLine="0"/>
              <w:jc w:val="left"/>
              <w:rPr>
                <w:sz w:val="22"/>
                <w:szCs w:val="22"/>
              </w:rPr>
            </w:pPr>
            <w:r w:rsidRPr="00F700F5">
              <w:rPr>
                <w:sz w:val="22"/>
                <w:szCs w:val="22"/>
              </w:rPr>
              <w:t>Fixing Lag</w:t>
            </w:r>
          </w:p>
        </w:tc>
        <w:tc>
          <w:tcPr>
            <w:tcW w:w="0" w:type="auto"/>
          </w:tcPr>
          <w:p w14:paraId="0ED43178" w14:textId="77777777" w:rsidR="00260ADF" w:rsidRPr="00F700F5" w:rsidRDefault="00260ADF" w:rsidP="00017116">
            <w:pPr>
              <w:ind w:firstLine="0"/>
              <w:jc w:val="left"/>
              <w:rPr>
                <w:sz w:val="22"/>
                <w:szCs w:val="22"/>
              </w:rPr>
            </w:pPr>
            <w:r w:rsidRPr="00F700F5">
              <w:rPr>
                <w:sz w:val="22"/>
                <w:szCs w:val="22"/>
              </w:rPr>
              <w:t>2 business days</w:t>
            </w:r>
          </w:p>
        </w:tc>
        <w:tc>
          <w:tcPr>
            <w:tcW w:w="1898" w:type="dxa"/>
          </w:tcPr>
          <w:p w14:paraId="7D7A8342"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600A83CB"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0E6EF683" w14:textId="77777777" w:rsidR="00260ADF" w:rsidRPr="00F700F5" w:rsidRDefault="00260ADF" w:rsidP="00FA037E">
            <w:pPr>
              <w:ind w:firstLine="0"/>
              <w:jc w:val="left"/>
              <w:rPr>
                <w:sz w:val="22"/>
                <w:szCs w:val="22"/>
              </w:rPr>
            </w:pPr>
            <w:r w:rsidRPr="00F700F5">
              <w:rPr>
                <w:sz w:val="22"/>
                <w:szCs w:val="22"/>
              </w:rPr>
              <w:t>2 business days</w:t>
            </w:r>
          </w:p>
        </w:tc>
      </w:tr>
      <w:tr w:rsidR="00260ADF" w:rsidRPr="00F700F5" w14:paraId="034A471C" w14:textId="77777777" w:rsidTr="00F700F5">
        <w:tc>
          <w:tcPr>
            <w:tcW w:w="0" w:type="auto"/>
          </w:tcPr>
          <w:p w14:paraId="10CF9AD2" w14:textId="77777777" w:rsidR="00260ADF" w:rsidRPr="00F700F5" w:rsidRDefault="00260ADF" w:rsidP="00017116">
            <w:pPr>
              <w:ind w:firstLine="0"/>
              <w:jc w:val="left"/>
              <w:rPr>
                <w:sz w:val="22"/>
                <w:szCs w:val="22"/>
              </w:rPr>
            </w:pPr>
            <w:r w:rsidRPr="00F700F5">
              <w:rPr>
                <w:sz w:val="22"/>
                <w:szCs w:val="22"/>
              </w:rPr>
              <w:t>Pay Delay</w:t>
            </w:r>
          </w:p>
        </w:tc>
        <w:tc>
          <w:tcPr>
            <w:tcW w:w="0" w:type="auto"/>
          </w:tcPr>
          <w:p w14:paraId="077320B1" w14:textId="77777777" w:rsidR="00260ADF" w:rsidRPr="00F700F5" w:rsidRDefault="00260ADF" w:rsidP="00017116">
            <w:pPr>
              <w:ind w:firstLine="0"/>
              <w:jc w:val="left"/>
              <w:rPr>
                <w:sz w:val="22"/>
                <w:szCs w:val="22"/>
              </w:rPr>
            </w:pPr>
            <w:r w:rsidRPr="00F700F5">
              <w:rPr>
                <w:sz w:val="22"/>
                <w:szCs w:val="22"/>
              </w:rPr>
              <w:t>0 days</w:t>
            </w:r>
          </w:p>
        </w:tc>
        <w:tc>
          <w:tcPr>
            <w:tcW w:w="1898" w:type="dxa"/>
          </w:tcPr>
          <w:p w14:paraId="66B9D4D4"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0226C181"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23DA2857"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387485FF" w14:textId="77777777" w:rsidTr="00F700F5">
        <w:tc>
          <w:tcPr>
            <w:tcW w:w="0" w:type="auto"/>
          </w:tcPr>
          <w:p w14:paraId="5396BBD0" w14:textId="77777777" w:rsidR="00260ADF" w:rsidRPr="00F700F5" w:rsidRDefault="00260ADF" w:rsidP="00017116">
            <w:pPr>
              <w:ind w:firstLine="0"/>
              <w:jc w:val="left"/>
              <w:rPr>
                <w:sz w:val="22"/>
                <w:szCs w:val="22"/>
              </w:rPr>
            </w:pPr>
            <w:r w:rsidRPr="00F700F5">
              <w:rPr>
                <w:sz w:val="22"/>
                <w:szCs w:val="22"/>
              </w:rPr>
              <w:t>Reset Position</w:t>
            </w:r>
          </w:p>
        </w:tc>
        <w:tc>
          <w:tcPr>
            <w:tcW w:w="0" w:type="auto"/>
          </w:tcPr>
          <w:p w14:paraId="58AFEEB5" w14:textId="77777777" w:rsidR="00260ADF" w:rsidRPr="00F700F5" w:rsidRDefault="00260ADF" w:rsidP="00017116">
            <w:pPr>
              <w:ind w:firstLine="0"/>
              <w:jc w:val="left"/>
              <w:rPr>
                <w:sz w:val="22"/>
                <w:szCs w:val="22"/>
              </w:rPr>
            </w:pPr>
            <w:r w:rsidRPr="00F700F5">
              <w:rPr>
                <w:sz w:val="22"/>
                <w:szCs w:val="22"/>
              </w:rPr>
              <w:t>Advance</w:t>
            </w:r>
          </w:p>
        </w:tc>
        <w:tc>
          <w:tcPr>
            <w:tcW w:w="1898" w:type="dxa"/>
          </w:tcPr>
          <w:p w14:paraId="706585EB" w14:textId="77777777" w:rsidR="00260ADF" w:rsidRPr="00F700F5" w:rsidRDefault="00260ADF" w:rsidP="00AE14C8">
            <w:pPr>
              <w:ind w:firstLine="0"/>
              <w:jc w:val="left"/>
              <w:rPr>
                <w:sz w:val="22"/>
                <w:szCs w:val="22"/>
              </w:rPr>
            </w:pPr>
            <w:r w:rsidRPr="00F700F5">
              <w:rPr>
                <w:sz w:val="22"/>
                <w:szCs w:val="22"/>
              </w:rPr>
              <w:t>Advance</w:t>
            </w:r>
          </w:p>
        </w:tc>
        <w:tc>
          <w:tcPr>
            <w:tcW w:w="1980" w:type="dxa"/>
          </w:tcPr>
          <w:p w14:paraId="01CF855B" w14:textId="77777777" w:rsidR="00260ADF" w:rsidRPr="00F700F5" w:rsidRDefault="00260ADF" w:rsidP="00FA037E">
            <w:pPr>
              <w:ind w:firstLine="0"/>
              <w:jc w:val="left"/>
              <w:rPr>
                <w:sz w:val="22"/>
                <w:szCs w:val="22"/>
              </w:rPr>
            </w:pPr>
            <w:r w:rsidRPr="00F700F5">
              <w:rPr>
                <w:sz w:val="22"/>
                <w:szCs w:val="22"/>
              </w:rPr>
              <w:t>Advance</w:t>
            </w:r>
          </w:p>
        </w:tc>
        <w:tc>
          <w:tcPr>
            <w:tcW w:w="1786" w:type="dxa"/>
          </w:tcPr>
          <w:p w14:paraId="113BA6A3" w14:textId="77777777" w:rsidR="00260ADF" w:rsidRPr="00F700F5" w:rsidRDefault="00260ADF" w:rsidP="00FA037E">
            <w:pPr>
              <w:ind w:firstLine="0"/>
              <w:jc w:val="left"/>
              <w:rPr>
                <w:sz w:val="22"/>
                <w:szCs w:val="22"/>
              </w:rPr>
            </w:pPr>
            <w:r w:rsidRPr="00F700F5">
              <w:rPr>
                <w:sz w:val="22"/>
                <w:szCs w:val="22"/>
              </w:rPr>
              <w:t>Advance</w:t>
            </w:r>
          </w:p>
        </w:tc>
      </w:tr>
    </w:tbl>
    <w:p w14:paraId="69455CC1" w14:textId="63707EF0" w:rsidR="00FC3085" w:rsidRDefault="00FC3085" w:rsidP="00017116">
      <w:pPr>
        <w:jc w:val="left"/>
      </w:pPr>
    </w:p>
    <w:p w14:paraId="3AE7A34C" w14:textId="0AA50B8B" w:rsidR="00260ADF" w:rsidRDefault="00FC3085" w:rsidP="00FC3085">
      <w:pPr>
        <w:spacing w:line="240" w:lineRule="auto"/>
        <w:ind w:firstLine="0"/>
        <w:jc w:val="left"/>
      </w:pPr>
      <w:r>
        <w:br w:type="page"/>
      </w:r>
    </w:p>
    <w:p w14:paraId="2E60BB47" w14:textId="0F49A9F6" w:rsidR="00C77059" w:rsidRPr="001C0566" w:rsidRDefault="00C77059" w:rsidP="001C0566">
      <w:pPr>
        <w:ind w:firstLine="0"/>
      </w:pPr>
      <w:r>
        <w:lastRenderedPageBreak/>
        <w:t>Definitions</w:t>
      </w:r>
    </w:p>
    <w:p w14:paraId="2EF7188D" w14:textId="1D24F892" w:rsidR="00260ADF" w:rsidRPr="002061F0" w:rsidRDefault="00260ADF" w:rsidP="001C0566">
      <w:pPr>
        <w:ind w:firstLine="0"/>
        <w:rPr>
          <w:b/>
          <w:bCs/>
        </w:rPr>
      </w:pPr>
      <w:r w:rsidRPr="002061F0">
        <w:rPr>
          <w:b/>
          <w:bCs/>
        </w:rPr>
        <w:t>Settlement</w:t>
      </w:r>
    </w:p>
    <w:p w14:paraId="5875B635" w14:textId="04A52718" w:rsidR="00260ADF" w:rsidRPr="002061F0" w:rsidRDefault="00260ADF" w:rsidP="001C0566">
      <w:pPr>
        <w:ind w:firstLine="0"/>
      </w:pPr>
      <w:r w:rsidRPr="002061F0">
        <w:t xml:space="preserve">Settlement refers to the number of business days after the trade date when the swap contract is </w:t>
      </w:r>
      <w:r w:rsidR="00FC3085" w:rsidRPr="002061F0">
        <w:t>finalized,</w:t>
      </w:r>
      <w:r w:rsidRPr="002061F0">
        <w:t xml:space="preserve"> and payments are made</w:t>
      </w:r>
      <w:r w:rsidR="00737413">
        <w:t xml:space="preserve"> </w:t>
      </w:r>
      <w:r w:rsidR="00E21CB1">
        <w:fldChar w:fldCharType="begin"/>
      </w:r>
      <w:r w:rsidR="00E21CB1">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21CB1">
        <w:fldChar w:fldCharType="separate"/>
      </w:r>
      <w:r w:rsidR="00E21CB1">
        <w:rPr>
          <w:noProof/>
        </w:rPr>
        <w:t>(Hull 2022)</w:t>
      </w:r>
      <w:r w:rsidR="00E21CB1">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1C0566">
      <w:pPr>
        <w:ind w:firstLine="0"/>
        <w:rPr>
          <w:b/>
          <w:bCs/>
        </w:rPr>
      </w:pPr>
      <w:r w:rsidRPr="002061F0">
        <w:rPr>
          <w:b/>
          <w:bCs/>
        </w:rPr>
        <w:t>Fixed Leg</w:t>
      </w:r>
    </w:p>
    <w:p w14:paraId="2FEE53D8" w14:textId="2342AE7A"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w:t>
      </w:r>
      <w:r w:rsidR="00E159B0">
        <w:t xml:space="preserve"> </w:t>
      </w:r>
      <w:r w:rsidR="00E159B0">
        <w:fldChar w:fldCharType="begin"/>
      </w:r>
      <w:r w:rsidR="00E159B0">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159B0">
        <w:fldChar w:fldCharType="separate"/>
      </w:r>
      <w:r w:rsidR="00E159B0">
        <w:rPr>
          <w:noProof/>
        </w:rPr>
        <w:t>(Hull 2022)</w:t>
      </w:r>
      <w:r w:rsidR="00E159B0">
        <w:fldChar w:fldCharType="end"/>
      </w:r>
      <w:r w:rsidRPr="002061F0">
        <w:t>. The characteristics below describe various conventions associated with this leg.</w:t>
      </w:r>
    </w:p>
    <w:p w14:paraId="6513636D" w14:textId="09D9D0F5" w:rsidR="00260ADF" w:rsidRPr="002061F0" w:rsidRDefault="00260ADF" w:rsidP="00714654">
      <w:pPr>
        <w:pStyle w:val="ListParagraph"/>
        <w:numPr>
          <w:ilvl w:val="0"/>
          <w:numId w:val="8"/>
        </w:numPr>
      </w:pPr>
      <w:r w:rsidRPr="002061F0">
        <w:t>Day Count Convention</w:t>
      </w:r>
      <w:r w:rsidR="00AE6F12">
        <w:t xml:space="preserve"> </w:t>
      </w:r>
      <w:r w:rsidR="00AE6F12">
        <w:fldChar w:fldCharType="begin"/>
      </w:r>
      <w:r w:rsidR="00586980">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E6F12">
        <w:fldChar w:fldCharType="separate"/>
      </w:r>
      <w:r w:rsidR="00586980">
        <w:rPr>
          <w:noProof/>
        </w:rPr>
        <w:t>(Ametrano and Ballabio 2003b)</w:t>
      </w:r>
      <w:r w:rsidR="00AE6F12">
        <w:fldChar w:fldCharType="end"/>
      </w:r>
      <w:r w:rsidRPr="002061F0">
        <w:t>: This convention determines how interest accrues over time, using fractions of a year based on the number of days between two dates</w:t>
      </w:r>
      <w:r w:rsidR="004F790A">
        <w:t xml:space="preserve"> </w:t>
      </w:r>
      <w:r w:rsidRPr="002061F0">
        <w:t>. Common conventions include:</w:t>
      </w:r>
    </w:p>
    <w:p w14:paraId="33DA4442" w14:textId="0746EFE4"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r w:rsidR="00C222E2">
        <w:t xml:space="preserve"> If </w:t>
      </w:r>
      <w:r w:rsidR="00D94022">
        <w:t xml:space="preserve">the start date of the day count is on 31st, it is </w:t>
      </w:r>
      <w:r w:rsidR="00812B31">
        <w:t>treated as if it is the</w:t>
      </w:r>
      <w:r w:rsidR="00D94022">
        <w:t xml:space="preserve"> 30</w:t>
      </w:r>
      <w:r w:rsidR="00D94022" w:rsidRPr="00D94022">
        <w:rPr>
          <w:vertAlign w:val="superscript"/>
        </w:rPr>
        <w:t>th</w:t>
      </w:r>
      <w:r w:rsidR="00D94022">
        <w:t xml:space="preserve">. If the </w:t>
      </w:r>
      <w:r w:rsidR="00F17AA3">
        <w:t>end date is on the 31</w:t>
      </w:r>
      <w:r w:rsidR="00F17AA3" w:rsidRPr="00F17AA3">
        <w:rPr>
          <w:vertAlign w:val="superscript"/>
        </w:rPr>
        <w:t>st</w:t>
      </w:r>
      <w:r w:rsidR="00F17AA3">
        <w:t>, then</w:t>
      </w:r>
      <w:r w:rsidR="00812B31">
        <w:t xml:space="preserve"> it can either be </w:t>
      </w:r>
      <w:r w:rsidR="009509CC">
        <w:t xml:space="preserve">treated as the </w:t>
      </w:r>
      <w:r w:rsidR="00812B31">
        <w:t>30</w:t>
      </w:r>
      <w:r w:rsidR="00812B31" w:rsidRPr="00812B31">
        <w:rPr>
          <w:vertAlign w:val="superscript"/>
        </w:rPr>
        <w:t>th</w:t>
      </w:r>
      <w:r w:rsidR="00812B31">
        <w:t xml:space="preserve"> or the 31</w:t>
      </w:r>
      <w:r w:rsidR="00812B31" w:rsidRPr="00812B31">
        <w:rPr>
          <w:vertAlign w:val="superscript"/>
        </w:rPr>
        <w:t>st</w:t>
      </w:r>
      <w:r w:rsidR="00812B31">
        <w:t xml:space="preserve"> </w:t>
      </w:r>
      <w:r w:rsidR="009509CC">
        <w:t>depending on the start date.</w:t>
      </w:r>
      <w:r w:rsidR="00B560FC">
        <w:t xml:space="preserve"> It also includes special rules for when either the start or end date of the day count convention is Feb 28/29.</w:t>
      </w:r>
    </w:p>
    <w:p w14:paraId="57839BAD" w14:textId="5C04CB73" w:rsidR="00027A9B" w:rsidRDefault="00027A9B" w:rsidP="00027A9B">
      <w:pPr>
        <w:pStyle w:val="ListParagraph"/>
        <w:numPr>
          <w:ilvl w:val="1"/>
          <w:numId w:val="8"/>
        </w:numPr>
      </w:pPr>
      <w:r>
        <w:t xml:space="preserve">30E/360: </w:t>
      </w:r>
      <w:r w:rsidR="00441231">
        <w:t>Like</w:t>
      </w:r>
      <w:r>
        <w:t xml:space="preserve"> the 30I/360 convention, but if either the start or end dates are </w:t>
      </w:r>
      <w:r w:rsidR="004F0EB8">
        <w:t xml:space="preserve">on </w:t>
      </w:r>
      <w:r>
        <w:t>the 31</w:t>
      </w:r>
      <w:r w:rsidRPr="00E27B52">
        <w:rPr>
          <w:vertAlign w:val="superscript"/>
        </w:rPr>
        <w:t>st</w:t>
      </w:r>
      <w:r>
        <w:t xml:space="preserve">, they are treated as if they are </w:t>
      </w:r>
      <w:r w:rsidR="004F0EB8">
        <w:t xml:space="preserve">on the </w:t>
      </w:r>
      <w:r>
        <w:t>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577974E3" w14:textId="62CAEDBA" w:rsidR="00260ADF" w:rsidRDefault="00260ADF" w:rsidP="00714654">
      <w:pPr>
        <w:pStyle w:val="ListParagraph"/>
        <w:numPr>
          <w:ilvl w:val="1"/>
          <w:numId w:val="8"/>
        </w:numPr>
      </w:pPr>
      <w:r w:rsidRPr="002061F0">
        <w:t>ACT/365.FIXED: Uses the actual number of days in a period, dividing by a fixed 365-day year</w:t>
      </w:r>
      <w:r w:rsidR="0004319D">
        <w:t xml:space="preserve"> </w:t>
      </w:r>
      <w:r w:rsidR="00342C5F">
        <w:t>for calculating partial year interest rate accrual</w:t>
      </w:r>
      <w:r w:rsidRPr="002061F0">
        <w:t>.</w:t>
      </w:r>
    </w:p>
    <w:p w14:paraId="5DCD3535" w14:textId="03FC6915" w:rsidR="00363000" w:rsidRPr="002061F0" w:rsidRDefault="00363000" w:rsidP="00714654">
      <w:pPr>
        <w:pStyle w:val="ListParagraph"/>
        <w:numPr>
          <w:ilvl w:val="1"/>
          <w:numId w:val="8"/>
        </w:numPr>
      </w:pPr>
      <w:r>
        <w:t>Actual/360</w:t>
      </w:r>
      <w:r w:rsidR="003D19E4">
        <w:t>: Uses the actual number of days between dates, but assumes the year has 360 days when calculating partial year interest payments.</w:t>
      </w:r>
    </w:p>
    <w:p w14:paraId="69860B4B" w14:textId="02B60401" w:rsidR="00260ADF" w:rsidRPr="002061F0" w:rsidRDefault="00260ADF" w:rsidP="00714654">
      <w:pPr>
        <w:pStyle w:val="ListParagraph"/>
        <w:numPr>
          <w:ilvl w:val="0"/>
          <w:numId w:val="8"/>
        </w:numPr>
      </w:pPr>
      <w:r w:rsidRPr="002061F0">
        <w:t>Payment Frequency</w:t>
      </w:r>
      <w:r w:rsidR="00E159B0">
        <w:t xml:space="preserve"> </w:t>
      </w:r>
      <w:r w:rsidR="00E159B0">
        <w:fldChar w:fldCharType="begin"/>
      </w:r>
      <w:r w:rsidR="00586980">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E159B0">
        <w:fldChar w:fldCharType="separate"/>
      </w:r>
      <w:r w:rsidR="00586980">
        <w:rPr>
          <w:noProof/>
        </w:rPr>
        <w:t>(Ametrano and Ballabio 2003b)</w:t>
      </w:r>
      <w:r w:rsidR="00E159B0">
        <w:fldChar w:fldCharType="end"/>
      </w:r>
      <w:r w:rsidRPr="002061F0">
        <w:t>: This defines how often payments are made on the fixed leg. For instance, "semiannual" means payments are made twice a year, while "annual" means once a year.</w:t>
      </w:r>
    </w:p>
    <w:p w14:paraId="566C2C7D" w14:textId="26184B15" w:rsidR="00260ADF" w:rsidRPr="002061F0" w:rsidRDefault="00260ADF" w:rsidP="00714654">
      <w:pPr>
        <w:pStyle w:val="ListParagraph"/>
        <w:numPr>
          <w:ilvl w:val="0"/>
          <w:numId w:val="8"/>
        </w:numPr>
      </w:pPr>
      <w:r w:rsidRPr="002061F0">
        <w:lastRenderedPageBreak/>
        <w:t>Business Day Adjustment Convention</w:t>
      </w:r>
      <w:r w:rsidR="00A24983">
        <w:t xml:space="preserve"> </w:t>
      </w:r>
      <w:r w:rsidR="00A24983">
        <w:fldChar w:fldCharType="begin"/>
      </w:r>
      <w:r w:rsidR="00586980">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xml:space="preserve">: When a payment date falls on a non-business day, this convention dictates how the date is adjusted. </w:t>
      </w:r>
      <w:r w:rsidR="003D19E4">
        <w:t xml:space="preserve">All the </w:t>
      </w:r>
      <w:r w:rsidR="007A4976">
        <w:t xml:space="preserve">contracts in this study use a “modified following” convention. </w:t>
      </w:r>
      <w:r w:rsidRPr="002061F0">
        <w:t xml:space="preserve">A </w:t>
      </w:r>
      <w:r w:rsidR="007A4976">
        <w:t>m</w:t>
      </w:r>
      <w:r w:rsidRPr="002061F0">
        <w:t xml:space="preserve">odified </w:t>
      </w:r>
      <w:r w:rsidR="007A4976">
        <w:t>f</w:t>
      </w:r>
      <w:r w:rsidRPr="002061F0">
        <w:t>ollowing convention means payments are pushed to the next business day unless that day falls in the next month, in which case payments are moved backward to the preceding business day.</w:t>
      </w:r>
    </w:p>
    <w:p w14:paraId="0EF39500" w14:textId="24BC0B81" w:rsidR="00260ADF" w:rsidRPr="002061F0" w:rsidRDefault="00260ADF" w:rsidP="00714654">
      <w:pPr>
        <w:pStyle w:val="ListParagraph"/>
        <w:numPr>
          <w:ilvl w:val="0"/>
          <w:numId w:val="8"/>
        </w:numPr>
      </w:pPr>
      <w:r w:rsidRPr="002061F0">
        <w:t>Adjustment Type</w:t>
      </w:r>
      <w:r w:rsidR="00A24983">
        <w:t xml:space="preserve"> </w:t>
      </w:r>
      <w:r w:rsidR="00A24983">
        <w:fldChar w:fldCharType="begin"/>
      </w:r>
      <w:r w:rsidR="00586980">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1A7CF75" w14:textId="6583F10E" w:rsidR="00260ADF" w:rsidRPr="002061F0" w:rsidRDefault="00260ADF" w:rsidP="00714654">
      <w:pPr>
        <w:pStyle w:val="ListParagraph"/>
        <w:numPr>
          <w:ilvl w:val="0"/>
          <w:numId w:val="8"/>
        </w:numPr>
      </w:pPr>
      <w:r w:rsidRPr="002061F0">
        <w:t>Roll Convention</w:t>
      </w:r>
      <w:r w:rsidR="00A24983">
        <w:t xml:space="preserve"> </w:t>
      </w:r>
      <w:r w:rsidR="00A24983">
        <w:fldChar w:fldCharType="begin"/>
      </w:r>
      <w:r w:rsidR="00586980">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586980">
        <w:rPr>
          <w:noProof/>
        </w:rPr>
        <w:t>(Ametrano and Ballabio 2003b)</w:t>
      </w:r>
      <w:r w:rsidR="00A24983">
        <w:fldChar w:fldCharType="end"/>
      </w:r>
      <w:r w:rsidRPr="002061F0">
        <w:t>: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4051110A" w:rsidR="00260ADF" w:rsidRPr="002061F0" w:rsidRDefault="00260ADF" w:rsidP="00714654">
      <w:pPr>
        <w:pStyle w:val="ListParagraph"/>
        <w:numPr>
          <w:ilvl w:val="0"/>
          <w:numId w:val="8"/>
        </w:numPr>
      </w:pPr>
      <w:r w:rsidRPr="002061F0">
        <w:t>Accrual Calculation Calendar</w:t>
      </w:r>
      <w:r w:rsidR="005A06FA">
        <w:t xml:space="preserve"> </w:t>
      </w:r>
      <w:r w:rsidR="005A06FA">
        <w:fldChar w:fldCharType="begin"/>
      </w:r>
      <w:r w:rsidR="00586980">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5A06FA">
        <w:fldChar w:fldCharType="separate"/>
      </w:r>
      <w:r w:rsidR="00586980">
        <w:rPr>
          <w:noProof/>
        </w:rPr>
        <w:t>(Ametrano and Ballabio 2003b)</w:t>
      </w:r>
      <w:r w:rsidR="005A06FA">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61A1D92F" w:rsidR="00260ADF" w:rsidRPr="002061F0" w:rsidRDefault="00260ADF" w:rsidP="00714654">
      <w:pPr>
        <w:pStyle w:val="ListParagraph"/>
        <w:numPr>
          <w:ilvl w:val="0"/>
          <w:numId w:val="8"/>
        </w:numPr>
      </w:pPr>
      <w:r w:rsidRPr="002061F0">
        <w:t>Pay Delay</w:t>
      </w:r>
      <w:r w:rsidR="005A06FA">
        <w:t xml:space="preserve"> </w:t>
      </w:r>
      <w:r w:rsidR="001E5569">
        <w:t>(Bloomberg L.P.)</w:t>
      </w:r>
      <w:r w:rsidRPr="002061F0">
        <w:t>: Pay delay refers to the number of days between the payment due date and the actual date the payment is made. For instance, "0 days" means payments are made on the due date.</w:t>
      </w:r>
    </w:p>
    <w:p w14:paraId="6808B465" w14:textId="77777777" w:rsidR="00260ADF" w:rsidRPr="002061F0" w:rsidRDefault="00260ADF" w:rsidP="001C0566">
      <w:pPr>
        <w:ind w:firstLine="0"/>
        <w:rPr>
          <w:b/>
          <w:bCs/>
        </w:rPr>
      </w:pPr>
      <w:r w:rsidRPr="002061F0">
        <w:rPr>
          <w:b/>
          <w:bCs/>
        </w:rPr>
        <w:t>Floating Leg</w:t>
      </w:r>
    </w:p>
    <w:p w14:paraId="30FD7E94" w14:textId="1AA6A156" w:rsidR="00260ADF" w:rsidRPr="002061F0" w:rsidRDefault="00260ADF" w:rsidP="009C52D8">
      <w:pPr>
        <w:ind w:firstLine="0"/>
      </w:pPr>
      <w:r w:rsidRPr="002061F0">
        <w:t>The floating leg of the swap is where payments are made based on a variable interest rate, which changes over time based on a reference index</w:t>
      </w:r>
      <w:r w:rsidR="001E5569">
        <w:t xml:space="preserve"> </w:t>
      </w:r>
      <w:r w:rsidR="001E5569">
        <w:fldChar w:fldCharType="begin"/>
      </w:r>
      <w:r w:rsidR="001E5569">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1E5569">
        <w:fldChar w:fldCharType="separate"/>
      </w:r>
      <w:r w:rsidR="001E5569">
        <w:rPr>
          <w:noProof/>
        </w:rPr>
        <w:t>(Hull 2022)</w:t>
      </w:r>
      <w:r w:rsidR="001E5569">
        <w:fldChar w:fldCharType="end"/>
      </w:r>
      <w:r w:rsidRPr="002061F0">
        <w:t>. The conventions below describe how these payments are structured.</w:t>
      </w:r>
    </w:p>
    <w:p w14:paraId="07EDBF39" w14:textId="76D01FE4" w:rsidR="00260ADF" w:rsidRPr="002061F0" w:rsidRDefault="00260ADF" w:rsidP="00485C34">
      <w:pPr>
        <w:pStyle w:val="ListParagraph"/>
        <w:numPr>
          <w:ilvl w:val="0"/>
          <w:numId w:val="13"/>
        </w:numPr>
      </w:pPr>
      <w:r w:rsidRPr="002061F0">
        <w:t>Reference Index</w:t>
      </w:r>
      <w:r w:rsidR="001E5569">
        <w:t xml:space="preserve"> </w:t>
      </w:r>
      <w:r w:rsidR="001E5569">
        <w:fldChar w:fldCharType="begin"/>
      </w:r>
      <w:r w:rsidR="00586980">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1E5569">
        <w:fldChar w:fldCharType="separate"/>
      </w:r>
      <w:r w:rsidR="00586980">
        <w:rPr>
          <w:noProof/>
        </w:rPr>
        <w:t>(Hull 2022; Ametrano and Ballabio 2003b)</w:t>
      </w:r>
      <w:r w:rsidR="001E5569">
        <w:fldChar w:fldCharType="end"/>
      </w:r>
      <w:r w:rsidRPr="002061F0">
        <w:t>: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lastRenderedPageBreak/>
        <w:t>CHF LIBOR 6M: Swiss Franc LIBOR for 6 months.</w:t>
      </w:r>
    </w:p>
    <w:p w14:paraId="2528F377" w14:textId="412ED830" w:rsidR="00260ADF" w:rsidRPr="002061F0" w:rsidRDefault="00260ADF" w:rsidP="00485C34">
      <w:pPr>
        <w:pStyle w:val="ListParagraph"/>
        <w:numPr>
          <w:ilvl w:val="0"/>
          <w:numId w:val="13"/>
        </w:numPr>
      </w:pPr>
      <w:r w:rsidRPr="002061F0">
        <w:t>Reset Frequency</w:t>
      </w:r>
      <w:r w:rsidR="00315003">
        <w:t xml:space="preserve"> </w:t>
      </w:r>
      <w:r w:rsidR="00315003">
        <w:fldChar w:fldCharType="begin"/>
      </w:r>
      <w:r w:rsidR="00586980">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(Ametrano and Ballabio 2003b)</w:t>
      </w:r>
      <w:r w:rsidR="00315003">
        <w:fldChar w:fldCharType="end"/>
      </w:r>
      <w:r w:rsidRPr="002061F0">
        <w:t>: This determines how often the floating rate is recalculated or "reset." For example, a quarterly reset means the floating rate is updated every three months.</w:t>
      </w:r>
    </w:p>
    <w:p w14:paraId="2F10EEBA" w14:textId="0D631AC5" w:rsidR="00260ADF" w:rsidRPr="002061F0" w:rsidRDefault="00260ADF" w:rsidP="00485C34">
      <w:pPr>
        <w:pStyle w:val="ListParagraph"/>
        <w:numPr>
          <w:ilvl w:val="0"/>
          <w:numId w:val="13"/>
        </w:numPr>
      </w:pPr>
      <w:r w:rsidRPr="002061F0">
        <w:t>Fixing Calendar</w:t>
      </w:r>
      <w:r w:rsidR="00315003">
        <w:t xml:space="preserve"> </w:t>
      </w:r>
      <w:r w:rsidR="00315003">
        <w:fldChar w:fldCharType="begin"/>
      </w:r>
      <w:r w:rsidR="00586980">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586980">
        <w:rPr>
          <w:noProof/>
        </w:rPr>
        <w:t>(Hull 2022; Ametrano and Ballabio 2003b)</w:t>
      </w:r>
      <w:r w:rsidR="00315003">
        <w:fldChar w:fldCharType="end"/>
      </w:r>
      <w:r w:rsidRPr="002061F0">
        <w:t>: This refers to the calendar used to determine when the floating rate is fixed or set. For example, the "England" fixing calendar means rates are set according to U.K. business days.</w:t>
      </w:r>
    </w:p>
    <w:p w14:paraId="37A32EE3" w14:textId="3D54739C"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44794947" w:rsidR="00260ADF" w:rsidRDefault="00CB52FB" w:rsidP="00485C34">
      <w:pPr>
        <w:pStyle w:val="Heading1"/>
        <w:numPr>
          <w:ilvl w:val="0"/>
          <w:numId w:val="11"/>
        </w:numPr>
        <w:rPr>
          <w:rFonts w:eastAsiaTheme="minorEastAsia"/>
        </w:rPr>
      </w:pPr>
      <w:r>
        <w:rPr>
          <w:rFonts w:eastAsiaTheme="minorEastAsia"/>
        </w:rPr>
        <w:lastRenderedPageBreak/>
        <w:t>Robustness Tests</w:t>
      </w:r>
    </w:p>
    <w:p w14:paraId="73FC71CC" w14:textId="0E529A42" w:rsidR="007820B7" w:rsidRDefault="0004023A" w:rsidP="007820B7">
      <w:pPr>
        <w:rPr>
          <w:rFonts w:eastAsiaTheme="minorEastAsia"/>
        </w:rPr>
      </w:pPr>
      <w:r>
        <w:rPr>
          <w:rFonts w:eastAsiaTheme="minorEastAsia"/>
        </w:rPr>
        <w:t xml:space="preserve">This appendix provides </w:t>
      </w:r>
      <w:r w:rsidR="00652170">
        <w:rPr>
          <w:rFonts w:eastAsiaTheme="minorEastAsia"/>
        </w:rPr>
        <w:t>several</w:t>
      </w:r>
      <w:r>
        <w:rPr>
          <w:rFonts w:eastAsiaTheme="minorEastAsia"/>
        </w:rPr>
        <w:t xml:space="preserve"> robustness tests to my analysis. Firstly, i</w:t>
      </w:r>
      <w:r w:rsidR="00BA012B">
        <w:rPr>
          <w:rFonts w:eastAsiaTheme="minorEastAsia"/>
        </w:rPr>
        <w:t xml:space="preserve">n the main body of the </w:t>
      </w:r>
      <w:r w:rsidR="00693385">
        <w:rPr>
          <w:rFonts w:eastAsiaTheme="minorEastAsia"/>
        </w:rPr>
        <w:t>essay</w:t>
      </w:r>
      <w:r w:rsidR="00BA012B">
        <w:rPr>
          <w:rFonts w:eastAsiaTheme="minorEastAsia"/>
        </w:rPr>
        <w:t xml:space="preserve">, in the analysis of </w:t>
      </w:r>
      <w:r w:rsidR="00534508">
        <w:rPr>
          <w:rFonts w:eastAsiaTheme="minorEastAsia"/>
        </w:rPr>
        <w:t xml:space="preserve">the clearing mandate on swap pricing, I filtered out observations that were +/- 50 bps from the Bloomberg </w:t>
      </w:r>
      <w:r w:rsidR="00C41CE8">
        <w:rPr>
          <w:rFonts w:eastAsiaTheme="minorEastAsia"/>
        </w:rPr>
        <w:t>terminal calculated</w:t>
      </w:r>
      <w:r w:rsidR="003B417D">
        <w:rPr>
          <w:rFonts w:eastAsiaTheme="minorEastAsia"/>
        </w:rPr>
        <w:t xml:space="preserve"> fair rate. </w:t>
      </w:r>
      <w:r w:rsidR="00060603">
        <w:rPr>
          <w:rFonts w:eastAsiaTheme="minorEastAsia"/>
        </w:rPr>
        <w:t xml:space="preserve">I now </w:t>
      </w:r>
      <w:r w:rsidR="00FE38B0">
        <w:rPr>
          <w:rFonts w:eastAsiaTheme="minorEastAsia"/>
        </w:rPr>
        <w:t xml:space="preserve">present </w:t>
      </w:r>
      <w:r w:rsidR="002651C1">
        <w:rPr>
          <w:rFonts w:eastAsiaTheme="minorEastAsia"/>
        </w:rPr>
        <w:t xml:space="preserve">an alternate version of tables </w:t>
      </w:r>
      <w:r w:rsidR="002651C1">
        <w:rPr>
          <w:rFonts w:eastAsiaTheme="minorEastAsia"/>
          <w:color w:val="000000"/>
          <w:szCs w:val="32"/>
        </w:rPr>
        <w:fldChar w:fldCharType="begin"/>
      </w:r>
      <w:r w:rsidR="002651C1">
        <w:rPr>
          <w:rFonts w:eastAsiaTheme="minorEastAsia"/>
        </w:rPr>
        <w:instrText xml:space="preserve"> REF _Ref169917265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8</w:t>
      </w:r>
      <w:r w:rsidR="002651C1">
        <w:rPr>
          <w:rFonts w:eastAsiaTheme="minorEastAsia"/>
          <w:color w:val="000000"/>
          <w:szCs w:val="32"/>
        </w:rPr>
        <w:fldChar w:fldCharType="end"/>
      </w:r>
      <w:r w:rsidR="002651C1">
        <w:rPr>
          <w:rFonts w:eastAsiaTheme="minorEastAsia"/>
        </w:rPr>
        <w:t xml:space="preserve"> and </w:t>
      </w:r>
      <w:r w:rsidR="002651C1">
        <w:rPr>
          <w:rFonts w:eastAsiaTheme="minorEastAsia"/>
          <w:color w:val="000000"/>
          <w:szCs w:val="32"/>
        </w:rPr>
        <w:fldChar w:fldCharType="begin"/>
      </w:r>
      <w:r w:rsidR="002651C1">
        <w:rPr>
          <w:rFonts w:eastAsiaTheme="minorEastAsia"/>
        </w:rPr>
        <w:instrText xml:space="preserve"> REF _Ref169917329 \h </w:instrText>
      </w:r>
      <w:r w:rsidR="002651C1">
        <w:rPr>
          <w:rFonts w:eastAsiaTheme="minorEastAsia"/>
          <w:color w:val="000000"/>
          <w:szCs w:val="32"/>
        </w:rPr>
      </w:r>
      <w:r w:rsidR="002651C1">
        <w:rPr>
          <w:rFonts w:eastAsiaTheme="minorEastAsia"/>
          <w:color w:val="000000"/>
          <w:szCs w:val="32"/>
        </w:rPr>
        <w:fldChar w:fldCharType="separate"/>
      </w:r>
      <w:r w:rsidR="001D797E">
        <w:t xml:space="preserve">Table </w:t>
      </w:r>
      <w:r w:rsidR="001D797E">
        <w:rPr>
          <w:noProof/>
        </w:rPr>
        <w:t>9</w:t>
      </w:r>
      <w:r w:rsidR="002651C1">
        <w:rPr>
          <w:rFonts w:eastAsiaTheme="minorEastAsia"/>
          <w:color w:val="000000"/>
          <w:szCs w:val="32"/>
        </w:rPr>
        <w:fldChar w:fldCharType="end"/>
      </w:r>
      <w:r w:rsidR="002651C1">
        <w:rPr>
          <w:rFonts w:eastAsiaTheme="minorEastAsia"/>
        </w:rPr>
        <w:t xml:space="preserve">, </w:t>
      </w:r>
      <w:r w:rsidR="003B417D">
        <w:rPr>
          <w:rFonts w:eastAsiaTheme="minorEastAsia"/>
        </w:rPr>
        <w:t>now including these outliers</w:t>
      </w:r>
      <w:r w:rsidR="002651C1">
        <w:rPr>
          <w:rFonts w:eastAsiaTheme="minorEastAsia"/>
        </w:rPr>
        <w:t xml:space="preserve">. </w:t>
      </w:r>
      <w:r w:rsidR="0092264A">
        <w:rPr>
          <w:rFonts w:eastAsiaTheme="minorEastAsia"/>
        </w:rPr>
        <w:t xml:space="preserve">Overall, there were </w:t>
      </w:r>
      <w:r w:rsidR="006E2035">
        <w:rPr>
          <w:rFonts w:eastAsiaTheme="minorEastAsia"/>
        </w:rPr>
        <w:t xml:space="preserve">1,101 such outliers (representing about 4% of the overall dataset). </w:t>
      </w:r>
      <w:r w:rsidR="00AF746E">
        <w:rPr>
          <w:rFonts w:eastAsiaTheme="minorEastAsia"/>
        </w:rPr>
        <w:t>R</w:t>
      </w:r>
      <w:r w:rsidR="00213AA9">
        <w:rPr>
          <w:rFonts w:eastAsiaTheme="minorEastAsia"/>
        </w:rPr>
        <w:t xml:space="preserve">esults continue to be very similar to the results found in the main </w:t>
      </w:r>
      <w:r w:rsidR="00693385">
        <w:rPr>
          <w:rFonts w:eastAsiaTheme="minorEastAsia"/>
        </w:rPr>
        <w:t>essay</w:t>
      </w:r>
      <w:r w:rsidR="00D3568B">
        <w:rPr>
          <w:rFonts w:eastAsiaTheme="minorEastAsia"/>
        </w:rPr>
        <w:t xml:space="preserve">. </w:t>
      </w:r>
      <w:r w:rsidR="004D1362">
        <w:rPr>
          <w:rFonts w:eastAsiaTheme="minorEastAsia"/>
        </w:rPr>
        <w:t xml:space="preserve">In this </w:t>
      </w:r>
      <w:r w:rsidR="009109D1">
        <w:rPr>
          <w:rFonts w:eastAsiaTheme="minorEastAsia"/>
        </w:rPr>
        <w:t>broader</w:t>
      </w:r>
      <w:r w:rsidR="004D1362">
        <w:rPr>
          <w:rFonts w:eastAsiaTheme="minorEastAsia"/>
        </w:rPr>
        <w:t xml:space="preserve"> dataset, c</w:t>
      </w:r>
      <w:r w:rsidR="009640AC">
        <w:rPr>
          <w:rFonts w:eastAsiaTheme="minorEastAsia"/>
        </w:rPr>
        <w:t xml:space="preserve">learing causes a </w:t>
      </w:r>
      <w:r w:rsidR="00AF0F09">
        <w:rPr>
          <w:rFonts w:eastAsiaTheme="minorEastAsia"/>
        </w:rPr>
        <w:t>12-bps</w:t>
      </w:r>
      <w:r w:rsidR="009640AC">
        <w:rPr>
          <w:rFonts w:eastAsiaTheme="minorEastAsia"/>
        </w:rPr>
        <w:t xml:space="preserve"> rise in swaps prices for USD contracts</w:t>
      </w:r>
      <w:r w:rsidR="00A6556D">
        <w:rPr>
          <w:rFonts w:eastAsiaTheme="minorEastAsia"/>
        </w:rPr>
        <w:t xml:space="preserve"> in the overall dataset</w:t>
      </w:r>
      <w:r w:rsidR="00D030FC">
        <w:rPr>
          <w:rFonts w:eastAsiaTheme="minorEastAsia"/>
        </w:rPr>
        <w:t>.</w:t>
      </w:r>
      <w:r w:rsidR="00AF746E">
        <w:rPr>
          <w:rFonts w:eastAsiaTheme="minorEastAsia"/>
        </w:rPr>
        <w:t xml:space="preserve"> Most control variables also show similar </w:t>
      </w:r>
      <w:r w:rsidR="002F5A55">
        <w:rPr>
          <w:rFonts w:eastAsiaTheme="minorEastAsia"/>
        </w:rPr>
        <w:t xml:space="preserve">results to </w:t>
      </w:r>
      <w:r w:rsidR="00C91088">
        <w:rPr>
          <w:rFonts w:eastAsiaTheme="minorEastAsia"/>
        </w:rPr>
        <w:t xml:space="preserve">what is found in the main </w:t>
      </w:r>
      <w:r w:rsidR="00693385">
        <w:rPr>
          <w:rFonts w:eastAsiaTheme="minorEastAsia"/>
        </w:rPr>
        <w:t>essay</w:t>
      </w:r>
      <w:r w:rsidR="00C91088">
        <w:rPr>
          <w:rFonts w:eastAsiaTheme="minorEastAsia"/>
        </w:rPr>
        <w:t xml:space="preserve">. The notable exceptions are tenor (where a one-year increase </w:t>
      </w:r>
      <w:r w:rsidR="00641B81">
        <w:rPr>
          <w:rFonts w:eastAsiaTheme="minorEastAsia"/>
        </w:rPr>
        <w:t xml:space="preserve">in the tenor </w:t>
      </w:r>
      <w:r w:rsidR="00C91088">
        <w:rPr>
          <w:rFonts w:eastAsiaTheme="minorEastAsia"/>
        </w:rPr>
        <w:t>is</w:t>
      </w:r>
      <w:r w:rsidR="00641B81">
        <w:rPr>
          <w:rFonts w:eastAsiaTheme="minorEastAsia"/>
        </w:rPr>
        <w:t xml:space="preserve"> </w:t>
      </w:r>
      <w:r w:rsidR="00C91088">
        <w:rPr>
          <w:rFonts w:eastAsiaTheme="minorEastAsia"/>
        </w:rPr>
        <w:t xml:space="preserve">now associated with </w:t>
      </w:r>
      <w:r w:rsidR="00641B81">
        <w:rPr>
          <w:rFonts w:eastAsiaTheme="minorEastAsia"/>
        </w:rPr>
        <w:t xml:space="preserve">a </w:t>
      </w:r>
      <w:r w:rsidR="003313A8">
        <w:rPr>
          <w:rFonts w:eastAsiaTheme="minorEastAsia"/>
        </w:rPr>
        <w:t>0.03 bps increase in the premium</w:t>
      </w:r>
      <w:r w:rsidR="006C4CB9">
        <w:rPr>
          <w:rFonts w:eastAsiaTheme="minorEastAsia"/>
        </w:rPr>
        <w:t xml:space="preserve"> instead of a </w:t>
      </w:r>
      <w:r w:rsidR="00AF0F09">
        <w:rPr>
          <w:rFonts w:eastAsiaTheme="minorEastAsia"/>
        </w:rPr>
        <w:t>4-bps</w:t>
      </w:r>
      <w:r w:rsidR="003373AC">
        <w:rPr>
          <w:rFonts w:eastAsiaTheme="minorEastAsia"/>
        </w:rPr>
        <w:t xml:space="preserve"> decrease</w:t>
      </w:r>
      <w:r w:rsidR="003313A8">
        <w:rPr>
          <w:rFonts w:eastAsiaTheme="minorEastAsia"/>
        </w:rPr>
        <w:t>)</w:t>
      </w:r>
      <w:r w:rsidR="00A05BB8">
        <w:rPr>
          <w:rFonts w:eastAsiaTheme="minorEastAsia"/>
        </w:rPr>
        <w:t xml:space="preserve"> and Friday trading </w:t>
      </w:r>
      <w:r w:rsidR="006C4CB9">
        <w:rPr>
          <w:rFonts w:eastAsiaTheme="minorEastAsia"/>
        </w:rPr>
        <w:t>(which is now</w:t>
      </w:r>
      <w:r w:rsidR="003373AC">
        <w:rPr>
          <w:rFonts w:eastAsiaTheme="minorEastAsia"/>
        </w:rPr>
        <w:t xml:space="preserve"> associated with </w:t>
      </w:r>
      <w:r w:rsidR="00B25D3A">
        <w:rPr>
          <w:rFonts w:eastAsiaTheme="minorEastAsia"/>
        </w:rPr>
        <w:t xml:space="preserve">a 0.95 bps increase </w:t>
      </w:r>
      <w:r w:rsidR="00DE7C29">
        <w:rPr>
          <w:rFonts w:eastAsiaTheme="minorEastAsia"/>
        </w:rPr>
        <w:t xml:space="preserve">in the premium </w:t>
      </w:r>
      <w:r w:rsidR="00B25D3A">
        <w:rPr>
          <w:rFonts w:eastAsiaTheme="minorEastAsia"/>
        </w:rPr>
        <w:t xml:space="preserve">rather than a </w:t>
      </w:r>
      <w:r w:rsidR="004D1362">
        <w:rPr>
          <w:rFonts w:eastAsiaTheme="minorEastAsia"/>
        </w:rPr>
        <w:t>-0.78-bps</w:t>
      </w:r>
      <w:r w:rsidR="00846E31">
        <w:rPr>
          <w:rFonts w:eastAsiaTheme="minorEastAsia"/>
        </w:rPr>
        <w:t xml:space="preserve"> decrease</w:t>
      </w:r>
      <w:r w:rsidR="00DE7C29">
        <w:rPr>
          <w:rFonts w:eastAsiaTheme="minorEastAsia"/>
        </w:rPr>
        <w:t>).</w:t>
      </w:r>
      <w:r w:rsidR="00323951">
        <w:rPr>
          <w:rFonts w:eastAsiaTheme="minorEastAsia"/>
        </w:rPr>
        <w:t xml:space="preserve"> </w:t>
      </w:r>
      <w:r w:rsidR="000211C1">
        <w:rPr>
          <w:rFonts w:eastAsiaTheme="minorEastAsia"/>
        </w:rPr>
        <w:t xml:space="preserve">The group difference (that is the difference in baseline premium for USD </w:t>
      </w:r>
      <w:r w:rsidR="00E6487A">
        <w:rPr>
          <w:rFonts w:eastAsiaTheme="minorEastAsia"/>
        </w:rPr>
        <w:t>over</w:t>
      </w:r>
      <w:r w:rsidR="000211C1">
        <w:rPr>
          <w:rFonts w:eastAsiaTheme="minorEastAsia"/>
        </w:rPr>
        <w:t xml:space="preserve"> CAD contracts) also becomes not statistically significant.</w:t>
      </w:r>
      <w:r w:rsidR="003C3245">
        <w:rPr>
          <w:rFonts w:eastAsiaTheme="minorEastAsia"/>
        </w:rPr>
        <w:t xml:space="preserve"> Note that </w:t>
      </w:r>
      <w:r w:rsidR="00652170">
        <w:rPr>
          <w:rFonts w:eastAsiaTheme="minorEastAsia"/>
        </w:rPr>
        <w:t xml:space="preserve">the effect of these </w:t>
      </w:r>
      <w:r w:rsidR="003C3245">
        <w:rPr>
          <w:rFonts w:eastAsiaTheme="minorEastAsia"/>
        </w:rPr>
        <w:t xml:space="preserve">control variables </w:t>
      </w:r>
      <w:r w:rsidR="00AF0F09">
        <w:rPr>
          <w:rFonts w:eastAsiaTheme="minorEastAsia"/>
        </w:rPr>
        <w:t>is</w:t>
      </w:r>
      <w:r w:rsidR="003C3245">
        <w:rPr>
          <w:rFonts w:eastAsiaTheme="minorEastAsia"/>
        </w:rPr>
        <w:t xml:space="preserve"> small (less than 1 bps).</w:t>
      </w:r>
    </w:p>
    <w:p w14:paraId="756DB059" w14:textId="77777777" w:rsidR="002651C1" w:rsidRDefault="002651C1" w:rsidP="00CE56E8">
      <w:pPr>
        <w:ind w:firstLine="0"/>
        <w:rPr>
          <w:rFonts w:eastAsiaTheme="minorEastAsia"/>
        </w:rPr>
      </w:pPr>
    </w:p>
    <w:p w14:paraId="75ED595C" w14:textId="05047368" w:rsidR="00AF0F09" w:rsidRDefault="00AF0F09" w:rsidP="00CE56E8">
      <w:pPr>
        <w:pStyle w:val="Caption"/>
        <w:keepNext/>
      </w:pPr>
      <w:r>
        <w:t xml:space="preserve">Table </w:t>
      </w:r>
      <w:fldSimple w:instr=" SEQ Table \* ARABIC ">
        <w:r w:rsidR="001D797E">
          <w:rPr>
            <w:noProof/>
          </w:rPr>
          <w:t>17</w:t>
        </w:r>
      </w:fldSimple>
      <w:r>
        <w:rPr>
          <w:noProof/>
        </w:rPr>
        <w:t xml:space="preserve"> </w:t>
      </w:r>
      <w:r w:rsidR="00921689">
        <w:rPr>
          <w:noProof/>
        </w:rPr>
        <w:t>Diff-in-diff</w:t>
      </w:r>
      <w:r>
        <w:rPr>
          <w:noProof/>
        </w:rPr>
        <w:t xml:space="preserve"> results after including all pricing outliers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CE56E8">
        <w:trPr>
          <w:tblCellSpacing w:w="15" w:type="dxa"/>
          <w:jc w:val="center"/>
        </w:trPr>
        <w:tc>
          <w:tcPr>
            <w:tcW w:w="0" w:type="auto"/>
            <w:gridSpan w:val="3"/>
            <w:tcBorders>
              <w:top w:val="nil"/>
              <w:left w:val="nil"/>
              <w:bottom w:val="nil"/>
              <w:right w:val="nil"/>
            </w:tcBorders>
            <w:vAlign w:val="center"/>
            <w:hideMark/>
          </w:tcPr>
          <w:p w14:paraId="676B1BA2" w14:textId="40539297" w:rsidR="002651C1" w:rsidRDefault="00921689">
            <w:pPr>
              <w:jc w:val="center"/>
              <w:rPr>
                <w:rFonts w:eastAsia="Times New Roman"/>
              </w:rPr>
            </w:pPr>
            <w:r>
              <w:rPr>
                <w:rStyle w:val="Strong"/>
                <w:rFonts w:eastAsia="Times New Roman"/>
              </w:rPr>
              <w:t>Diff-in-diff</w:t>
            </w:r>
            <w:r w:rsidR="002651C1">
              <w:rPr>
                <w:rStyle w:val="Strong"/>
                <w:rFonts w:eastAsia="Times New Roman"/>
              </w:rPr>
              <w:t xml:space="preserve"> Regression Results</w:t>
            </w:r>
          </w:p>
        </w:tc>
      </w:tr>
      <w:tr w:rsidR="002651C1" w14:paraId="0407CFD5" w14:textId="77777777" w:rsidTr="00CE56E8">
        <w:trPr>
          <w:tblCellSpacing w:w="15" w:type="dxa"/>
          <w:jc w:val="center"/>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rsidTr="00CE56E8">
        <w:trPr>
          <w:tblCellSpacing w:w="15" w:type="dxa"/>
          <w:jc w:val="center"/>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CE56E8">
        <w:trPr>
          <w:tblCellSpacing w:w="15" w:type="dxa"/>
          <w:jc w:val="center"/>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rsidTr="00CE56E8">
        <w:trPr>
          <w:tblCellSpacing w:w="15" w:type="dxa"/>
          <w:jc w:val="center"/>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CE56E8">
        <w:trPr>
          <w:tblCellSpacing w:w="15" w:type="dxa"/>
          <w:jc w:val="center"/>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CE56E8">
        <w:trPr>
          <w:tblCellSpacing w:w="15" w:type="dxa"/>
          <w:jc w:val="center"/>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rsidTr="00CE56E8">
        <w:trPr>
          <w:tblCellSpacing w:w="15" w:type="dxa"/>
          <w:jc w:val="center"/>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CE56E8">
        <w:trPr>
          <w:tblCellSpacing w:w="15" w:type="dxa"/>
          <w:jc w:val="center"/>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CE56E8">
        <w:trPr>
          <w:tblCellSpacing w:w="15" w:type="dxa"/>
          <w:jc w:val="center"/>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CE56E8">
        <w:trPr>
          <w:tblCellSpacing w:w="15" w:type="dxa"/>
          <w:jc w:val="center"/>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CE56E8">
        <w:trPr>
          <w:tblCellSpacing w:w="15" w:type="dxa"/>
          <w:jc w:val="center"/>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CE56E8">
        <w:trPr>
          <w:tblCellSpacing w:w="15" w:type="dxa"/>
          <w:jc w:val="center"/>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CE56E8">
        <w:trPr>
          <w:tblCellSpacing w:w="15" w:type="dxa"/>
          <w:jc w:val="center"/>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CE56E8">
        <w:trPr>
          <w:tblCellSpacing w:w="15" w:type="dxa"/>
          <w:jc w:val="center"/>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CE56E8">
        <w:trPr>
          <w:tblCellSpacing w:w="15" w:type="dxa"/>
          <w:jc w:val="center"/>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CE56E8">
        <w:trPr>
          <w:tblCellSpacing w:w="15" w:type="dxa"/>
          <w:jc w:val="center"/>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CE56E8">
        <w:trPr>
          <w:tblCellSpacing w:w="15" w:type="dxa"/>
          <w:jc w:val="center"/>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CE56E8">
        <w:trPr>
          <w:tblCellSpacing w:w="15" w:type="dxa"/>
          <w:jc w:val="center"/>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CE56E8">
        <w:trPr>
          <w:tblCellSpacing w:w="15" w:type="dxa"/>
          <w:jc w:val="center"/>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CE56E8">
        <w:trPr>
          <w:tblCellSpacing w:w="15" w:type="dxa"/>
          <w:jc w:val="center"/>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CE56E8">
        <w:trPr>
          <w:tblCellSpacing w:w="15" w:type="dxa"/>
          <w:jc w:val="center"/>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CE56E8">
        <w:trPr>
          <w:tblCellSpacing w:w="15" w:type="dxa"/>
          <w:jc w:val="center"/>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CE56E8">
        <w:trPr>
          <w:tblCellSpacing w:w="15" w:type="dxa"/>
          <w:jc w:val="center"/>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CE56E8">
        <w:trPr>
          <w:tblCellSpacing w:w="15" w:type="dxa"/>
          <w:jc w:val="center"/>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CE56E8">
        <w:trPr>
          <w:tblCellSpacing w:w="15" w:type="dxa"/>
          <w:jc w:val="center"/>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CE56E8">
        <w:trPr>
          <w:tblCellSpacing w:w="15" w:type="dxa"/>
          <w:jc w:val="center"/>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CE56E8">
        <w:trPr>
          <w:tblCellSpacing w:w="15" w:type="dxa"/>
          <w:jc w:val="center"/>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CE56E8">
        <w:trPr>
          <w:tblCellSpacing w:w="15" w:type="dxa"/>
          <w:jc w:val="center"/>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CE56E8">
        <w:trPr>
          <w:tblCellSpacing w:w="15" w:type="dxa"/>
          <w:jc w:val="center"/>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CE56E8">
        <w:trPr>
          <w:tblCellSpacing w:w="15" w:type="dxa"/>
          <w:jc w:val="center"/>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CE56E8">
        <w:trPr>
          <w:tblCellSpacing w:w="15" w:type="dxa"/>
          <w:jc w:val="center"/>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CE56E8">
        <w:trPr>
          <w:tblCellSpacing w:w="15" w:type="dxa"/>
          <w:jc w:val="center"/>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CE56E8">
        <w:trPr>
          <w:tblCellSpacing w:w="15" w:type="dxa"/>
          <w:jc w:val="center"/>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CE56E8">
        <w:trPr>
          <w:tblCellSpacing w:w="15" w:type="dxa"/>
          <w:jc w:val="center"/>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CE56E8">
        <w:trPr>
          <w:tblCellSpacing w:w="15" w:type="dxa"/>
          <w:jc w:val="center"/>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CE56E8">
        <w:trPr>
          <w:tblCellSpacing w:w="15" w:type="dxa"/>
          <w:jc w:val="center"/>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CE56E8">
        <w:trPr>
          <w:tblCellSpacing w:w="15" w:type="dxa"/>
          <w:jc w:val="center"/>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rsidTr="00CE56E8">
        <w:trPr>
          <w:tblCellSpacing w:w="15" w:type="dxa"/>
          <w:jc w:val="center"/>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CE56E8">
        <w:trPr>
          <w:tblCellSpacing w:w="15" w:type="dxa"/>
          <w:jc w:val="center"/>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CE56E8">
        <w:trPr>
          <w:tblCellSpacing w:w="15" w:type="dxa"/>
          <w:jc w:val="center"/>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CE56E8">
        <w:trPr>
          <w:tblCellSpacing w:w="15" w:type="dxa"/>
          <w:jc w:val="center"/>
        </w:trPr>
        <w:tc>
          <w:tcPr>
            <w:tcW w:w="0" w:type="auto"/>
            <w:vAlign w:val="center"/>
            <w:hideMark/>
          </w:tcPr>
          <w:p w14:paraId="53AE6CF8" w14:textId="77777777" w:rsidR="002651C1" w:rsidRDefault="002651C1">
            <w:pPr>
              <w:rPr>
                <w:rFonts w:eastAsia="Times New Roman"/>
              </w:rPr>
            </w:pPr>
            <w:r>
              <w:rPr>
                <w:rFonts w:eastAsia="Times New Roman"/>
              </w:rPr>
              <w:lastRenderedPageBreak/>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CE56E8">
        <w:trPr>
          <w:tblCellSpacing w:w="15" w:type="dxa"/>
          <w:jc w:val="center"/>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CE56E8">
        <w:trPr>
          <w:tblCellSpacing w:w="15" w:type="dxa"/>
          <w:jc w:val="center"/>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rsidTr="00CE56E8">
        <w:trPr>
          <w:tblCellSpacing w:w="15" w:type="dxa"/>
          <w:jc w:val="center"/>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11D2FB9F" w:rsidR="00AF0F09" w:rsidRDefault="00AF0F09" w:rsidP="00CE56E8">
      <w:pPr>
        <w:pStyle w:val="Caption"/>
        <w:keepNext/>
      </w:pPr>
      <w:r>
        <w:t xml:space="preserve">Table </w:t>
      </w:r>
      <w:fldSimple w:instr=" SEQ Table \* ARABIC ">
        <w:r w:rsidR="001D797E">
          <w:rPr>
            <w:noProof/>
          </w:rPr>
          <w:t>18</w:t>
        </w:r>
      </w:fldSimple>
      <w:r>
        <w:rPr>
          <w:noProof/>
        </w:rPr>
        <w:t xml:space="preserve"> Difference-in-differnces results after including pricing outliers. By phase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 w14:paraId="4B4CF5BD" w14:textId="77777777" w:rsidR="00117C16" w:rsidRDefault="00117C16" w:rsidP="00AF0F09"/>
    <w:p w14:paraId="51DBCE4F" w14:textId="77777777" w:rsidR="00117C16" w:rsidRDefault="00117C16" w:rsidP="00AF0F09"/>
    <w:p w14:paraId="0F6E61F4" w14:textId="67FCEC0D" w:rsidR="007820B7" w:rsidRDefault="00755318" w:rsidP="00AF0F09">
      <w:r>
        <w:lastRenderedPageBreak/>
        <w:t xml:space="preserve">Also, as is sometimes done in literature, I drop observations on the first trading day </w:t>
      </w:r>
      <w:r w:rsidR="00117C16">
        <w:t xml:space="preserve">of each phase that </w:t>
      </w:r>
      <w:r>
        <w:t xml:space="preserve">the clearing mandate went into </w:t>
      </w:r>
      <w:r w:rsidR="00D31AC5">
        <w:t>force</w:t>
      </w:r>
      <w:r>
        <w:t xml:space="preserve"> (to mitigate the effects </w:t>
      </w:r>
      <w:r w:rsidR="00D31AC5">
        <w:t xml:space="preserve">of program implementation effects). </w:t>
      </w:r>
      <w:r w:rsidR="007820B7">
        <w:t xml:space="preserve">Results continue to show similar patterns as found in the main body of the </w:t>
      </w:r>
      <w:r w:rsidR="00693385">
        <w:t>essay</w:t>
      </w:r>
      <w:r w:rsidR="007820B7">
        <w:t>.</w:t>
      </w:r>
      <w:r w:rsidR="000E690D">
        <w:t xml:space="preserve"> The mandate causes a 12-bps rise in premiums for US-contracts after implementation.</w:t>
      </w:r>
      <w:r w:rsidR="00F86F7E">
        <w:t xml:space="preserve"> Control variables show similar </w:t>
      </w:r>
      <w:r w:rsidR="00265453">
        <w:t>signs</w:t>
      </w:r>
      <w:r w:rsidR="00F86F7E">
        <w:t xml:space="preserve"> and magnitude as is discussed in the main body of the paper.</w:t>
      </w:r>
    </w:p>
    <w:p w14:paraId="7DBB05BD" w14:textId="24D0BC82" w:rsidR="00275B78" w:rsidRDefault="00275B78" w:rsidP="00CE56E8">
      <w:pPr>
        <w:pStyle w:val="Caption"/>
        <w:keepNext/>
      </w:pPr>
      <w:r>
        <w:t xml:space="preserve">Table </w:t>
      </w:r>
      <w:fldSimple w:instr=" SEQ Table \* ARABIC ">
        <w:r w:rsidR="001D797E">
          <w:rPr>
            <w:noProof/>
          </w:rPr>
          <w:t>19</w:t>
        </w:r>
      </w:fldSimple>
      <w:r>
        <w:rPr>
          <w:noProof/>
        </w:rPr>
        <w:t xml:space="preserve"> </w:t>
      </w:r>
      <w:r w:rsidR="00921689">
        <w:rPr>
          <w:noProof/>
        </w:rPr>
        <w:t>Diff-in-diff</w:t>
      </w:r>
      <w:r>
        <w:rPr>
          <w:noProof/>
        </w:rPr>
        <w:t xml:space="preserve"> results excluding the first day the treatment went into effect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7820B7" w14:paraId="3F82D6DE" w14:textId="77777777" w:rsidTr="00CE56E8">
        <w:trPr>
          <w:tblCellSpacing w:w="15" w:type="dxa"/>
          <w:jc w:val="center"/>
        </w:trPr>
        <w:tc>
          <w:tcPr>
            <w:tcW w:w="0" w:type="auto"/>
            <w:gridSpan w:val="3"/>
            <w:tcBorders>
              <w:top w:val="nil"/>
              <w:left w:val="nil"/>
              <w:bottom w:val="nil"/>
              <w:right w:val="nil"/>
            </w:tcBorders>
            <w:vAlign w:val="center"/>
            <w:hideMark/>
          </w:tcPr>
          <w:p w14:paraId="769B5117" w14:textId="3B220034" w:rsidR="007820B7" w:rsidRDefault="00921689" w:rsidP="006B33E3">
            <w:pPr>
              <w:jc w:val="center"/>
              <w:rPr>
                <w:rFonts w:eastAsia="Times New Roman"/>
              </w:rPr>
            </w:pPr>
            <w:r>
              <w:rPr>
                <w:rStyle w:val="Strong"/>
              </w:rPr>
              <w:t>Diff-in-diff</w:t>
            </w:r>
            <w:r w:rsidR="007820B7">
              <w:rPr>
                <w:rStyle w:val="Strong"/>
              </w:rPr>
              <w:t xml:space="preserve"> Regression Results</w:t>
            </w:r>
          </w:p>
        </w:tc>
      </w:tr>
      <w:tr w:rsidR="007820B7" w14:paraId="716E8BB4" w14:textId="77777777" w:rsidTr="00CE56E8">
        <w:trPr>
          <w:tblCellSpacing w:w="15" w:type="dxa"/>
          <w:jc w:val="center"/>
        </w:trPr>
        <w:tc>
          <w:tcPr>
            <w:tcW w:w="0" w:type="auto"/>
            <w:gridSpan w:val="3"/>
            <w:tcBorders>
              <w:bottom w:val="single" w:sz="6" w:space="0" w:color="000000"/>
            </w:tcBorders>
            <w:vAlign w:val="center"/>
            <w:hideMark/>
          </w:tcPr>
          <w:p w14:paraId="1979D1B3" w14:textId="77777777" w:rsidR="007820B7" w:rsidRDefault="007820B7" w:rsidP="006B33E3">
            <w:pPr>
              <w:jc w:val="center"/>
              <w:rPr>
                <w:rFonts w:eastAsia="Times New Roman"/>
              </w:rPr>
            </w:pPr>
          </w:p>
        </w:tc>
      </w:tr>
      <w:tr w:rsidR="007820B7" w14:paraId="4031567C" w14:textId="77777777" w:rsidTr="00CE56E8">
        <w:trPr>
          <w:tblCellSpacing w:w="15" w:type="dxa"/>
          <w:jc w:val="center"/>
        </w:trPr>
        <w:tc>
          <w:tcPr>
            <w:tcW w:w="0" w:type="auto"/>
            <w:vAlign w:val="center"/>
            <w:hideMark/>
          </w:tcPr>
          <w:p w14:paraId="38F263C3" w14:textId="77777777" w:rsidR="007820B7" w:rsidRDefault="007820B7" w:rsidP="006B33E3">
            <w:pPr>
              <w:jc w:val="center"/>
              <w:rPr>
                <w:rFonts w:eastAsia="Times New Roman"/>
                <w:sz w:val="20"/>
                <w:szCs w:val="20"/>
              </w:rPr>
            </w:pPr>
          </w:p>
        </w:tc>
        <w:tc>
          <w:tcPr>
            <w:tcW w:w="0" w:type="auto"/>
            <w:gridSpan w:val="2"/>
            <w:vAlign w:val="center"/>
            <w:hideMark/>
          </w:tcPr>
          <w:p w14:paraId="45EA14EB" w14:textId="77777777" w:rsidR="007820B7" w:rsidRDefault="007820B7" w:rsidP="006B33E3">
            <w:pPr>
              <w:jc w:val="center"/>
              <w:rPr>
                <w:rFonts w:eastAsia="Times New Roman"/>
              </w:rPr>
            </w:pPr>
            <w:r>
              <w:rPr>
                <w:rFonts w:eastAsia="Times New Roman"/>
              </w:rPr>
              <w:t>Dependent variable: Premium</w:t>
            </w:r>
          </w:p>
        </w:tc>
      </w:tr>
      <w:tr w:rsidR="007820B7" w14:paraId="1D49691B" w14:textId="77777777" w:rsidTr="00CE56E8">
        <w:trPr>
          <w:tblCellSpacing w:w="15" w:type="dxa"/>
          <w:jc w:val="center"/>
        </w:trPr>
        <w:tc>
          <w:tcPr>
            <w:tcW w:w="0" w:type="auto"/>
            <w:vAlign w:val="center"/>
            <w:hideMark/>
          </w:tcPr>
          <w:p w14:paraId="3FCFA817" w14:textId="77777777" w:rsidR="007820B7" w:rsidRDefault="007820B7" w:rsidP="006B33E3">
            <w:pPr>
              <w:jc w:val="center"/>
              <w:rPr>
                <w:rFonts w:eastAsia="Times New Roman"/>
              </w:rPr>
            </w:pPr>
          </w:p>
        </w:tc>
        <w:tc>
          <w:tcPr>
            <w:tcW w:w="0" w:type="auto"/>
            <w:gridSpan w:val="2"/>
            <w:tcBorders>
              <w:bottom w:val="single" w:sz="6" w:space="0" w:color="000000"/>
            </w:tcBorders>
            <w:vAlign w:val="center"/>
            <w:hideMark/>
          </w:tcPr>
          <w:p w14:paraId="1C705A6B" w14:textId="77777777" w:rsidR="007820B7" w:rsidRDefault="007820B7" w:rsidP="006B33E3">
            <w:pPr>
              <w:jc w:val="center"/>
              <w:rPr>
                <w:rFonts w:eastAsia="Times New Roman"/>
                <w:sz w:val="20"/>
                <w:szCs w:val="20"/>
              </w:rPr>
            </w:pPr>
          </w:p>
        </w:tc>
      </w:tr>
      <w:tr w:rsidR="007820B7" w14:paraId="14525088" w14:textId="77777777" w:rsidTr="00CE56E8">
        <w:trPr>
          <w:tblCellSpacing w:w="15" w:type="dxa"/>
          <w:jc w:val="center"/>
        </w:trPr>
        <w:tc>
          <w:tcPr>
            <w:tcW w:w="0" w:type="auto"/>
            <w:vAlign w:val="center"/>
            <w:hideMark/>
          </w:tcPr>
          <w:p w14:paraId="2451E70F" w14:textId="77777777" w:rsidR="007820B7" w:rsidRDefault="007820B7" w:rsidP="006B33E3">
            <w:pPr>
              <w:jc w:val="center"/>
              <w:rPr>
                <w:rFonts w:eastAsia="Times New Roman"/>
                <w:sz w:val="20"/>
                <w:szCs w:val="20"/>
              </w:rPr>
            </w:pPr>
          </w:p>
        </w:tc>
        <w:tc>
          <w:tcPr>
            <w:tcW w:w="0" w:type="auto"/>
            <w:vAlign w:val="center"/>
            <w:hideMark/>
          </w:tcPr>
          <w:p w14:paraId="7519F167" w14:textId="77777777" w:rsidR="007820B7" w:rsidRDefault="007820B7" w:rsidP="006B33E3">
            <w:pPr>
              <w:jc w:val="center"/>
              <w:rPr>
                <w:rFonts w:eastAsia="Times New Roman"/>
              </w:rPr>
            </w:pPr>
            <w:r>
              <w:rPr>
                <w:rFonts w:eastAsia="Times New Roman"/>
              </w:rPr>
              <w:t>Basic Model</w:t>
            </w:r>
          </w:p>
        </w:tc>
        <w:tc>
          <w:tcPr>
            <w:tcW w:w="0" w:type="auto"/>
            <w:vAlign w:val="center"/>
            <w:hideMark/>
          </w:tcPr>
          <w:p w14:paraId="7F4EFD24" w14:textId="77777777" w:rsidR="007820B7" w:rsidRDefault="007820B7" w:rsidP="006B33E3">
            <w:pPr>
              <w:jc w:val="center"/>
              <w:rPr>
                <w:rFonts w:eastAsia="Times New Roman"/>
              </w:rPr>
            </w:pPr>
            <w:r>
              <w:rPr>
                <w:rFonts w:eastAsia="Times New Roman"/>
              </w:rPr>
              <w:t>Advanced Model</w:t>
            </w:r>
          </w:p>
        </w:tc>
      </w:tr>
      <w:tr w:rsidR="007820B7" w14:paraId="4C2ABCC0" w14:textId="77777777" w:rsidTr="00CE56E8">
        <w:trPr>
          <w:tblCellSpacing w:w="15" w:type="dxa"/>
          <w:jc w:val="center"/>
        </w:trPr>
        <w:tc>
          <w:tcPr>
            <w:tcW w:w="0" w:type="auto"/>
            <w:vAlign w:val="center"/>
            <w:hideMark/>
          </w:tcPr>
          <w:p w14:paraId="34E82E06" w14:textId="77777777" w:rsidR="007820B7" w:rsidRDefault="007820B7" w:rsidP="006B33E3">
            <w:pPr>
              <w:jc w:val="center"/>
              <w:rPr>
                <w:rFonts w:eastAsia="Times New Roman"/>
              </w:rPr>
            </w:pPr>
          </w:p>
        </w:tc>
        <w:tc>
          <w:tcPr>
            <w:tcW w:w="0" w:type="auto"/>
            <w:vAlign w:val="center"/>
            <w:hideMark/>
          </w:tcPr>
          <w:p w14:paraId="4A3A73FF" w14:textId="77777777" w:rsidR="007820B7" w:rsidRDefault="007820B7" w:rsidP="006B33E3">
            <w:pPr>
              <w:jc w:val="center"/>
              <w:rPr>
                <w:rFonts w:eastAsia="Times New Roman"/>
              </w:rPr>
            </w:pPr>
            <w:r>
              <w:rPr>
                <w:rFonts w:eastAsia="Times New Roman"/>
              </w:rPr>
              <w:t>(1)</w:t>
            </w:r>
          </w:p>
        </w:tc>
        <w:tc>
          <w:tcPr>
            <w:tcW w:w="0" w:type="auto"/>
            <w:vAlign w:val="center"/>
            <w:hideMark/>
          </w:tcPr>
          <w:p w14:paraId="3F80D2FB" w14:textId="77777777" w:rsidR="007820B7" w:rsidRDefault="007820B7" w:rsidP="006B33E3">
            <w:pPr>
              <w:jc w:val="center"/>
              <w:rPr>
                <w:rFonts w:eastAsia="Times New Roman"/>
              </w:rPr>
            </w:pPr>
            <w:r>
              <w:rPr>
                <w:rFonts w:eastAsia="Times New Roman"/>
              </w:rPr>
              <w:t>(2)</w:t>
            </w:r>
          </w:p>
        </w:tc>
      </w:tr>
      <w:tr w:rsidR="007820B7" w14:paraId="47B3F4D1" w14:textId="77777777" w:rsidTr="00CE56E8">
        <w:trPr>
          <w:tblCellSpacing w:w="15" w:type="dxa"/>
          <w:jc w:val="center"/>
        </w:trPr>
        <w:tc>
          <w:tcPr>
            <w:tcW w:w="0" w:type="auto"/>
            <w:gridSpan w:val="3"/>
            <w:tcBorders>
              <w:bottom w:val="single" w:sz="6" w:space="0" w:color="000000"/>
            </w:tcBorders>
            <w:vAlign w:val="center"/>
            <w:hideMark/>
          </w:tcPr>
          <w:p w14:paraId="1E97FC3A" w14:textId="77777777" w:rsidR="007820B7" w:rsidRDefault="007820B7" w:rsidP="006B33E3">
            <w:pPr>
              <w:jc w:val="center"/>
              <w:rPr>
                <w:rFonts w:eastAsia="Times New Roman"/>
              </w:rPr>
            </w:pPr>
          </w:p>
        </w:tc>
      </w:tr>
      <w:tr w:rsidR="007820B7" w14:paraId="0153F908" w14:textId="77777777" w:rsidTr="00CE56E8">
        <w:trPr>
          <w:tblCellSpacing w:w="15" w:type="dxa"/>
          <w:jc w:val="center"/>
        </w:trPr>
        <w:tc>
          <w:tcPr>
            <w:tcW w:w="0" w:type="auto"/>
            <w:vAlign w:val="center"/>
            <w:hideMark/>
          </w:tcPr>
          <w:p w14:paraId="5DC3D528" w14:textId="77777777" w:rsidR="007820B7" w:rsidRDefault="007820B7" w:rsidP="006B33E3">
            <w:pPr>
              <w:jc w:val="left"/>
              <w:rPr>
                <w:rFonts w:eastAsia="Times New Roman"/>
              </w:rPr>
            </w:pPr>
            <w:r>
              <w:rPr>
                <w:rFonts w:eastAsia="Times New Roman"/>
              </w:rPr>
              <w:t>Group</w:t>
            </w:r>
          </w:p>
        </w:tc>
        <w:tc>
          <w:tcPr>
            <w:tcW w:w="0" w:type="auto"/>
            <w:vAlign w:val="center"/>
            <w:hideMark/>
          </w:tcPr>
          <w:p w14:paraId="3CD55A90" w14:textId="77777777" w:rsidR="007820B7" w:rsidRDefault="007820B7" w:rsidP="006B33E3">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600029E4" w14:textId="77777777" w:rsidR="007820B7" w:rsidRDefault="007820B7" w:rsidP="006B33E3">
            <w:pPr>
              <w:jc w:val="center"/>
              <w:rPr>
                <w:rFonts w:eastAsia="Times New Roman"/>
              </w:rPr>
            </w:pPr>
            <w:r>
              <w:rPr>
                <w:rFonts w:eastAsia="Times New Roman"/>
              </w:rPr>
              <w:t>-0.7596</w:t>
            </w:r>
          </w:p>
        </w:tc>
      </w:tr>
      <w:tr w:rsidR="007820B7" w14:paraId="5C3F9322" w14:textId="77777777" w:rsidTr="00CE56E8">
        <w:trPr>
          <w:tblCellSpacing w:w="15" w:type="dxa"/>
          <w:jc w:val="center"/>
        </w:trPr>
        <w:tc>
          <w:tcPr>
            <w:tcW w:w="0" w:type="auto"/>
            <w:vAlign w:val="center"/>
            <w:hideMark/>
          </w:tcPr>
          <w:p w14:paraId="0D855C49" w14:textId="77777777" w:rsidR="007820B7" w:rsidRDefault="007820B7" w:rsidP="006B33E3">
            <w:pPr>
              <w:jc w:val="center"/>
              <w:rPr>
                <w:rFonts w:eastAsia="Times New Roman"/>
              </w:rPr>
            </w:pPr>
          </w:p>
        </w:tc>
        <w:tc>
          <w:tcPr>
            <w:tcW w:w="0" w:type="auto"/>
            <w:vAlign w:val="center"/>
            <w:hideMark/>
          </w:tcPr>
          <w:p w14:paraId="50320EB9" w14:textId="77777777" w:rsidR="007820B7" w:rsidRDefault="007820B7" w:rsidP="006B33E3">
            <w:pPr>
              <w:jc w:val="center"/>
              <w:rPr>
                <w:rFonts w:eastAsia="Times New Roman"/>
              </w:rPr>
            </w:pPr>
            <w:r>
              <w:rPr>
                <w:rFonts w:eastAsia="Times New Roman"/>
              </w:rPr>
              <w:t>(0.4942)</w:t>
            </w:r>
          </w:p>
        </w:tc>
        <w:tc>
          <w:tcPr>
            <w:tcW w:w="0" w:type="auto"/>
            <w:vAlign w:val="center"/>
            <w:hideMark/>
          </w:tcPr>
          <w:p w14:paraId="2B6BA903" w14:textId="77777777" w:rsidR="007820B7" w:rsidRDefault="007820B7" w:rsidP="006B33E3">
            <w:pPr>
              <w:jc w:val="center"/>
              <w:rPr>
                <w:rFonts w:eastAsia="Times New Roman"/>
              </w:rPr>
            </w:pPr>
            <w:r>
              <w:rPr>
                <w:rFonts w:eastAsia="Times New Roman"/>
              </w:rPr>
              <w:t>(0.4928)</w:t>
            </w:r>
          </w:p>
        </w:tc>
      </w:tr>
      <w:tr w:rsidR="007820B7" w14:paraId="71718F58" w14:textId="77777777" w:rsidTr="00CE56E8">
        <w:trPr>
          <w:tblCellSpacing w:w="15" w:type="dxa"/>
          <w:jc w:val="center"/>
        </w:trPr>
        <w:tc>
          <w:tcPr>
            <w:tcW w:w="0" w:type="auto"/>
            <w:vAlign w:val="center"/>
            <w:hideMark/>
          </w:tcPr>
          <w:p w14:paraId="0DFC5E4A" w14:textId="77777777" w:rsidR="007820B7" w:rsidRDefault="007820B7" w:rsidP="006B33E3">
            <w:pPr>
              <w:jc w:val="left"/>
              <w:rPr>
                <w:rFonts w:eastAsia="Times New Roman"/>
              </w:rPr>
            </w:pPr>
            <w:r>
              <w:rPr>
                <w:rFonts w:eastAsia="Times New Roman"/>
              </w:rPr>
              <w:t>Period</w:t>
            </w:r>
          </w:p>
        </w:tc>
        <w:tc>
          <w:tcPr>
            <w:tcW w:w="0" w:type="auto"/>
            <w:vAlign w:val="center"/>
            <w:hideMark/>
          </w:tcPr>
          <w:p w14:paraId="25B9F5AE" w14:textId="77777777" w:rsidR="007820B7" w:rsidRDefault="007820B7" w:rsidP="006B33E3">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6A12E1E9" w14:textId="77777777" w:rsidR="007820B7" w:rsidRDefault="007820B7" w:rsidP="006B33E3">
            <w:pPr>
              <w:jc w:val="center"/>
              <w:rPr>
                <w:rFonts w:eastAsia="Times New Roman"/>
              </w:rPr>
            </w:pPr>
            <w:r>
              <w:rPr>
                <w:rFonts w:eastAsia="Times New Roman"/>
              </w:rPr>
              <w:t>-11.1961</w:t>
            </w:r>
            <w:r>
              <w:rPr>
                <w:rFonts w:eastAsia="Times New Roman"/>
                <w:vertAlign w:val="superscript"/>
              </w:rPr>
              <w:t>***</w:t>
            </w:r>
          </w:p>
        </w:tc>
      </w:tr>
      <w:tr w:rsidR="007820B7" w14:paraId="2F19F617" w14:textId="77777777" w:rsidTr="00CE56E8">
        <w:trPr>
          <w:tblCellSpacing w:w="15" w:type="dxa"/>
          <w:jc w:val="center"/>
        </w:trPr>
        <w:tc>
          <w:tcPr>
            <w:tcW w:w="0" w:type="auto"/>
            <w:vAlign w:val="center"/>
            <w:hideMark/>
          </w:tcPr>
          <w:p w14:paraId="2C950BCC" w14:textId="77777777" w:rsidR="007820B7" w:rsidRDefault="007820B7" w:rsidP="006B33E3">
            <w:pPr>
              <w:jc w:val="center"/>
              <w:rPr>
                <w:rFonts w:eastAsia="Times New Roman"/>
              </w:rPr>
            </w:pPr>
          </w:p>
        </w:tc>
        <w:tc>
          <w:tcPr>
            <w:tcW w:w="0" w:type="auto"/>
            <w:vAlign w:val="center"/>
            <w:hideMark/>
          </w:tcPr>
          <w:p w14:paraId="6CF24914" w14:textId="77777777" w:rsidR="007820B7" w:rsidRDefault="007820B7" w:rsidP="006B33E3">
            <w:pPr>
              <w:jc w:val="center"/>
              <w:rPr>
                <w:rFonts w:eastAsia="Times New Roman"/>
              </w:rPr>
            </w:pPr>
            <w:r>
              <w:rPr>
                <w:rFonts w:eastAsia="Times New Roman"/>
              </w:rPr>
              <w:t>(0.7048)</w:t>
            </w:r>
          </w:p>
        </w:tc>
        <w:tc>
          <w:tcPr>
            <w:tcW w:w="0" w:type="auto"/>
            <w:vAlign w:val="center"/>
            <w:hideMark/>
          </w:tcPr>
          <w:p w14:paraId="25EA7868" w14:textId="77777777" w:rsidR="007820B7" w:rsidRDefault="007820B7" w:rsidP="006B33E3">
            <w:pPr>
              <w:jc w:val="center"/>
              <w:rPr>
                <w:rFonts w:eastAsia="Times New Roman"/>
              </w:rPr>
            </w:pPr>
            <w:r>
              <w:rPr>
                <w:rFonts w:eastAsia="Times New Roman"/>
              </w:rPr>
              <w:t>(0.7007)</w:t>
            </w:r>
          </w:p>
        </w:tc>
      </w:tr>
      <w:tr w:rsidR="007820B7" w14:paraId="2A00A42A" w14:textId="77777777" w:rsidTr="00CE56E8">
        <w:trPr>
          <w:tblCellSpacing w:w="15" w:type="dxa"/>
          <w:jc w:val="center"/>
        </w:trPr>
        <w:tc>
          <w:tcPr>
            <w:tcW w:w="0" w:type="auto"/>
            <w:vAlign w:val="center"/>
            <w:hideMark/>
          </w:tcPr>
          <w:p w14:paraId="12028EB3" w14:textId="77777777" w:rsidR="007820B7" w:rsidRDefault="007820B7" w:rsidP="006B33E3">
            <w:pPr>
              <w:jc w:val="left"/>
              <w:rPr>
                <w:rFonts w:eastAsia="Times New Roman"/>
              </w:rPr>
            </w:pPr>
            <w:r>
              <w:rPr>
                <w:rFonts w:eastAsia="Times New Roman"/>
              </w:rPr>
              <w:t>Tenor</w:t>
            </w:r>
          </w:p>
        </w:tc>
        <w:tc>
          <w:tcPr>
            <w:tcW w:w="0" w:type="auto"/>
            <w:vAlign w:val="center"/>
            <w:hideMark/>
          </w:tcPr>
          <w:p w14:paraId="0729214D" w14:textId="77777777" w:rsidR="007820B7" w:rsidRDefault="007820B7" w:rsidP="006B33E3">
            <w:pPr>
              <w:rPr>
                <w:rFonts w:eastAsia="Times New Roman"/>
              </w:rPr>
            </w:pPr>
          </w:p>
        </w:tc>
        <w:tc>
          <w:tcPr>
            <w:tcW w:w="0" w:type="auto"/>
            <w:vAlign w:val="center"/>
            <w:hideMark/>
          </w:tcPr>
          <w:p w14:paraId="4FEF4A42" w14:textId="77777777" w:rsidR="007820B7" w:rsidRDefault="007820B7" w:rsidP="006B33E3">
            <w:pPr>
              <w:jc w:val="center"/>
              <w:rPr>
                <w:rFonts w:eastAsia="Times New Roman"/>
              </w:rPr>
            </w:pPr>
            <w:r>
              <w:rPr>
                <w:rFonts w:eastAsia="Times New Roman"/>
              </w:rPr>
              <w:t>0.0305</w:t>
            </w:r>
            <w:r>
              <w:rPr>
                <w:rFonts w:eastAsia="Times New Roman"/>
                <w:vertAlign w:val="superscript"/>
              </w:rPr>
              <w:t>***</w:t>
            </w:r>
          </w:p>
        </w:tc>
      </w:tr>
      <w:tr w:rsidR="007820B7" w14:paraId="26378A9A" w14:textId="77777777" w:rsidTr="00CE56E8">
        <w:trPr>
          <w:tblCellSpacing w:w="15" w:type="dxa"/>
          <w:jc w:val="center"/>
        </w:trPr>
        <w:tc>
          <w:tcPr>
            <w:tcW w:w="0" w:type="auto"/>
            <w:vAlign w:val="center"/>
            <w:hideMark/>
          </w:tcPr>
          <w:p w14:paraId="75A69F18" w14:textId="77777777" w:rsidR="007820B7" w:rsidRDefault="007820B7" w:rsidP="006B33E3">
            <w:pPr>
              <w:jc w:val="center"/>
              <w:rPr>
                <w:rFonts w:eastAsia="Times New Roman"/>
              </w:rPr>
            </w:pPr>
          </w:p>
        </w:tc>
        <w:tc>
          <w:tcPr>
            <w:tcW w:w="0" w:type="auto"/>
            <w:vAlign w:val="center"/>
            <w:hideMark/>
          </w:tcPr>
          <w:p w14:paraId="143252A2" w14:textId="77777777" w:rsidR="007820B7" w:rsidRDefault="007820B7" w:rsidP="006B33E3">
            <w:pPr>
              <w:rPr>
                <w:rFonts w:eastAsia="Times New Roman"/>
                <w:sz w:val="20"/>
                <w:szCs w:val="20"/>
              </w:rPr>
            </w:pPr>
          </w:p>
        </w:tc>
        <w:tc>
          <w:tcPr>
            <w:tcW w:w="0" w:type="auto"/>
            <w:vAlign w:val="center"/>
            <w:hideMark/>
          </w:tcPr>
          <w:p w14:paraId="6998CE84" w14:textId="77777777" w:rsidR="007820B7" w:rsidRDefault="007820B7" w:rsidP="006B33E3">
            <w:pPr>
              <w:jc w:val="center"/>
              <w:rPr>
                <w:rFonts w:eastAsia="Times New Roman"/>
              </w:rPr>
            </w:pPr>
            <w:r>
              <w:rPr>
                <w:rFonts w:eastAsia="Times New Roman"/>
              </w:rPr>
              <w:t>(0.0089)</w:t>
            </w:r>
          </w:p>
        </w:tc>
      </w:tr>
      <w:tr w:rsidR="007820B7" w14:paraId="0B62F20D" w14:textId="77777777" w:rsidTr="00CE56E8">
        <w:trPr>
          <w:tblCellSpacing w:w="15" w:type="dxa"/>
          <w:jc w:val="center"/>
        </w:trPr>
        <w:tc>
          <w:tcPr>
            <w:tcW w:w="0" w:type="auto"/>
            <w:vAlign w:val="center"/>
            <w:hideMark/>
          </w:tcPr>
          <w:p w14:paraId="3BCCF7F5" w14:textId="77777777" w:rsidR="007820B7" w:rsidRDefault="007820B7" w:rsidP="006B33E3">
            <w:pPr>
              <w:jc w:val="left"/>
              <w:rPr>
                <w:rFonts w:eastAsia="Times New Roman"/>
              </w:rPr>
            </w:pPr>
            <w:r>
              <w:rPr>
                <w:rFonts w:eastAsia="Times New Roman"/>
              </w:rPr>
              <w:t>Log Notional</w:t>
            </w:r>
          </w:p>
        </w:tc>
        <w:tc>
          <w:tcPr>
            <w:tcW w:w="0" w:type="auto"/>
            <w:vAlign w:val="center"/>
            <w:hideMark/>
          </w:tcPr>
          <w:p w14:paraId="41514CD1" w14:textId="77777777" w:rsidR="007820B7" w:rsidRDefault="007820B7" w:rsidP="006B33E3">
            <w:pPr>
              <w:rPr>
                <w:rFonts w:eastAsia="Times New Roman"/>
              </w:rPr>
            </w:pPr>
          </w:p>
        </w:tc>
        <w:tc>
          <w:tcPr>
            <w:tcW w:w="0" w:type="auto"/>
            <w:vAlign w:val="center"/>
            <w:hideMark/>
          </w:tcPr>
          <w:p w14:paraId="66FCCD75" w14:textId="77777777" w:rsidR="007820B7" w:rsidRDefault="007820B7" w:rsidP="006B33E3">
            <w:pPr>
              <w:jc w:val="center"/>
              <w:rPr>
                <w:rFonts w:eastAsia="Times New Roman"/>
              </w:rPr>
            </w:pPr>
            <w:r>
              <w:rPr>
                <w:rFonts w:eastAsia="Times New Roman"/>
              </w:rPr>
              <w:t>0.6367</w:t>
            </w:r>
            <w:r>
              <w:rPr>
                <w:rFonts w:eastAsia="Times New Roman"/>
                <w:vertAlign w:val="superscript"/>
              </w:rPr>
              <w:t>***</w:t>
            </w:r>
          </w:p>
        </w:tc>
      </w:tr>
      <w:tr w:rsidR="007820B7" w14:paraId="61A8B258" w14:textId="77777777" w:rsidTr="00CE56E8">
        <w:trPr>
          <w:tblCellSpacing w:w="15" w:type="dxa"/>
          <w:jc w:val="center"/>
        </w:trPr>
        <w:tc>
          <w:tcPr>
            <w:tcW w:w="0" w:type="auto"/>
            <w:vAlign w:val="center"/>
            <w:hideMark/>
          </w:tcPr>
          <w:p w14:paraId="6DEC8974" w14:textId="77777777" w:rsidR="007820B7" w:rsidRDefault="007820B7" w:rsidP="006B33E3">
            <w:pPr>
              <w:jc w:val="center"/>
              <w:rPr>
                <w:rFonts w:eastAsia="Times New Roman"/>
              </w:rPr>
            </w:pPr>
          </w:p>
        </w:tc>
        <w:tc>
          <w:tcPr>
            <w:tcW w:w="0" w:type="auto"/>
            <w:vAlign w:val="center"/>
            <w:hideMark/>
          </w:tcPr>
          <w:p w14:paraId="266211D7" w14:textId="77777777" w:rsidR="007820B7" w:rsidRDefault="007820B7" w:rsidP="006B33E3">
            <w:pPr>
              <w:rPr>
                <w:rFonts w:eastAsia="Times New Roman"/>
                <w:sz w:val="20"/>
                <w:szCs w:val="20"/>
              </w:rPr>
            </w:pPr>
          </w:p>
        </w:tc>
        <w:tc>
          <w:tcPr>
            <w:tcW w:w="0" w:type="auto"/>
            <w:vAlign w:val="center"/>
            <w:hideMark/>
          </w:tcPr>
          <w:p w14:paraId="1B5331C2" w14:textId="77777777" w:rsidR="007820B7" w:rsidRDefault="007820B7" w:rsidP="006B33E3">
            <w:pPr>
              <w:jc w:val="center"/>
              <w:rPr>
                <w:rFonts w:eastAsia="Times New Roman"/>
              </w:rPr>
            </w:pPr>
            <w:r>
              <w:rPr>
                <w:rFonts w:eastAsia="Times New Roman"/>
              </w:rPr>
              <w:t>(0.0693)</w:t>
            </w:r>
          </w:p>
        </w:tc>
      </w:tr>
      <w:tr w:rsidR="007820B7" w14:paraId="3FD4F383" w14:textId="77777777" w:rsidTr="00CE56E8">
        <w:trPr>
          <w:tblCellSpacing w:w="15" w:type="dxa"/>
          <w:jc w:val="center"/>
        </w:trPr>
        <w:tc>
          <w:tcPr>
            <w:tcW w:w="0" w:type="auto"/>
            <w:vAlign w:val="center"/>
            <w:hideMark/>
          </w:tcPr>
          <w:p w14:paraId="1FCED621" w14:textId="77777777" w:rsidR="007820B7" w:rsidRDefault="007820B7" w:rsidP="006B33E3">
            <w:pPr>
              <w:jc w:val="left"/>
              <w:rPr>
                <w:rFonts w:eastAsia="Times New Roman"/>
              </w:rPr>
            </w:pPr>
            <w:r>
              <w:rPr>
                <w:rFonts w:eastAsia="Times New Roman"/>
              </w:rPr>
              <w:t>Capped</w:t>
            </w:r>
          </w:p>
        </w:tc>
        <w:tc>
          <w:tcPr>
            <w:tcW w:w="0" w:type="auto"/>
            <w:vAlign w:val="center"/>
            <w:hideMark/>
          </w:tcPr>
          <w:p w14:paraId="5CF962A3" w14:textId="77777777" w:rsidR="007820B7" w:rsidRDefault="007820B7" w:rsidP="006B33E3">
            <w:pPr>
              <w:rPr>
                <w:rFonts w:eastAsia="Times New Roman"/>
              </w:rPr>
            </w:pPr>
          </w:p>
        </w:tc>
        <w:tc>
          <w:tcPr>
            <w:tcW w:w="0" w:type="auto"/>
            <w:vAlign w:val="center"/>
            <w:hideMark/>
          </w:tcPr>
          <w:p w14:paraId="6649FF53" w14:textId="77777777" w:rsidR="007820B7" w:rsidRDefault="007820B7" w:rsidP="006B33E3">
            <w:pPr>
              <w:jc w:val="center"/>
              <w:rPr>
                <w:rFonts w:eastAsia="Times New Roman"/>
              </w:rPr>
            </w:pPr>
            <w:r>
              <w:rPr>
                <w:rFonts w:eastAsia="Times New Roman"/>
              </w:rPr>
              <w:t>-0.7166</w:t>
            </w:r>
            <w:r>
              <w:rPr>
                <w:rFonts w:eastAsia="Times New Roman"/>
                <w:vertAlign w:val="superscript"/>
              </w:rPr>
              <w:t>***</w:t>
            </w:r>
          </w:p>
        </w:tc>
      </w:tr>
      <w:tr w:rsidR="007820B7" w14:paraId="17ED2D2C" w14:textId="77777777" w:rsidTr="00CE56E8">
        <w:trPr>
          <w:tblCellSpacing w:w="15" w:type="dxa"/>
          <w:jc w:val="center"/>
        </w:trPr>
        <w:tc>
          <w:tcPr>
            <w:tcW w:w="0" w:type="auto"/>
            <w:vAlign w:val="center"/>
            <w:hideMark/>
          </w:tcPr>
          <w:p w14:paraId="678EB2B1" w14:textId="77777777" w:rsidR="007820B7" w:rsidRDefault="007820B7" w:rsidP="006B33E3">
            <w:pPr>
              <w:jc w:val="center"/>
              <w:rPr>
                <w:rFonts w:eastAsia="Times New Roman"/>
              </w:rPr>
            </w:pPr>
          </w:p>
        </w:tc>
        <w:tc>
          <w:tcPr>
            <w:tcW w:w="0" w:type="auto"/>
            <w:vAlign w:val="center"/>
            <w:hideMark/>
          </w:tcPr>
          <w:p w14:paraId="686A22CA" w14:textId="77777777" w:rsidR="007820B7" w:rsidRDefault="007820B7" w:rsidP="006B33E3">
            <w:pPr>
              <w:rPr>
                <w:rFonts w:eastAsia="Times New Roman"/>
                <w:sz w:val="20"/>
                <w:szCs w:val="20"/>
              </w:rPr>
            </w:pPr>
          </w:p>
        </w:tc>
        <w:tc>
          <w:tcPr>
            <w:tcW w:w="0" w:type="auto"/>
            <w:vAlign w:val="center"/>
            <w:hideMark/>
          </w:tcPr>
          <w:p w14:paraId="4AC58E34" w14:textId="77777777" w:rsidR="007820B7" w:rsidRDefault="007820B7" w:rsidP="006B33E3">
            <w:pPr>
              <w:jc w:val="center"/>
              <w:rPr>
                <w:rFonts w:eastAsia="Times New Roman"/>
              </w:rPr>
            </w:pPr>
            <w:r>
              <w:rPr>
                <w:rFonts w:eastAsia="Times New Roman"/>
              </w:rPr>
              <w:t>(0.1920)</w:t>
            </w:r>
          </w:p>
        </w:tc>
      </w:tr>
      <w:tr w:rsidR="007820B7" w14:paraId="28CA440B" w14:textId="77777777" w:rsidTr="00CE56E8">
        <w:trPr>
          <w:tblCellSpacing w:w="15" w:type="dxa"/>
          <w:jc w:val="center"/>
        </w:trPr>
        <w:tc>
          <w:tcPr>
            <w:tcW w:w="0" w:type="auto"/>
            <w:vAlign w:val="center"/>
            <w:hideMark/>
          </w:tcPr>
          <w:p w14:paraId="00EAA105" w14:textId="77777777" w:rsidR="007820B7" w:rsidRDefault="007820B7" w:rsidP="006B33E3">
            <w:pPr>
              <w:jc w:val="left"/>
              <w:rPr>
                <w:rFonts w:eastAsia="Times New Roman"/>
              </w:rPr>
            </w:pPr>
            <w:r>
              <w:rPr>
                <w:rFonts w:eastAsia="Times New Roman"/>
              </w:rPr>
              <w:t>SEF</w:t>
            </w:r>
          </w:p>
        </w:tc>
        <w:tc>
          <w:tcPr>
            <w:tcW w:w="0" w:type="auto"/>
            <w:vAlign w:val="center"/>
            <w:hideMark/>
          </w:tcPr>
          <w:p w14:paraId="442FDA7D" w14:textId="77777777" w:rsidR="007820B7" w:rsidRDefault="007820B7" w:rsidP="006B33E3">
            <w:pPr>
              <w:rPr>
                <w:rFonts w:eastAsia="Times New Roman"/>
              </w:rPr>
            </w:pPr>
          </w:p>
        </w:tc>
        <w:tc>
          <w:tcPr>
            <w:tcW w:w="0" w:type="auto"/>
            <w:vAlign w:val="center"/>
            <w:hideMark/>
          </w:tcPr>
          <w:p w14:paraId="7ADDC48D" w14:textId="77777777" w:rsidR="007820B7" w:rsidRDefault="007820B7" w:rsidP="006B33E3">
            <w:pPr>
              <w:jc w:val="center"/>
              <w:rPr>
                <w:rFonts w:eastAsia="Times New Roman"/>
              </w:rPr>
            </w:pPr>
            <w:r>
              <w:rPr>
                <w:rFonts w:eastAsia="Times New Roman"/>
              </w:rPr>
              <w:t>0.4531</w:t>
            </w:r>
          </w:p>
        </w:tc>
      </w:tr>
      <w:tr w:rsidR="007820B7" w14:paraId="738C0A47" w14:textId="77777777" w:rsidTr="00CE56E8">
        <w:trPr>
          <w:tblCellSpacing w:w="15" w:type="dxa"/>
          <w:jc w:val="center"/>
        </w:trPr>
        <w:tc>
          <w:tcPr>
            <w:tcW w:w="0" w:type="auto"/>
            <w:vAlign w:val="center"/>
            <w:hideMark/>
          </w:tcPr>
          <w:p w14:paraId="72A12658" w14:textId="77777777" w:rsidR="007820B7" w:rsidRDefault="007820B7" w:rsidP="006B33E3">
            <w:pPr>
              <w:jc w:val="center"/>
              <w:rPr>
                <w:rFonts w:eastAsia="Times New Roman"/>
              </w:rPr>
            </w:pPr>
          </w:p>
        </w:tc>
        <w:tc>
          <w:tcPr>
            <w:tcW w:w="0" w:type="auto"/>
            <w:vAlign w:val="center"/>
            <w:hideMark/>
          </w:tcPr>
          <w:p w14:paraId="2B4901B2" w14:textId="77777777" w:rsidR="007820B7" w:rsidRDefault="007820B7" w:rsidP="006B33E3">
            <w:pPr>
              <w:rPr>
                <w:rFonts w:eastAsia="Times New Roman"/>
                <w:sz w:val="20"/>
                <w:szCs w:val="20"/>
              </w:rPr>
            </w:pPr>
          </w:p>
        </w:tc>
        <w:tc>
          <w:tcPr>
            <w:tcW w:w="0" w:type="auto"/>
            <w:vAlign w:val="center"/>
            <w:hideMark/>
          </w:tcPr>
          <w:p w14:paraId="2AD2C994" w14:textId="77777777" w:rsidR="007820B7" w:rsidRDefault="007820B7" w:rsidP="006B33E3">
            <w:pPr>
              <w:jc w:val="center"/>
              <w:rPr>
                <w:rFonts w:eastAsia="Times New Roman"/>
              </w:rPr>
            </w:pPr>
            <w:r>
              <w:rPr>
                <w:rFonts w:eastAsia="Times New Roman"/>
              </w:rPr>
              <w:t>(2.5989)</w:t>
            </w:r>
          </w:p>
        </w:tc>
      </w:tr>
      <w:tr w:rsidR="007820B7" w14:paraId="58694BB1" w14:textId="77777777" w:rsidTr="00CE56E8">
        <w:trPr>
          <w:tblCellSpacing w:w="15" w:type="dxa"/>
          <w:jc w:val="center"/>
        </w:trPr>
        <w:tc>
          <w:tcPr>
            <w:tcW w:w="0" w:type="auto"/>
            <w:vAlign w:val="center"/>
            <w:hideMark/>
          </w:tcPr>
          <w:p w14:paraId="5E734BFD" w14:textId="77777777" w:rsidR="007820B7" w:rsidRDefault="007820B7" w:rsidP="006B33E3">
            <w:pPr>
              <w:jc w:val="left"/>
              <w:rPr>
                <w:rFonts w:eastAsia="Times New Roman"/>
              </w:rPr>
            </w:pPr>
            <w:r>
              <w:rPr>
                <w:rFonts w:eastAsia="Times New Roman"/>
              </w:rPr>
              <w:t>Morning Session</w:t>
            </w:r>
          </w:p>
        </w:tc>
        <w:tc>
          <w:tcPr>
            <w:tcW w:w="0" w:type="auto"/>
            <w:vAlign w:val="center"/>
            <w:hideMark/>
          </w:tcPr>
          <w:p w14:paraId="08370F0B" w14:textId="77777777" w:rsidR="007820B7" w:rsidRDefault="007820B7" w:rsidP="006B33E3">
            <w:pPr>
              <w:rPr>
                <w:rFonts w:eastAsia="Times New Roman"/>
              </w:rPr>
            </w:pPr>
          </w:p>
        </w:tc>
        <w:tc>
          <w:tcPr>
            <w:tcW w:w="0" w:type="auto"/>
            <w:vAlign w:val="center"/>
            <w:hideMark/>
          </w:tcPr>
          <w:p w14:paraId="4348BC36" w14:textId="77777777" w:rsidR="007820B7" w:rsidRDefault="007820B7" w:rsidP="006B33E3">
            <w:pPr>
              <w:jc w:val="center"/>
              <w:rPr>
                <w:rFonts w:eastAsia="Times New Roman"/>
              </w:rPr>
            </w:pPr>
            <w:r>
              <w:rPr>
                <w:rFonts w:eastAsia="Times New Roman"/>
              </w:rPr>
              <w:t>-0.9881</w:t>
            </w:r>
            <w:r>
              <w:rPr>
                <w:rFonts w:eastAsia="Times New Roman"/>
                <w:vertAlign w:val="superscript"/>
              </w:rPr>
              <w:t>***</w:t>
            </w:r>
          </w:p>
        </w:tc>
      </w:tr>
      <w:tr w:rsidR="007820B7" w14:paraId="72796653" w14:textId="77777777" w:rsidTr="00CE56E8">
        <w:trPr>
          <w:tblCellSpacing w:w="15" w:type="dxa"/>
          <w:jc w:val="center"/>
        </w:trPr>
        <w:tc>
          <w:tcPr>
            <w:tcW w:w="0" w:type="auto"/>
            <w:vAlign w:val="center"/>
            <w:hideMark/>
          </w:tcPr>
          <w:p w14:paraId="5A89AA9A" w14:textId="77777777" w:rsidR="007820B7" w:rsidRDefault="007820B7" w:rsidP="006B33E3">
            <w:pPr>
              <w:jc w:val="center"/>
              <w:rPr>
                <w:rFonts w:eastAsia="Times New Roman"/>
              </w:rPr>
            </w:pPr>
          </w:p>
        </w:tc>
        <w:tc>
          <w:tcPr>
            <w:tcW w:w="0" w:type="auto"/>
            <w:vAlign w:val="center"/>
            <w:hideMark/>
          </w:tcPr>
          <w:p w14:paraId="6E62C5F6" w14:textId="77777777" w:rsidR="007820B7" w:rsidRDefault="007820B7" w:rsidP="006B33E3">
            <w:pPr>
              <w:rPr>
                <w:rFonts w:eastAsia="Times New Roman"/>
                <w:sz w:val="20"/>
                <w:szCs w:val="20"/>
              </w:rPr>
            </w:pPr>
          </w:p>
        </w:tc>
        <w:tc>
          <w:tcPr>
            <w:tcW w:w="0" w:type="auto"/>
            <w:vAlign w:val="center"/>
            <w:hideMark/>
          </w:tcPr>
          <w:p w14:paraId="5E515D69" w14:textId="77777777" w:rsidR="007820B7" w:rsidRDefault="007820B7" w:rsidP="006B33E3">
            <w:pPr>
              <w:jc w:val="center"/>
              <w:rPr>
                <w:rFonts w:eastAsia="Times New Roman"/>
              </w:rPr>
            </w:pPr>
            <w:r>
              <w:rPr>
                <w:rFonts w:eastAsia="Times New Roman"/>
              </w:rPr>
              <w:t>(0.1916)</w:t>
            </w:r>
          </w:p>
        </w:tc>
      </w:tr>
      <w:tr w:rsidR="007820B7" w14:paraId="71B4B097" w14:textId="77777777" w:rsidTr="00CE56E8">
        <w:trPr>
          <w:tblCellSpacing w:w="15" w:type="dxa"/>
          <w:jc w:val="center"/>
        </w:trPr>
        <w:tc>
          <w:tcPr>
            <w:tcW w:w="0" w:type="auto"/>
            <w:vAlign w:val="center"/>
            <w:hideMark/>
          </w:tcPr>
          <w:p w14:paraId="36576E8C" w14:textId="77777777" w:rsidR="007820B7" w:rsidRDefault="007820B7" w:rsidP="006B33E3">
            <w:pPr>
              <w:jc w:val="left"/>
              <w:rPr>
                <w:rFonts w:eastAsia="Times New Roman"/>
              </w:rPr>
            </w:pPr>
            <w:r>
              <w:rPr>
                <w:rFonts w:eastAsia="Times New Roman"/>
              </w:rPr>
              <w:t>Afternoon Session</w:t>
            </w:r>
          </w:p>
        </w:tc>
        <w:tc>
          <w:tcPr>
            <w:tcW w:w="0" w:type="auto"/>
            <w:vAlign w:val="center"/>
            <w:hideMark/>
          </w:tcPr>
          <w:p w14:paraId="5338B604" w14:textId="77777777" w:rsidR="007820B7" w:rsidRDefault="007820B7" w:rsidP="006B33E3">
            <w:pPr>
              <w:rPr>
                <w:rFonts w:eastAsia="Times New Roman"/>
              </w:rPr>
            </w:pPr>
          </w:p>
        </w:tc>
        <w:tc>
          <w:tcPr>
            <w:tcW w:w="0" w:type="auto"/>
            <w:vAlign w:val="center"/>
            <w:hideMark/>
          </w:tcPr>
          <w:p w14:paraId="41ABAA65" w14:textId="77777777" w:rsidR="007820B7" w:rsidRDefault="007820B7" w:rsidP="006B33E3">
            <w:pPr>
              <w:jc w:val="center"/>
              <w:rPr>
                <w:rFonts w:eastAsia="Times New Roman"/>
              </w:rPr>
            </w:pPr>
            <w:r>
              <w:rPr>
                <w:rFonts w:eastAsia="Times New Roman"/>
              </w:rPr>
              <w:t>-1.1930</w:t>
            </w:r>
            <w:r>
              <w:rPr>
                <w:rFonts w:eastAsia="Times New Roman"/>
                <w:vertAlign w:val="superscript"/>
              </w:rPr>
              <w:t>***</w:t>
            </w:r>
          </w:p>
        </w:tc>
      </w:tr>
      <w:tr w:rsidR="007820B7" w14:paraId="31B01919" w14:textId="77777777" w:rsidTr="00CE56E8">
        <w:trPr>
          <w:tblCellSpacing w:w="15" w:type="dxa"/>
          <w:jc w:val="center"/>
        </w:trPr>
        <w:tc>
          <w:tcPr>
            <w:tcW w:w="0" w:type="auto"/>
            <w:vAlign w:val="center"/>
            <w:hideMark/>
          </w:tcPr>
          <w:p w14:paraId="3BE79122" w14:textId="77777777" w:rsidR="007820B7" w:rsidRDefault="007820B7" w:rsidP="006B33E3">
            <w:pPr>
              <w:jc w:val="center"/>
              <w:rPr>
                <w:rFonts w:eastAsia="Times New Roman"/>
              </w:rPr>
            </w:pPr>
          </w:p>
        </w:tc>
        <w:tc>
          <w:tcPr>
            <w:tcW w:w="0" w:type="auto"/>
            <w:vAlign w:val="center"/>
            <w:hideMark/>
          </w:tcPr>
          <w:p w14:paraId="3DB79DFE" w14:textId="77777777" w:rsidR="007820B7" w:rsidRDefault="007820B7" w:rsidP="006B33E3">
            <w:pPr>
              <w:rPr>
                <w:rFonts w:eastAsia="Times New Roman"/>
                <w:sz w:val="20"/>
                <w:szCs w:val="20"/>
              </w:rPr>
            </w:pPr>
          </w:p>
        </w:tc>
        <w:tc>
          <w:tcPr>
            <w:tcW w:w="0" w:type="auto"/>
            <w:vAlign w:val="center"/>
            <w:hideMark/>
          </w:tcPr>
          <w:p w14:paraId="4834EE8B" w14:textId="77777777" w:rsidR="007820B7" w:rsidRDefault="007820B7" w:rsidP="006B33E3">
            <w:pPr>
              <w:jc w:val="center"/>
              <w:rPr>
                <w:rFonts w:eastAsia="Times New Roman"/>
              </w:rPr>
            </w:pPr>
            <w:r>
              <w:rPr>
                <w:rFonts w:eastAsia="Times New Roman"/>
              </w:rPr>
              <w:t>(0.1877)</w:t>
            </w:r>
          </w:p>
        </w:tc>
      </w:tr>
      <w:tr w:rsidR="007820B7" w14:paraId="7342618E" w14:textId="77777777" w:rsidTr="00CE56E8">
        <w:trPr>
          <w:tblCellSpacing w:w="15" w:type="dxa"/>
          <w:jc w:val="center"/>
        </w:trPr>
        <w:tc>
          <w:tcPr>
            <w:tcW w:w="0" w:type="auto"/>
            <w:vAlign w:val="center"/>
            <w:hideMark/>
          </w:tcPr>
          <w:p w14:paraId="4BBF9C50" w14:textId="77777777" w:rsidR="007820B7" w:rsidRDefault="007820B7" w:rsidP="006B33E3">
            <w:pPr>
              <w:jc w:val="left"/>
              <w:rPr>
                <w:rFonts w:eastAsia="Times New Roman"/>
              </w:rPr>
            </w:pPr>
            <w:r>
              <w:rPr>
                <w:rFonts w:eastAsia="Times New Roman"/>
              </w:rPr>
              <w:t>Off Hours</w:t>
            </w:r>
          </w:p>
        </w:tc>
        <w:tc>
          <w:tcPr>
            <w:tcW w:w="0" w:type="auto"/>
            <w:vAlign w:val="center"/>
            <w:hideMark/>
          </w:tcPr>
          <w:p w14:paraId="10DC86CD" w14:textId="77777777" w:rsidR="007820B7" w:rsidRDefault="007820B7" w:rsidP="006B33E3">
            <w:pPr>
              <w:rPr>
                <w:rFonts w:eastAsia="Times New Roman"/>
              </w:rPr>
            </w:pPr>
          </w:p>
        </w:tc>
        <w:tc>
          <w:tcPr>
            <w:tcW w:w="0" w:type="auto"/>
            <w:vAlign w:val="center"/>
            <w:hideMark/>
          </w:tcPr>
          <w:p w14:paraId="772C22DD" w14:textId="77777777" w:rsidR="007820B7" w:rsidRDefault="007820B7" w:rsidP="006B33E3">
            <w:pPr>
              <w:jc w:val="center"/>
              <w:rPr>
                <w:rFonts w:eastAsia="Times New Roman"/>
              </w:rPr>
            </w:pPr>
            <w:r>
              <w:rPr>
                <w:rFonts w:eastAsia="Times New Roman"/>
              </w:rPr>
              <w:t>-1.2874</w:t>
            </w:r>
            <w:r>
              <w:rPr>
                <w:rFonts w:eastAsia="Times New Roman"/>
                <w:vertAlign w:val="superscript"/>
              </w:rPr>
              <w:t>***</w:t>
            </w:r>
          </w:p>
        </w:tc>
      </w:tr>
      <w:tr w:rsidR="007820B7" w14:paraId="038442EF" w14:textId="77777777" w:rsidTr="00CE56E8">
        <w:trPr>
          <w:tblCellSpacing w:w="15" w:type="dxa"/>
          <w:jc w:val="center"/>
        </w:trPr>
        <w:tc>
          <w:tcPr>
            <w:tcW w:w="0" w:type="auto"/>
            <w:vAlign w:val="center"/>
            <w:hideMark/>
          </w:tcPr>
          <w:p w14:paraId="54A58CBB" w14:textId="77777777" w:rsidR="007820B7" w:rsidRDefault="007820B7" w:rsidP="006B33E3">
            <w:pPr>
              <w:jc w:val="center"/>
              <w:rPr>
                <w:rFonts w:eastAsia="Times New Roman"/>
              </w:rPr>
            </w:pPr>
          </w:p>
        </w:tc>
        <w:tc>
          <w:tcPr>
            <w:tcW w:w="0" w:type="auto"/>
            <w:vAlign w:val="center"/>
            <w:hideMark/>
          </w:tcPr>
          <w:p w14:paraId="6E14BD6B" w14:textId="77777777" w:rsidR="007820B7" w:rsidRDefault="007820B7" w:rsidP="006B33E3">
            <w:pPr>
              <w:rPr>
                <w:rFonts w:eastAsia="Times New Roman"/>
                <w:sz w:val="20"/>
                <w:szCs w:val="20"/>
              </w:rPr>
            </w:pPr>
          </w:p>
        </w:tc>
        <w:tc>
          <w:tcPr>
            <w:tcW w:w="0" w:type="auto"/>
            <w:vAlign w:val="center"/>
            <w:hideMark/>
          </w:tcPr>
          <w:p w14:paraId="2CB3A9C2" w14:textId="77777777" w:rsidR="007820B7" w:rsidRDefault="007820B7" w:rsidP="006B33E3">
            <w:pPr>
              <w:jc w:val="center"/>
              <w:rPr>
                <w:rFonts w:eastAsia="Times New Roman"/>
              </w:rPr>
            </w:pPr>
            <w:r>
              <w:rPr>
                <w:rFonts w:eastAsia="Times New Roman"/>
              </w:rPr>
              <w:t>(0.2193)</w:t>
            </w:r>
          </w:p>
        </w:tc>
      </w:tr>
      <w:tr w:rsidR="007820B7" w14:paraId="2E10C1FB" w14:textId="77777777" w:rsidTr="00CE56E8">
        <w:trPr>
          <w:tblCellSpacing w:w="15" w:type="dxa"/>
          <w:jc w:val="center"/>
        </w:trPr>
        <w:tc>
          <w:tcPr>
            <w:tcW w:w="0" w:type="auto"/>
            <w:vAlign w:val="center"/>
            <w:hideMark/>
          </w:tcPr>
          <w:p w14:paraId="04087AEF" w14:textId="77777777" w:rsidR="007820B7" w:rsidRDefault="007820B7" w:rsidP="006B33E3">
            <w:pPr>
              <w:jc w:val="left"/>
              <w:rPr>
                <w:rFonts w:eastAsia="Times New Roman"/>
              </w:rPr>
            </w:pPr>
            <w:r>
              <w:rPr>
                <w:rFonts w:eastAsia="Times New Roman"/>
              </w:rPr>
              <w:t>Monday</w:t>
            </w:r>
          </w:p>
        </w:tc>
        <w:tc>
          <w:tcPr>
            <w:tcW w:w="0" w:type="auto"/>
            <w:vAlign w:val="center"/>
            <w:hideMark/>
          </w:tcPr>
          <w:p w14:paraId="5460C777" w14:textId="77777777" w:rsidR="007820B7" w:rsidRDefault="007820B7" w:rsidP="006B33E3">
            <w:pPr>
              <w:rPr>
                <w:rFonts w:eastAsia="Times New Roman"/>
              </w:rPr>
            </w:pPr>
          </w:p>
        </w:tc>
        <w:tc>
          <w:tcPr>
            <w:tcW w:w="0" w:type="auto"/>
            <w:vAlign w:val="center"/>
            <w:hideMark/>
          </w:tcPr>
          <w:p w14:paraId="1FD0F341" w14:textId="77777777" w:rsidR="007820B7" w:rsidRDefault="007820B7" w:rsidP="006B33E3">
            <w:pPr>
              <w:jc w:val="center"/>
              <w:rPr>
                <w:rFonts w:eastAsia="Times New Roman"/>
              </w:rPr>
            </w:pPr>
            <w:r>
              <w:rPr>
                <w:rFonts w:eastAsia="Times New Roman"/>
              </w:rPr>
              <w:t>2.6462</w:t>
            </w:r>
            <w:r>
              <w:rPr>
                <w:rFonts w:eastAsia="Times New Roman"/>
                <w:vertAlign w:val="superscript"/>
              </w:rPr>
              <w:t>***</w:t>
            </w:r>
          </w:p>
        </w:tc>
      </w:tr>
      <w:tr w:rsidR="007820B7" w14:paraId="175AE730" w14:textId="77777777" w:rsidTr="00CE56E8">
        <w:trPr>
          <w:tblCellSpacing w:w="15" w:type="dxa"/>
          <w:jc w:val="center"/>
        </w:trPr>
        <w:tc>
          <w:tcPr>
            <w:tcW w:w="0" w:type="auto"/>
            <w:vAlign w:val="center"/>
            <w:hideMark/>
          </w:tcPr>
          <w:p w14:paraId="53EE8AF5" w14:textId="77777777" w:rsidR="007820B7" w:rsidRDefault="007820B7" w:rsidP="006B33E3">
            <w:pPr>
              <w:jc w:val="center"/>
              <w:rPr>
                <w:rFonts w:eastAsia="Times New Roman"/>
              </w:rPr>
            </w:pPr>
          </w:p>
        </w:tc>
        <w:tc>
          <w:tcPr>
            <w:tcW w:w="0" w:type="auto"/>
            <w:vAlign w:val="center"/>
            <w:hideMark/>
          </w:tcPr>
          <w:p w14:paraId="0155AB81" w14:textId="77777777" w:rsidR="007820B7" w:rsidRDefault="007820B7" w:rsidP="006B33E3">
            <w:pPr>
              <w:rPr>
                <w:rFonts w:eastAsia="Times New Roman"/>
                <w:sz w:val="20"/>
                <w:szCs w:val="20"/>
              </w:rPr>
            </w:pPr>
          </w:p>
        </w:tc>
        <w:tc>
          <w:tcPr>
            <w:tcW w:w="0" w:type="auto"/>
            <w:vAlign w:val="center"/>
            <w:hideMark/>
          </w:tcPr>
          <w:p w14:paraId="4EA126D0" w14:textId="77777777" w:rsidR="007820B7" w:rsidRDefault="007820B7" w:rsidP="006B33E3">
            <w:pPr>
              <w:jc w:val="center"/>
              <w:rPr>
                <w:rFonts w:eastAsia="Times New Roman"/>
              </w:rPr>
            </w:pPr>
            <w:r>
              <w:rPr>
                <w:rFonts w:eastAsia="Times New Roman"/>
              </w:rPr>
              <w:t>(0.2662)</w:t>
            </w:r>
          </w:p>
        </w:tc>
      </w:tr>
      <w:tr w:rsidR="007820B7" w14:paraId="53635F3A" w14:textId="77777777" w:rsidTr="00CE56E8">
        <w:trPr>
          <w:tblCellSpacing w:w="15" w:type="dxa"/>
          <w:jc w:val="center"/>
        </w:trPr>
        <w:tc>
          <w:tcPr>
            <w:tcW w:w="0" w:type="auto"/>
            <w:vAlign w:val="center"/>
            <w:hideMark/>
          </w:tcPr>
          <w:p w14:paraId="1563D16A" w14:textId="77777777" w:rsidR="007820B7" w:rsidRDefault="007820B7" w:rsidP="006B33E3">
            <w:pPr>
              <w:jc w:val="left"/>
              <w:rPr>
                <w:rFonts w:eastAsia="Times New Roman"/>
              </w:rPr>
            </w:pPr>
            <w:r>
              <w:rPr>
                <w:rFonts w:eastAsia="Times New Roman"/>
              </w:rPr>
              <w:t>Tuesday</w:t>
            </w:r>
          </w:p>
        </w:tc>
        <w:tc>
          <w:tcPr>
            <w:tcW w:w="0" w:type="auto"/>
            <w:vAlign w:val="center"/>
            <w:hideMark/>
          </w:tcPr>
          <w:p w14:paraId="31659318" w14:textId="77777777" w:rsidR="007820B7" w:rsidRDefault="007820B7" w:rsidP="006B33E3">
            <w:pPr>
              <w:rPr>
                <w:rFonts w:eastAsia="Times New Roman"/>
              </w:rPr>
            </w:pPr>
          </w:p>
        </w:tc>
        <w:tc>
          <w:tcPr>
            <w:tcW w:w="0" w:type="auto"/>
            <w:vAlign w:val="center"/>
            <w:hideMark/>
          </w:tcPr>
          <w:p w14:paraId="20C8D36A" w14:textId="77777777" w:rsidR="007820B7" w:rsidRDefault="007820B7" w:rsidP="006B33E3">
            <w:pPr>
              <w:jc w:val="center"/>
              <w:rPr>
                <w:rFonts w:eastAsia="Times New Roman"/>
              </w:rPr>
            </w:pPr>
            <w:r>
              <w:rPr>
                <w:rFonts w:eastAsia="Times New Roman"/>
              </w:rPr>
              <w:t>2.3934</w:t>
            </w:r>
            <w:r>
              <w:rPr>
                <w:rFonts w:eastAsia="Times New Roman"/>
                <w:vertAlign w:val="superscript"/>
              </w:rPr>
              <w:t>***</w:t>
            </w:r>
          </w:p>
        </w:tc>
      </w:tr>
      <w:tr w:rsidR="007820B7" w14:paraId="3482F410" w14:textId="77777777" w:rsidTr="00CE56E8">
        <w:trPr>
          <w:tblCellSpacing w:w="15" w:type="dxa"/>
          <w:jc w:val="center"/>
        </w:trPr>
        <w:tc>
          <w:tcPr>
            <w:tcW w:w="0" w:type="auto"/>
            <w:vAlign w:val="center"/>
            <w:hideMark/>
          </w:tcPr>
          <w:p w14:paraId="2649061E" w14:textId="77777777" w:rsidR="007820B7" w:rsidRDefault="007820B7" w:rsidP="006B33E3">
            <w:pPr>
              <w:jc w:val="center"/>
              <w:rPr>
                <w:rFonts w:eastAsia="Times New Roman"/>
              </w:rPr>
            </w:pPr>
          </w:p>
        </w:tc>
        <w:tc>
          <w:tcPr>
            <w:tcW w:w="0" w:type="auto"/>
            <w:vAlign w:val="center"/>
            <w:hideMark/>
          </w:tcPr>
          <w:p w14:paraId="5A7C82C4" w14:textId="77777777" w:rsidR="007820B7" w:rsidRDefault="007820B7" w:rsidP="006B33E3">
            <w:pPr>
              <w:rPr>
                <w:rFonts w:eastAsia="Times New Roman"/>
                <w:sz w:val="20"/>
                <w:szCs w:val="20"/>
              </w:rPr>
            </w:pPr>
          </w:p>
        </w:tc>
        <w:tc>
          <w:tcPr>
            <w:tcW w:w="0" w:type="auto"/>
            <w:vAlign w:val="center"/>
            <w:hideMark/>
          </w:tcPr>
          <w:p w14:paraId="75B1792F" w14:textId="77777777" w:rsidR="007820B7" w:rsidRDefault="007820B7" w:rsidP="006B33E3">
            <w:pPr>
              <w:jc w:val="center"/>
              <w:rPr>
                <w:rFonts w:eastAsia="Times New Roman"/>
              </w:rPr>
            </w:pPr>
            <w:r>
              <w:rPr>
                <w:rFonts w:eastAsia="Times New Roman"/>
              </w:rPr>
              <w:t>(0.2081)</w:t>
            </w:r>
          </w:p>
        </w:tc>
      </w:tr>
      <w:tr w:rsidR="007820B7" w14:paraId="505AF884" w14:textId="77777777" w:rsidTr="00CE56E8">
        <w:trPr>
          <w:tblCellSpacing w:w="15" w:type="dxa"/>
          <w:jc w:val="center"/>
        </w:trPr>
        <w:tc>
          <w:tcPr>
            <w:tcW w:w="0" w:type="auto"/>
            <w:vAlign w:val="center"/>
            <w:hideMark/>
          </w:tcPr>
          <w:p w14:paraId="1ED9EA8C" w14:textId="77777777" w:rsidR="007820B7" w:rsidRDefault="007820B7" w:rsidP="006B33E3">
            <w:pPr>
              <w:jc w:val="left"/>
              <w:rPr>
                <w:rFonts w:eastAsia="Times New Roman"/>
              </w:rPr>
            </w:pPr>
            <w:r>
              <w:rPr>
                <w:rFonts w:eastAsia="Times New Roman"/>
              </w:rPr>
              <w:t>Thursday</w:t>
            </w:r>
          </w:p>
        </w:tc>
        <w:tc>
          <w:tcPr>
            <w:tcW w:w="0" w:type="auto"/>
            <w:vAlign w:val="center"/>
            <w:hideMark/>
          </w:tcPr>
          <w:p w14:paraId="2907C372" w14:textId="77777777" w:rsidR="007820B7" w:rsidRDefault="007820B7" w:rsidP="006B33E3">
            <w:pPr>
              <w:rPr>
                <w:rFonts w:eastAsia="Times New Roman"/>
              </w:rPr>
            </w:pPr>
          </w:p>
        </w:tc>
        <w:tc>
          <w:tcPr>
            <w:tcW w:w="0" w:type="auto"/>
            <w:vAlign w:val="center"/>
            <w:hideMark/>
          </w:tcPr>
          <w:p w14:paraId="29E1A3F0" w14:textId="77777777" w:rsidR="007820B7" w:rsidRDefault="007820B7" w:rsidP="006B33E3">
            <w:pPr>
              <w:jc w:val="center"/>
              <w:rPr>
                <w:rFonts w:eastAsia="Times New Roman"/>
              </w:rPr>
            </w:pPr>
            <w:r>
              <w:rPr>
                <w:rFonts w:eastAsia="Times New Roman"/>
              </w:rPr>
              <w:t>2.7678</w:t>
            </w:r>
            <w:r>
              <w:rPr>
                <w:rFonts w:eastAsia="Times New Roman"/>
                <w:vertAlign w:val="superscript"/>
              </w:rPr>
              <w:t>***</w:t>
            </w:r>
          </w:p>
        </w:tc>
      </w:tr>
      <w:tr w:rsidR="007820B7" w14:paraId="2B328808" w14:textId="77777777" w:rsidTr="00CE56E8">
        <w:trPr>
          <w:tblCellSpacing w:w="15" w:type="dxa"/>
          <w:jc w:val="center"/>
        </w:trPr>
        <w:tc>
          <w:tcPr>
            <w:tcW w:w="0" w:type="auto"/>
            <w:vAlign w:val="center"/>
            <w:hideMark/>
          </w:tcPr>
          <w:p w14:paraId="4CFCC0FC" w14:textId="77777777" w:rsidR="007820B7" w:rsidRDefault="007820B7" w:rsidP="006B33E3">
            <w:pPr>
              <w:jc w:val="center"/>
              <w:rPr>
                <w:rFonts w:eastAsia="Times New Roman"/>
              </w:rPr>
            </w:pPr>
          </w:p>
        </w:tc>
        <w:tc>
          <w:tcPr>
            <w:tcW w:w="0" w:type="auto"/>
            <w:vAlign w:val="center"/>
            <w:hideMark/>
          </w:tcPr>
          <w:p w14:paraId="17846601" w14:textId="77777777" w:rsidR="007820B7" w:rsidRDefault="007820B7" w:rsidP="006B33E3">
            <w:pPr>
              <w:rPr>
                <w:rFonts w:eastAsia="Times New Roman"/>
                <w:sz w:val="20"/>
                <w:szCs w:val="20"/>
              </w:rPr>
            </w:pPr>
          </w:p>
        </w:tc>
        <w:tc>
          <w:tcPr>
            <w:tcW w:w="0" w:type="auto"/>
            <w:vAlign w:val="center"/>
            <w:hideMark/>
          </w:tcPr>
          <w:p w14:paraId="4D4A01C4" w14:textId="77777777" w:rsidR="007820B7" w:rsidRDefault="007820B7" w:rsidP="006B33E3">
            <w:pPr>
              <w:jc w:val="center"/>
              <w:rPr>
                <w:rFonts w:eastAsia="Times New Roman"/>
              </w:rPr>
            </w:pPr>
            <w:r>
              <w:rPr>
                <w:rFonts w:eastAsia="Times New Roman"/>
              </w:rPr>
              <w:t>(0.2016)</w:t>
            </w:r>
          </w:p>
        </w:tc>
      </w:tr>
      <w:tr w:rsidR="007820B7" w14:paraId="3661E8AD" w14:textId="77777777" w:rsidTr="00CE56E8">
        <w:trPr>
          <w:tblCellSpacing w:w="15" w:type="dxa"/>
          <w:jc w:val="center"/>
        </w:trPr>
        <w:tc>
          <w:tcPr>
            <w:tcW w:w="0" w:type="auto"/>
            <w:vAlign w:val="center"/>
            <w:hideMark/>
          </w:tcPr>
          <w:p w14:paraId="4C996DDA" w14:textId="77777777" w:rsidR="007820B7" w:rsidRDefault="007820B7" w:rsidP="006B33E3">
            <w:pPr>
              <w:jc w:val="left"/>
              <w:rPr>
                <w:rFonts w:eastAsia="Times New Roman"/>
              </w:rPr>
            </w:pPr>
            <w:r>
              <w:rPr>
                <w:rFonts w:eastAsia="Times New Roman"/>
              </w:rPr>
              <w:t>Friday</w:t>
            </w:r>
          </w:p>
        </w:tc>
        <w:tc>
          <w:tcPr>
            <w:tcW w:w="0" w:type="auto"/>
            <w:vAlign w:val="center"/>
            <w:hideMark/>
          </w:tcPr>
          <w:p w14:paraId="351820F5" w14:textId="77777777" w:rsidR="007820B7" w:rsidRDefault="007820B7" w:rsidP="006B33E3">
            <w:pPr>
              <w:rPr>
                <w:rFonts w:eastAsia="Times New Roman"/>
              </w:rPr>
            </w:pPr>
          </w:p>
        </w:tc>
        <w:tc>
          <w:tcPr>
            <w:tcW w:w="0" w:type="auto"/>
            <w:vAlign w:val="center"/>
            <w:hideMark/>
          </w:tcPr>
          <w:p w14:paraId="79B52BE5" w14:textId="77777777" w:rsidR="007820B7" w:rsidRDefault="007820B7" w:rsidP="006B33E3">
            <w:pPr>
              <w:jc w:val="center"/>
              <w:rPr>
                <w:rFonts w:eastAsia="Times New Roman"/>
              </w:rPr>
            </w:pPr>
            <w:r>
              <w:rPr>
                <w:rFonts w:eastAsia="Times New Roman"/>
              </w:rPr>
              <w:t>0.9347</w:t>
            </w:r>
            <w:r>
              <w:rPr>
                <w:rFonts w:eastAsia="Times New Roman"/>
                <w:vertAlign w:val="superscript"/>
              </w:rPr>
              <w:t>***</w:t>
            </w:r>
          </w:p>
        </w:tc>
      </w:tr>
      <w:tr w:rsidR="007820B7" w14:paraId="7A6B8D25" w14:textId="77777777" w:rsidTr="00CE56E8">
        <w:trPr>
          <w:tblCellSpacing w:w="15" w:type="dxa"/>
          <w:jc w:val="center"/>
        </w:trPr>
        <w:tc>
          <w:tcPr>
            <w:tcW w:w="0" w:type="auto"/>
            <w:vAlign w:val="center"/>
            <w:hideMark/>
          </w:tcPr>
          <w:p w14:paraId="652811AF" w14:textId="77777777" w:rsidR="007820B7" w:rsidRDefault="007820B7" w:rsidP="006B33E3">
            <w:pPr>
              <w:jc w:val="center"/>
              <w:rPr>
                <w:rFonts w:eastAsia="Times New Roman"/>
              </w:rPr>
            </w:pPr>
          </w:p>
        </w:tc>
        <w:tc>
          <w:tcPr>
            <w:tcW w:w="0" w:type="auto"/>
            <w:vAlign w:val="center"/>
            <w:hideMark/>
          </w:tcPr>
          <w:p w14:paraId="4D3B4270" w14:textId="77777777" w:rsidR="007820B7" w:rsidRDefault="007820B7" w:rsidP="006B33E3">
            <w:pPr>
              <w:rPr>
                <w:rFonts w:eastAsia="Times New Roman"/>
                <w:sz w:val="20"/>
                <w:szCs w:val="20"/>
              </w:rPr>
            </w:pPr>
          </w:p>
        </w:tc>
        <w:tc>
          <w:tcPr>
            <w:tcW w:w="0" w:type="auto"/>
            <w:vAlign w:val="center"/>
            <w:hideMark/>
          </w:tcPr>
          <w:p w14:paraId="757090AF" w14:textId="77777777" w:rsidR="007820B7" w:rsidRDefault="007820B7" w:rsidP="006B33E3">
            <w:pPr>
              <w:jc w:val="center"/>
              <w:rPr>
                <w:rFonts w:eastAsia="Times New Roman"/>
              </w:rPr>
            </w:pPr>
            <w:r>
              <w:rPr>
                <w:rFonts w:eastAsia="Times New Roman"/>
              </w:rPr>
              <w:t>(0.2137)</w:t>
            </w:r>
          </w:p>
        </w:tc>
      </w:tr>
      <w:tr w:rsidR="007820B7" w14:paraId="337B20A9" w14:textId="77777777" w:rsidTr="00CE56E8">
        <w:trPr>
          <w:tblCellSpacing w:w="15" w:type="dxa"/>
          <w:jc w:val="center"/>
        </w:trPr>
        <w:tc>
          <w:tcPr>
            <w:tcW w:w="0" w:type="auto"/>
            <w:vAlign w:val="center"/>
            <w:hideMark/>
          </w:tcPr>
          <w:p w14:paraId="0B12C326" w14:textId="77777777" w:rsidR="007820B7" w:rsidRDefault="007820B7" w:rsidP="006B33E3">
            <w:pPr>
              <w:jc w:val="left"/>
              <w:rPr>
                <w:rFonts w:eastAsia="Times New Roman"/>
              </w:rPr>
            </w:pPr>
            <w:r>
              <w:rPr>
                <w:rFonts w:eastAsia="Times New Roman"/>
              </w:rPr>
              <w:t>Group * Period</w:t>
            </w:r>
          </w:p>
        </w:tc>
        <w:tc>
          <w:tcPr>
            <w:tcW w:w="0" w:type="auto"/>
            <w:vAlign w:val="center"/>
            <w:hideMark/>
          </w:tcPr>
          <w:p w14:paraId="69D54246" w14:textId="77777777" w:rsidR="007820B7" w:rsidRDefault="007820B7" w:rsidP="006B33E3">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355C5D7C" w14:textId="77777777" w:rsidR="007820B7" w:rsidRDefault="007820B7" w:rsidP="006B33E3">
            <w:pPr>
              <w:jc w:val="center"/>
              <w:rPr>
                <w:rFonts w:eastAsia="Times New Roman"/>
              </w:rPr>
            </w:pPr>
            <w:r>
              <w:rPr>
                <w:rFonts w:eastAsia="Times New Roman"/>
              </w:rPr>
              <w:t>11.5072</w:t>
            </w:r>
            <w:r>
              <w:rPr>
                <w:rFonts w:eastAsia="Times New Roman"/>
                <w:vertAlign w:val="superscript"/>
              </w:rPr>
              <w:t>***</w:t>
            </w:r>
          </w:p>
        </w:tc>
      </w:tr>
      <w:tr w:rsidR="007820B7" w14:paraId="6A8477A2" w14:textId="77777777" w:rsidTr="00CE56E8">
        <w:trPr>
          <w:tblCellSpacing w:w="15" w:type="dxa"/>
          <w:jc w:val="center"/>
        </w:trPr>
        <w:tc>
          <w:tcPr>
            <w:tcW w:w="0" w:type="auto"/>
            <w:vAlign w:val="center"/>
            <w:hideMark/>
          </w:tcPr>
          <w:p w14:paraId="15A0B93B" w14:textId="77777777" w:rsidR="007820B7" w:rsidRDefault="007820B7" w:rsidP="006B33E3">
            <w:pPr>
              <w:jc w:val="center"/>
              <w:rPr>
                <w:rFonts w:eastAsia="Times New Roman"/>
              </w:rPr>
            </w:pPr>
          </w:p>
        </w:tc>
        <w:tc>
          <w:tcPr>
            <w:tcW w:w="0" w:type="auto"/>
            <w:vAlign w:val="center"/>
            <w:hideMark/>
          </w:tcPr>
          <w:p w14:paraId="51EECAFF" w14:textId="77777777" w:rsidR="007820B7" w:rsidRDefault="007820B7" w:rsidP="006B33E3">
            <w:pPr>
              <w:jc w:val="center"/>
              <w:rPr>
                <w:rFonts w:eastAsia="Times New Roman"/>
              </w:rPr>
            </w:pPr>
            <w:r>
              <w:rPr>
                <w:rFonts w:eastAsia="Times New Roman"/>
              </w:rPr>
              <w:t>(0.7234)</w:t>
            </w:r>
          </w:p>
        </w:tc>
        <w:tc>
          <w:tcPr>
            <w:tcW w:w="0" w:type="auto"/>
            <w:vAlign w:val="center"/>
            <w:hideMark/>
          </w:tcPr>
          <w:p w14:paraId="50EE8C2D" w14:textId="77777777" w:rsidR="007820B7" w:rsidRDefault="007820B7" w:rsidP="006B33E3">
            <w:pPr>
              <w:jc w:val="center"/>
              <w:rPr>
                <w:rFonts w:eastAsia="Times New Roman"/>
              </w:rPr>
            </w:pPr>
            <w:r>
              <w:rPr>
                <w:rFonts w:eastAsia="Times New Roman"/>
              </w:rPr>
              <w:t>(0.7226)</w:t>
            </w:r>
          </w:p>
        </w:tc>
      </w:tr>
      <w:tr w:rsidR="007820B7" w14:paraId="30200CBB" w14:textId="77777777" w:rsidTr="00CE56E8">
        <w:trPr>
          <w:tblCellSpacing w:w="15" w:type="dxa"/>
          <w:jc w:val="center"/>
        </w:trPr>
        <w:tc>
          <w:tcPr>
            <w:tcW w:w="0" w:type="auto"/>
            <w:vAlign w:val="center"/>
            <w:hideMark/>
          </w:tcPr>
          <w:p w14:paraId="76EE6128" w14:textId="77777777" w:rsidR="007820B7" w:rsidRDefault="007820B7" w:rsidP="006B33E3">
            <w:pPr>
              <w:jc w:val="left"/>
              <w:rPr>
                <w:rFonts w:eastAsia="Times New Roman"/>
              </w:rPr>
            </w:pPr>
            <w:r>
              <w:rPr>
                <w:rFonts w:eastAsia="Times New Roman"/>
              </w:rPr>
              <w:t>Constant</w:t>
            </w:r>
          </w:p>
        </w:tc>
        <w:tc>
          <w:tcPr>
            <w:tcW w:w="0" w:type="auto"/>
            <w:vAlign w:val="center"/>
            <w:hideMark/>
          </w:tcPr>
          <w:p w14:paraId="32123D88" w14:textId="77777777" w:rsidR="007820B7" w:rsidRDefault="007820B7" w:rsidP="006B33E3">
            <w:pPr>
              <w:jc w:val="center"/>
              <w:rPr>
                <w:rFonts w:eastAsia="Times New Roman"/>
              </w:rPr>
            </w:pPr>
            <w:r>
              <w:rPr>
                <w:rFonts w:eastAsia="Times New Roman"/>
              </w:rPr>
              <w:t>-0.2415</w:t>
            </w:r>
          </w:p>
        </w:tc>
        <w:tc>
          <w:tcPr>
            <w:tcW w:w="0" w:type="auto"/>
            <w:vAlign w:val="center"/>
            <w:hideMark/>
          </w:tcPr>
          <w:p w14:paraId="00CF69F2" w14:textId="77777777" w:rsidR="007820B7" w:rsidRDefault="007820B7" w:rsidP="006B33E3">
            <w:pPr>
              <w:jc w:val="center"/>
              <w:rPr>
                <w:rFonts w:eastAsia="Times New Roman"/>
              </w:rPr>
            </w:pPr>
            <w:r>
              <w:rPr>
                <w:rFonts w:eastAsia="Times New Roman"/>
              </w:rPr>
              <w:t>-11.9859</w:t>
            </w:r>
            <w:r>
              <w:rPr>
                <w:rFonts w:eastAsia="Times New Roman"/>
                <w:vertAlign w:val="superscript"/>
              </w:rPr>
              <w:t>***</w:t>
            </w:r>
          </w:p>
        </w:tc>
      </w:tr>
      <w:tr w:rsidR="007820B7" w14:paraId="2A61D272" w14:textId="77777777" w:rsidTr="00CE56E8">
        <w:trPr>
          <w:tblCellSpacing w:w="15" w:type="dxa"/>
          <w:jc w:val="center"/>
        </w:trPr>
        <w:tc>
          <w:tcPr>
            <w:tcW w:w="0" w:type="auto"/>
            <w:vAlign w:val="center"/>
            <w:hideMark/>
          </w:tcPr>
          <w:p w14:paraId="58953507" w14:textId="77777777" w:rsidR="007820B7" w:rsidRDefault="007820B7" w:rsidP="006B33E3">
            <w:pPr>
              <w:jc w:val="center"/>
              <w:rPr>
                <w:rFonts w:eastAsia="Times New Roman"/>
              </w:rPr>
            </w:pPr>
          </w:p>
        </w:tc>
        <w:tc>
          <w:tcPr>
            <w:tcW w:w="0" w:type="auto"/>
            <w:vAlign w:val="center"/>
            <w:hideMark/>
          </w:tcPr>
          <w:p w14:paraId="6F2043BD" w14:textId="77777777" w:rsidR="007820B7" w:rsidRDefault="007820B7" w:rsidP="006B33E3">
            <w:pPr>
              <w:jc w:val="center"/>
              <w:rPr>
                <w:rFonts w:eastAsia="Times New Roman"/>
              </w:rPr>
            </w:pPr>
            <w:r>
              <w:rPr>
                <w:rFonts w:eastAsia="Times New Roman"/>
              </w:rPr>
              <w:t>(0.4742)</w:t>
            </w:r>
          </w:p>
        </w:tc>
        <w:tc>
          <w:tcPr>
            <w:tcW w:w="0" w:type="auto"/>
            <w:vAlign w:val="center"/>
            <w:hideMark/>
          </w:tcPr>
          <w:p w14:paraId="43D3AB5C" w14:textId="77777777" w:rsidR="007820B7" w:rsidRDefault="007820B7" w:rsidP="006B33E3">
            <w:pPr>
              <w:jc w:val="center"/>
              <w:rPr>
                <w:rFonts w:eastAsia="Times New Roman"/>
              </w:rPr>
            </w:pPr>
            <w:r>
              <w:rPr>
                <w:rFonts w:eastAsia="Times New Roman"/>
              </w:rPr>
              <w:t>(1.2767)</w:t>
            </w:r>
          </w:p>
        </w:tc>
      </w:tr>
      <w:tr w:rsidR="007820B7" w14:paraId="1367E2DE" w14:textId="77777777" w:rsidTr="00CE56E8">
        <w:trPr>
          <w:tblCellSpacing w:w="15" w:type="dxa"/>
          <w:jc w:val="center"/>
        </w:trPr>
        <w:tc>
          <w:tcPr>
            <w:tcW w:w="0" w:type="auto"/>
            <w:gridSpan w:val="3"/>
            <w:tcBorders>
              <w:bottom w:val="single" w:sz="6" w:space="0" w:color="000000"/>
            </w:tcBorders>
            <w:vAlign w:val="center"/>
            <w:hideMark/>
          </w:tcPr>
          <w:p w14:paraId="05D33A15" w14:textId="77777777" w:rsidR="007820B7" w:rsidRDefault="007820B7" w:rsidP="006B33E3">
            <w:pPr>
              <w:jc w:val="center"/>
              <w:rPr>
                <w:rFonts w:eastAsia="Times New Roman"/>
              </w:rPr>
            </w:pPr>
          </w:p>
        </w:tc>
      </w:tr>
      <w:tr w:rsidR="007820B7" w14:paraId="67869226" w14:textId="77777777" w:rsidTr="00CE56E8">
        <w:trPr>
          <w:tblCellSpacing w:w="15" w:type="dxa"/>
          <w:jc w:val="center"/>
        </w:trPr>
        <w:tc>
          <w:tcPr>
            <w:tcW w:w="0" w:type="auto"/>
            <w:vAlign w:val="center"/>
            <w:hideMark/>
          </w:tcPr>
          <w:p w14:paraId="13770AB6" w14:textId="77777777" w:rsidR="007820B7" w:rsidRDefault="007820B7" w:rsidP="006B33E3">
            <w:pPr>
              <w:jc w:val="left"/>
              <w:rPr>
                <w:rFonts w:eastAsia="Times New Roman"/>
              </w:rPr>
            </w:pPr>
            <w:r>
              <w:rPr>
                <w:rFonts w:eastAsia="Times New Roman"/>
              </w:rPr>
              <w:t>Observations</w:t>
            </w:r>
          </w:p>
        </w:tc>
        <w:tc>
          <w:tcPr>
            <w:tcW w:w="0" w:type="auto"/>
            <w:vAlign w:val="center"/>
            <w:hideMark/>
          </w:tcPr>
          <w:p w14:paraId="58E29419" w14:textId="77777777" w:rsidR="007820B7" w:rsidRDefault="007820B7" w:rsidP="006B33E3">
            <w:pPr>
              <w:jc w:val="center"/>
              <w:rPr>
                <w:rFonts w:eastAsia="Times New Roman"/>
              </w:rPr>
            </w:pPr>
            <w:r>
              <w:rPr>
                <w:rFonts w:eastAsia="Times New Roman"/>
              </w:rPr>
              <w:t>25,613</w:t>
            </w:r>
          </w:p>
        </w:tc>
        <w:tc>
          <w:tcPr>
            <w:tcW w:w="0" w:type="auto"/>
            <w:vAlign w:val="center"/>
            <w:hideMark/>
          </w:tcPr>
          <w:p w14:paraId="075874D4" w14:textId="77777777" w:rsidR="007820B7" w:rsidRDefault="007820B7" w:rsidP="006B33E3">
            <w:pPr>
              <w:jc w:val="center"/>
              <w:rPr>
                <w:rFonts w:eastAsia="Times New Roman"/>
              </w:rPr>
            </w:pPr>
            <w:r>
              <w:rPr>
                <w:rFonts w:eastAsia="Times New Roman"/>
              </w:rPr>
              <w:t>25,613</w:t>
            </w:r>
          </w:p>
        </w:tc>
      </w:tr>
      <w:tr w:rsidR="007820B7" w14:paraId="5A3CAAA4" w14:textId="77777777" w:rsidTr="00CE56E8">
        <w:trPr>
          <w:tblCellSpacing w:w="15" w:type="dxa"/>
          <w:jc w:val="center"/>
        </w:trPr>
        <w:tc>
          <w:tcPr>
            <w:tcW w:w="0" w:type="auto"/>
            <w:vAlign w:val="center"/>
            <w:hideMark/>
          </w:tcPr>
          <w:p w14:paraId="30A1B14B" w14:textId="77777777" w:rsidR="007820B7" w:rsidRDefault="007820B7"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61B5CE4" w14:textId="77777777" w:rsidR="007820B7" w:rsidRDefault="007820B7" w:rsidP="006B33E3">
            <w:pPr>
              <w:jc w:val="center"/>
              <w:rPr>
                <w:rFonts w:eastAsia="Times New Roman"/>
              </w:rPr>
            </w:pPr>
            <w:r>
              <w:rPr>
                <w:rFonts w:eastAsia="Times New Roman"/>
              </w:rPr>
              <w:t>0.0175</w:t>
            </w:r>
          </w:p>
        </w:tc>
        <w:tc>
          <w:tcPr>
            <w:tcW w:w="0" w:type="auto"/>
            <w:vAlign w:val="center"/>
            <w:hideMark/>
          </w:tcPr>
          <w:p w14:paraId="22C77E15" w14:textId="77777777" w:rsidR="007820B7" w:rsidRDefault="007820B7" w:rsidP="006B33E3">
            <w:pPr>
              <w:jc w:val="center"/>
              <w:rPr>
                <w:rFonts w:eastAsia="Times New Roman"/>
              </w:rPr>
            </w:pPr>
            <w:r>
              <w:rPr>
                <w:rFonts w:eastAsia="Times New Roman"/>
              </w:rPr>
              <w:t>0.0335</w:t>
            </w:r>
          </w:p>
        </w:tc>
      </w:tr>
      <w:tr w:rsidR="007820B7" w14:paraId="25779F91" w14:textId="77777777" w:rsidTr="00CE56E8">
        <w:trPr>
          <w:tblCellSpacing w:w="15" w:type="dxa"/>
          <w:jc w:val="center"/>
        </w:trPr>
        <w:tc>
          <w:tcPr>
            <w:tcW w:w="0" w:type="auto"/>
            <w:vAlign w:val="center"/>
            <w:hideMark/>
          </w:tcPr>
          <w:p w14:paraId="646B4C90" w14:textId="77777777" w:rsidR="007820B7" w:rsidRDefault="007820B7"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651B3D" w14:textId="77777777" w:rsidR="007820B7" w:rsidRDefault="007820B7" w:rsidP="006B33E3">
            <w:pPr>
              <w:jc w:val="center"/>
              <w:rPr>
                <w:rFonts w:eastAsia="Times New Roman"/>
              </w:rPr>
            </w:pPr>
            <w:r>
              <w:rPr>
                <w:rFonts w:eastAsia="Times New Roman"/>
              </w:rPr>
              <w:t>0.0174</w:t>
            </w:r>
          </w:p>
        </w:tc>
        <w:tc>
          <w:tcPr>
            <w:tcW w:w="0" w:type="auto"/>
            <w:vAlign w:val="center"/>
            <w:hideMark/>
          </w:tcPr>
          <w:p w14:paraId="58D2AE5A" w14:textId="77777777" w:rsidR="007820B7" w:rsidRDefault="007820B7" w:rsidP="006B33E3">
            <w:pPr>
              <w:jc w:val="center"/>
              <w:rPr>
                <w:rFonts w:eastAsia="Times New Roman"/>
              </w:rPr>
            </w:pPr>
            <w:r>
              <w:rPr>
                <w:rFonts w:eastAsia="Times New Roman"/>
              </w:rPr>
              <w:t>0.0330</w:t>
            </w:r>
          </w:p>
        </w:tc>
      </w:tr>
      <w:tr w:rsidR="007820B7" w14:paraId="11B1B938" w14:textId="77777777" w:rsidTr="00CE56E8">
        <w:trPr>
          <w:tblCellSpacing w:w="15" w:type="dxa"/>
          <w:jc w:val="center"/>
        </w:trPr>
        <w:tc>
          <w:tcPr>
            <w:tcW w:w="0" w:type="auto"/>
            <w:vAlign w:val="center"/>
            <w:hideMark/>
          </w:tcPr>
          <w:p w14:paraId="79315497" w14:textId="77777777" w:rsidR="007820B7" w:rsidRDefault="007820B7" w:rsidP="006B33E3">
            <w:pPr>
              <w:jc w:val="left"/>
              <w:rPr>
                <w:rFonts w:eastAsia="Times New Roman"/>
              </w:rPr>
            </w:pPr>
            <w:r>
              <w:rPr>
                <w:rFonts w:eastAsia="Times New Roman"/>
              </w:rPr>
              <w:t>Residual Std. Error</w:t>
            </w:r>
          </w:p>
        </w:tc>
        <w:tc>
          <w:tcPr>
            <w:tcW w:w="0" w:type="auto"/>
            <w:vAlign w:val="center"/>
            <w:hideMark/>
          </w:tcPr>
          <w:p w14:paraId="748719AA" w14:textId="77777777" w:rsidR="007820B7" w:rsidRDefault="007820B7" w:rsidP="006B33E3">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7DF095DA" w14:textId="77777777" w:rsidR="007820B7" w:rsidRDefault="007820B7" w:rsidP="006B33E3">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7820B7" w14:paraId="4DEE29B6" w14:textId="77777777" w:rsidTr="00CE56E8">
        <w:trPr>
          <w:tblCellSpacing w:w="15" w:type="dxa"/>
          <w:jc w:val="center"/>
        </w:trPr>
        <w:tc>
          <w:tcPr>
            <w:tcW w:w="0" w:type="auto"/>
            <w:vAlign w:val="center"/>
            <w:hideMark/>
          </w:tcPr>
          <w:p w14:paraId="6A1B57E8" w14:textId="77777777" w:rsidR="007820B7" w:rsidRDefault="007820B7" w:rsidP="006B33E3">
            <w:pPr>
              <w:jc w:val="left"/>
              <w:rPr>
                <w:rFonts w:eastAsia="Times New Roman"/>
              </w:rPr>
            </w:pPr>
            <w:r>
              <w:rPr>
                <w:rFonts w:eastAsia="Times New Roman"/>
              </w:rPr>
              <w:t>F Statistic</w:t>
            </w:r>
          </w:p>
        </w:tc>
        <w:tc>
          <w:tcPr>
            <w:tcW w:w="0" w:type="auto"/>
            <w:vAlign w:val="center"/>
            <w:hideMark/>
          </w:tcPr>
          <w:p w14:paraId="360852D2" w14:textId="77777777" w:rsidR="007820B7" w:rsidRDefault="007820B7" w:rsidP="006B33E3">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785E1F92" w14:textId="77777777" w:rsidR="007820B7" w:rsidRDefault="007820B7" w:rsidP="006B33E3">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7820B7" w14:paraId="08E6F993" w14:textId="77777777" w:rsidTr="00CE56E8">
        <w:trPr>
          <w:tblCellSpacing w:w="15" w:type="dxa"/>
          <w:jc w:val="center"/>
        </w:trPr>
        <w:tc>
          <w:tcPr>
            <w:tcW w:w="0" w:type="auto"/>
            <w:gridSpan w:val="3"/>
            <w:tcBorders>
              <w:bottom w:val="single" w:sz="6" w:space="0" w:color="000000"/>
            </w:tcBorders>
            <w:vAlign w:val="center"/>
            <w:hideMark/>
          </w:tcPr>
          <w:p w14:paraId="44C306C1" w14:textId="77777777" w:rsidR="007820B7" w:rsidRDefault="007820B7" w:rsidP="006B33E3">
            <w:pPr>
              <w:jc w:val="center"/>
              <w:rPr>
                <w:rFonts w:eastAsia="Times New Roman"/>
              </w:rPr>
            </w:pPr>
          </w:p>
        </w:tc>
      </w:tr>
      <w:tr w:rsidR="007820B7" w14:paraId="6ABE1E92" w14:textId="77777777" w:rsidTr="00CE56E8">
        <w:trPr>
          <w:tblCellSpacing w:w="15" w:type="dxa"/>
          <w:jc w:val="center"/>
        </w:trPr>
        <w:tc>
          <w:tcPr>
            <w:tcW w:w="0" w:type="auto"/>
            <w:vAlign w:val="center"/>
            <w:hideMark/>
          </w:tcPr>
          <w:p w14:paraId="20013F9E" w14:textId="77777777" w:rsidR="007820B7" w:rsidRDefault="007820B7" w:rsidP="006B33E3">
            <w:pPr>
              <w:jc w:val="left"/>
              <w:rPr>
                <w:rFonts w:eastAsia="Times New Roman"/>
              </w:rPr>
            </w:pPr>
            <w:r>
              <w:rPr>
                <w:rStyle w:val="Emphasis"/>
              </w:rPr>
              <w:t>Note:</w:t>
            </w:r>
          </w:p>
        </w:tc>
        <w:tc>
          <w:tcPr>
            <w:tcW w:w="0" w:type="auto"/>
            <w:gridSpan w:val="2"/>
            <w:vAlign w:val="center"/>
            <w:hideMark/>
          </w:tcPr>
          <w:p w14:paraId="6AF24140" w14:textId="77777777" w:rsidR="007820B7" w:rsidRDefault="007820B7"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A7BDA7" w14:textId="1DC77C0B" w:rsidR="007820B7" w:rsidRDefault="00117C16" w:rsidP="004D7155">
      <w:r>
        <w:t xml:space="preserve">Finally, </w:t>
      </w:r>
      <w:r w:rsidR="00016015">
        <w:t xml:space="preserve">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16015">
        <w:t xml:space="preserve"> values of some of the regression results, I </w:t>
      </w:r>
      <w:r w:rsidR="005520FA">
        <w:t>try alternative regression specifications.</w:t>
      </w:r>
      <w:r w:rsidR="00627D20">
        <w:t xml:space="preserve"> </w:t>
      </w:r>
      <w:r w:rsidR="00977B6B">
        <w:fldChar w:fldCharType="begin"/>
      </w:r>
      <w:r w:rsidR="00977B6B">
        <w:instrText xml:space="preserve"> REF _Ref189744722 \h </w:instrText>
      </w:r>
      <w:r w:rsidR="00977B6B">
        <w:fldChar w:fldCharType="separate"/>
      </w:r>
      <w:r w:rsidR="001D797E">
        <w:t xml:space="preserve">Table </w:t>
      </w:r>
      <w:r w:rsidR="001D797E">
        <w:rPr>
          <w:noProof/>
        </w:rPr>
        <w:t>20</w:t>
      </w:r>
      <w:r w:rsidR="00977B6B">
        <w:fldChar w:fldCharType="end"/>
      </w:r>
      <w:r w:rsidR="00977B6B">
        <w:t xml:space="preserve"> </w:t>
      </w:r>
      <w:r w:rsidR="00627D20">
        <w:t xml:space="preserve">shows the results of a model with second-order terms </w:t>
      </w:r>
      <w:r w:rsidR="001666DB">
        <w:t>for the continuous control variables tenor and notional.</w:t>
      </w:r>
      <w:r w:rsidR="0049365F">
        <w:t xml:space="preserve"> </w:t>
      </w:r>
      <w:r w:rsidR="004D7155">
        <w:t xml:space="preserve">Although these higher order terms are statistically significant, the </w:t>
      </w:r>
      <w:r w:rsidR="0049365F">
        <w:t xml:space="preserve">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9365F">
        <w:t xml:space="preserve"> </w:t>
      </w:r>
      <w:r w:rsidR="00163395">
        <w:t xml:space="preserve">as the model used in the main body of the </w:t>
      </w:r>
      <w:r w:rsidR="00693385">
        <w:t>essay</w:t>
      </w:r>
      <w:r w:rsidR="00163395">
        <w:t xml:space="preserve">. </w:t>
      </w:r>
      <w:r w:rsidR="004D7155">
        <w:t>The overall conclusion remains the same (</w:t>
      </w:r>
      <w:r w:rsidR="008F0AB0">
        <w:t>clearing causes a 13-bps increase in premium for USD contracts).</w:t>
      </w:r>
      <w:r w:rsidR="002458BB">
        <w:t xml:space="preserve"> Control variables also show</w:t>
      </w:r>
      <w:r w:rsidR="000D3CA4">
        <w:t xml:space="preserve"> similar signs and magnitudes as in the main body of the </w:t>
      </w:r>
      <w:r w:rsidR="00693385">
        <w:t>essay</w:t>
      </w:r>
      <w:r w:rsidR="000D3CA4">
        <w:t>.</w:t>
      </w:r>
    </w:p>
    <w:p w14:paraId="72C37394" w14:textId="22BFE2AB" w:rsidR="00EB19F9" w:rsidRDefault="00EB19F9" w:rsidP="00CE56E8">
      <w:pPr>
        <w:pStyle w:val="Caption"/>
        <w:keepNext/>
      </w:pPr>
      <w:bookmarkStart w:id="46" w:name="_Ref189744722"/>
      <w:r>
        <w:lastRenderedPageBreak/>
        <w:t xml:space="preserve">Table </w:t>
      </w:r>
      <w:fldSimple w:instr=" SEQ Table \* ARABIC ">
        <w:r w:rsidR="001D797E">
          <w:rPr>
            <w:noProof/>
          </w:rPr>
          <w:t>20</w:t>
        </w:r>
      </w:fldSimple>
      <w:bookmarkEnd w:id="46"/>
      <w:r>
        <w:rPr>
          <w:noProof/>
        </w:rPr>
        <w:t xml:space="preserve"> </w:t>
      </w:r>
      <w:r w:rsidR="00921689">
        <w:rPr>
          <w:noProof/>
        </w:rPr>
        <w:t>Diff-in-diff</w:t>
      </w:r>
      <w:r>
        <w:rPr>
          <w:noProof/>
        </w:rPr>
        <w:t xml:space="preserve"> with alternative model specifications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A51D1C" w14:paraId="57337F98" w14:textId="77777777" w:rsidTr="00CE56E8">
        <w:trPr>
          <w:tblCellSpacing w:w="15" w:type="dxa"/>
          <w:jc w:val="center"/>
        </w:trPr>
        <w:tc>
          <w:tcPr>
            <w:tcW w:w="0" w:type="auto"/>
            <w:gridSpan w:val="2"/>
            <w:tcBorders>
              <w:top w:val="nil"/>
              <w:left w:val="nil"/>
              <w:bottom w:val="nil"/>
              <w:right w:val="nil"/>
            </w:tcBorders>
            <w:vAlign w:val="center"/>
            <w:hideMark/>
          </w:tcPr>
          <w:p w14:paraId="72F5B527" w14:textId="2CECCF3C" w:rsidR="00A51D1C" w:rsidRDefault="00921689" w:rsidP="006B33E3">
            <w:pPr>
              <w:jc w:val="center"/>
              <w:rPr>
                <w:rFonts w:eastAsia="Times New Roman"/>
              </w:rPr>
            </w:pPr>
            <w:r>
              <w:rPr>
                <w:rStyle w:val="Strong"/>
              </w:rPr>
              <w:t>Diff-in-diff</w:t>
            </w:r>
            <w:r w:rsidR="00A51D1C">
              <w:rPr>
                <w:rStyle w:val="Strong"/>
              </w:rPr>
              <w:t xml:space="preserve"> Regression Results</w:t>
            </w:r>
          </w:p>
        </w:tc>
      </w:tr>
      <w:tr w:rsidR="00A51D1C" w14:paraId="7FD8B0F1" w14:textId="77777777" w:rsidTr="00CE56E8">
        <w:trPr>
          <w:tblCellSpacing w:w="15" w:type="dxa"/>
          <w:jc w:val="center"/>
        </w:trPr>
        <w:tc>
          <w:tcPr>
            <w:tcW w:w="0" w:type="auto"/>
            <w:gridSpan w:val="2"/>
            <w:tcBorders>
              <w:bottom w:val="single" w:sz="6" w:space="0" w:color="000000"/>
            </w:tcBorders>
            <w:vAlign w:val="center"/>
            <w:hideMark/>
          </w:tcPr>
          <w:p w14:paraId="6DB2CFBE" w14:textId="77777777" w:rsidR="00A51D1C" w:rsidRDefault="00A51D1C" w:rsidP="006B33E3">
            <w:pPr>
              <w:jc w:val="center"/>
              <w:rPr>
                <w:rFonts w:eastAsia="Times New Roman"/>
              </w:rPr>
            </w:pPr>
          </w:p>
        </w:tc>
      </w:tr>
      <w:tr w:rsidR="00A51D1C" w14:paraId="178E8561" w14:textId="77777777" w:rsidTr="00CE56E8">
        <w:trPr>
          <w:tblCellSpacing w:w="15" w:type="dxa"/>
          <w:jc w:val="center"/>
        </w:trPr>
        <w:tc>
          <w:tcPr>
            <w:tcW w:w="0" w:type="auto"/>
            <w:vAlign w:val="center"/>
            <w:hideMark/>
          </w:tcPr>
          <w:p w14:paraId="37091698" w14:textId="77777777" w:rsidR="00A51D1C" w:rsidRDefault="00A51D1C" w:rsidP="006B33E3">
            <w:pPr>
              <w:jc w:val="center"/>
              <w:rPr>
                <w:rFonts w:eastAsia="Times New Roman"/>
                <w:sz w:val="20"/>
                <w:szCs w:val="20"/>
              </w:rPr>
            </w:pPr>
          </w:p>
        </w:tc>
        <w:tc>
          <w:tcPr>
            <w:tcW w:w="0" w:type="auto"/>
            <w:vAlign w:val="center"/>
            <w:hideMark/>
          </w:tcPr>
          <w:p w14:paraId="72B4A799" w14:textId="77777777" w:rsidR="00A51D1C" w:rsidRDefault="00A51D1C" w:rsidP="006B33E3">
            <w:pPr>
              <w:jc w:val="center"/>
              <w:rPr>
                <w:rFonts w:eastAsia="Times New Roman"/>
              </w:rPr>
            </w:pPr>
            <w:r>
              <w:rPr>
                <w:rFonts w:eastAsia="Times New Roman"/>
              </w:rPr>
              <w:t>Dependent variable: Premium</w:t>
            </w:r>
          </w:p>
        </w:tc>
      </w:tr>
      <w:tr w:rsidR="00A51D1C" w14:paraId="36C91B03" w14:textId="77777777" w:rsidTr="00CE56E8">
        <w:trPr>
          <w:tblCellSpacing w:w="15" w:type="dxa"/>
          <w:jc w:val="center"/>
        </w:trPr>
        <w:tc>
          <w:tcPr>
            <w:tcW w:w="0" w:type="auto"/>
            <w:vAlign w:val="center"/>
            <w:hideMark/>
          </w:tcPr>
          <w:p w14:paraId="519FAA30" w14:textId="77777777" w:rsidR="00A51D1C" w:rsidRDefault="00A51D1C" w:rsidP="006B33E3">
            <w:pPr>
              <w:jc w:val="center"/>
              <w:rPr>
                <w:rFonts w:eastAsia="Times New Roman"/>
              </w:rPr>
            </w:pPr>
          </w:p>
        </w:tc>
        <w:tc>
          <w:tcPr>
            <w:tcW w:w="0" w:type="auto"/>
            <w:tcBorders>
              <w:bottom w:val="single" w:sz="6" w:space="0" w:color="000000"/>
            </w:tcBorders>
            <w:vAlign w:val="center"/>
            <w:hideMark/>
          </w:tcPr>
          <w:p w14:paraId="7550C601" w14:textId="77777777" w:rsidR="00A51D1C" w:rsidRDefault="00A51D1C" w:rsidP="006B33E3">
            <w:pPr>
              <w:jc w:val="center"/>
              <w:rPr>
                <w:rFonts w:eastAsia="Times New Roman"/>
                <w:sz w:val="20"/>
                <w:szCs w:val="20"/>
              </w:rPr>
            </w:pPr>
          </w:p>
        </w:tc>
      </w:tr>
      <w:tr w:rsidR="00A51D1C" w14:paraId="499845C3" w14:textId="77777777" w:rsidTr="00CE56E8">
        <w:trPr>
          <w:tblCellSpacing w:w="15" w:type="dxa"/>
          <w:jc w:val="center"/>
        </w:trPr>
        <w:tc>
          <w:tcPr>
            <w:tcW w:w="0" w:type="auto"/>
            <w:vAlign w:val="center"/>
            <w:hideMark/>
          </w:tcPr>
          <w:p w14:paraId="5C1E054D" w14:textId="77777777" w:rsidR="00A51D1C" w:rsidRDefault="00A51D1C" w:rsidP="006B33E3">
            <w:pPr>
              <w:jc w:val="center"/>
              <w:rPr>
                <w:rFonts w:eastAsia="Times New Roman"/>
                <w:sz w:val="20"/>
                <w:szCs w:val="20"/>
              </w:rPr>
            </w:pPr>
          </w:p>
        </w:tc>
        <w:tc>
          <w:tcPr>
            <w:tcW w:w="0" w:type="auto"/>
            <w:vAlign w:val="center"/>
            <w:hideMark/>
          </w:tcPr>
          <w:p w14:paraId="06BE3231" w14:textId="77777777" w:rsidR="00A51D1C" w:rsidRDefault="00A51D1C" w:rsidP="006B33E3">
            <w:pPr>
              <w:jc w:val="center"/>
              <w:rPr>
                <w:rFonts w:eastAsia="Times New Roman"/>
              </w:rPr>
            </w:pPr>
            <w:r>
              <w:rPr>
                <w:rFonts w:eastAsia="Times New Roman"/>
              </w:rPr>
              <w:t>Advanced Model</w:t>
            </w:r>
          </w:p>
        </w:tc>
      </w:tr>
      <w:tr w:rsidR="00A51D1C" w14:paraId="6527CC90" w14:textId="77777777" w:rsidTr="00CE56E8">
        <w:trPr>
          <w:tblCellSpacing w:w="15" w:type="dxa"/>
          <w:jc w:val="center"/>
        </w:trPr>
        <w:tc>
          <w:tcPr>
            <w:tcW w:w="0" w:type="auto"/>
            <w:gridSpan w:val="2"/>
            <w:tcBorders>
              <w:bottom w:val="single" w:sz="6" w:space="0" w:color="000000"/>
            </w:tcBorders>
            <w:vAlign w:val="center"/>
            <w:hideMark/>
          </w:tcPr>
          <w:p w14:paraId="71B91A03" w14:textId="77777777" w:rsidR="00A51D1C" w:rsidRDefault="00A51D1C" w:rsidP="006B33E3">
            <w:pPr>
              <w:jc w:val="center"/>
              <w:rPr>
                <w:rFonts w:eastAsia="Times New Roman"/>
              </w:rPr>
            </w:pPr>
          </w:p>
        </w:tc>
      </w:tr>
      <w:tr w:rsidR="00A51D1C" w14:paraId="29CF550B" w14:textId="77777777" w:rsidTr="00CE56E8">
        <w:trPr>
          <w:tblCellSpacing w:w="15" w:type="dxa"/>
          <w:jc w:val="center"/>
        </w:trPr>
        <w:tc>
          <w:tcPr>
            <w:tcW w:w="0" w:type="auto"/>
            <w:vAlign w:val="center"/>
            <w:hideMark/>
          </w:tcPr>
          <w:p w14:paraId="42DFAAAC" w14:textId="77777777" w:rsidR="00A51D1C" w:rsidRDefault="00A51D1C" w:rsidP="006B33E3">
            <w:pPr>
              <w:jc w:val="left"/>
              <w:rPr>
                <w:rFonts w:eastAsia="Times New Roman"/>
              </w:rPr>
            </w:pPr>
            <w:r>
              <w:rPr>
                <w:rFonts w:eastAsia="Times New Roman"/>
              </w:rPr>
              <w:t>Group</w:t>
            </w:r>
          </w:p>
        </w:tc>
        <w:tc>
          <w:tcPr>
            <w:tcW w:w="0" w:type="auto"/>
            <w:vAlign w:val="center"/>
            <w:hideMark/>
          </w:tcPr>
          <w:p w14:paraId="19A353B7" w14:textId="77777777" w:rsidR="00A51D1C" w:rsidRDefault="00A51D1C" w:rsidP="006B33E3">
            <w:pPr>
              <w:jc w:val="center"/>
              <w:rPr>
                <w:rFonts w:eastAsia="Times New Roman"/>
              </w:rPr>
            </w:pPr>
            <w:r>
              <w:rPr>
                <w:rFonts w:eastAsia="Times New Roman"/>
              </w:rPr>
              <w:t>-0.6567</w:t>
            </w:r>
          </w:p>
        </w:tc>
      </w:tr>
      <w:tr w:rsidR="00A51D1C" w14:paraId="7AA2EC81" w14:textId="77777777" w:rsidTr="00CE56E8">
        <w:trPr>
          <w:tblCellSpacing w:w="15" w:type="dxa"/>
          <w:jc w:val="center"/>
        </w:trPr>
        <w:tc>
          <w:tcPr>
            <w:tcW w:w="0" w:type="auto"/>
            <w:vAlign w:val="center"/>
            <w:hideMark/>
          </w:tcPr>
          <w:p w14:paraId="11FE5E5E" w14:textId="77777777" w:rsidR="00A51D1C" w:rsidRDefault="00A51D1C" w:rsidP="006B33E3">
            <w:pPr>
              <w:jc w:val="center"/>
              <w:rPr>
                <w:rFonts w:eastAsia="Times New Roman"/>
              </w:rPr>
            </w:pPr>
          </w:p>
        </w:tc>
        <w:tc>
          <w:tcPr>
            <w:tcW w:w="0" w:type="auto"/>
            <w:vAlign w:val="center"/>
            <w:hideMark/>
          </w:tcPr>
          <w:p w14:paraId="6676E7AE" w14:textId="77777777" w:rsidR="00A51D1C" w:rsidRDefault="00A51D1C" w:rsidP="006B33E3">
            <w:pPr>
              <w:jc w:val="center"/>
              <w:rPr>
                <w:rFonts w:eastAsia="Times New Roman"/>
              </w:rPr>
            </w:pPr>
            <w:r>
              <w:rPr>
                <w:rFonts w:eastAsia="Times New Roman"/>
              </w:rPr>
              <w:t>(0.4897)</w:t>
            </w:r>
          </w:p>
        </w:tc>
      </w:tr>
      <w:tr w:rsidR="00A51D1C" w14:paraId="27410315" w14:textId="77777777" w:rsidTr="00CE56E8">
        <w:trPr>
          <w:tblCellSpacing w:w="15" w:type="dxa"/>
          <w:jc w:val="center"/>
        </w:trPr>
        <w:tc>
          <w:tcPr>
            <w:tcW w:w="0" w:type="auto"/>
            <w:vAlign w:val="center"/>
            <w:hideMark/>
          </w:tcPr>
          <w:p w14:paraId="5757F916" w14:textId="77777777" w:rsidR="00A51D1C" w:rsidRDefault="00A51D1C" w:rsidP="006B33E3">
            <w:pPr>
              <w:jc w:val="left"/>
              <w:rPr>
                <w:rFonts w:eastAsia="Times New Roman"/>
              </w:rPr>
            </w:pPr>
            <w:r>
              <w:rPr>
                <w:rFonts w:eastAsia="Times New Roman"/>
              </w:rPr>
              <w:t>Period</w:t>
            </w:r>
          </w:p>
        </w:tc>
        <w:tc>
          <w:tcPr>
            <w:tcW w:w="0" w:type="auto"/>
            <w:vAlign w:val="center"/>
            <w:hideMark/>
          </w:tcPr>
          <w:p w14:paraId="64FBB44E" w14:textId="77777777" w:rsidR="00A51D1C" w:rsidRDefault="00A51D1C" w:rsidP="006B33E3">
            <w:pPr>
              <w:jc w:val="center"/>
              <w:rPr>
                <w:rFonts w:eastAsia="Times New Roman"/>
              </w:rPr>
            </w:pPr>
            <w:r>
              <w:rPr>
                <w:rFonts w:eastAsia="Times New Roman"/>
              </w:rPr>
              <w:t>-13.3189</w:t>
            </w:r>
            <w:r>
              <w:rPr>
                <w:rFonts w:eastAsia="Times New Roman"/>
                <w:vertAlign w:val="superscript"/>
              </w:rPr>
              <w:t>***</w:t>
            </w:r>
          </w:p>
        </w:tc>
      </w:tr>
      <w:tr w:rsidR="00A51D1C" w14:paraId="57C7730D" w14:textId="77777777" w:rsidTr="00CE56E8">
        <w:trPr>
          <w:tblCellSpacing w:w="15" w:type="dxa"/>
          <w:jc w:val="center"/>
        </w:trPr>
        <w:tc>
          <w:tcPr>
            <w:tcW w:w="0" w:type="auto"/>
            <w:vAlign w:val="center"/>
            <w:hideMark/>
          </w:tcPr>
          <w:p w14:paraId="042001F1" w14:textId="77777777" w:rsidR="00A51D1C" w:rsidRDefault="00A51D1C" w:rsidP="006B33E3">
            <w:pPr>
              <w:jc w:val="center"/>
              <w:rPr>
                <w:rFonts w:eastAsia="Times New Roman"/>
              </w:rPr>
            </w:pPr>
          </w:p>
        </w:tc>
        <w:tc>
          <w:tcPr>
            <w:tcW w:w="0" w:type="auto"/>
            <w:vAlign w:val="center"/>
            <w:hideMark/>
          </w:tcPr>
          <w:p w14:paraId="5AF72EB3" w14:textId="77777777" w:rsidR="00A51D1C" w:rsidRDefault="00A51D1C" w:rsidP="006B33E3">
            <w:pPr>
              <w:jc w:val="center"/>
              <w:rPr>
                <w:rFonts w:eastAsia="Times New Roman"/>
              </w:rPr>
            </w:pPr>
            <w:r>
              <w:rPr>
                <w:rFonts w:eastAsia="Times New Roman"/>
              </w:rPr>
              <w:t>(0.6611)</w:t>
            </w:r>
          </w:p>
        </w:tc>
      </w:tr>
      <w:tr w:rsidR="00A51D1C" w14:paraId="7FAD45BB" w14:textId="77777777" w:rsidTr="00CE56E8">
        <w:trPr>
          <w:tblCellSpacing w:w="15" w:type="dxa"/>
          <w:jc w:val="center"/>
        </w:trPr>
        <w:tc>
          <w:tcPr>
            <w:tcW w:w="0" w:type="auto"/>
            <w:vAlign w:val="center"/>
            <w:hideMark/>
          </w:tcPr>
          <w:p w14:paraId="19959463" w14:textId="77777777" w:rsidR="00A51D1C" w:rsidRDefault="00A51D1C" w:rsidP="006B33E3">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1A6A6B90" w14:textId="77777777" w:rsidR="00A51D1C" w:rsidRDefault="00A51D1C" w:rsidP="006B33E3">
            <w:pPr>
              <w:jc w:val="center"/>
              <w:rPr>
                <w:rFonts w:eastAsia="Times New Roman"/>
              </w:rPr>
            </w:pPr>
            <w:r>
              <w:rPr>
                <w:rFonts w:eastAsia="Times New Roman"/>
              </w:rPr>
              <w:t>0.0007</w:t>
            </w:r>
            <w:r>
              <w:rPr>
                <w:rFonts w:eastAsia="Times New Roman"/>
                <w:vertAlign w:val="superscript"/>
              </w:rPr>
              <w:t>***</w:t>
            </w:r>
          </w:p>
        </w:tc>
      </w:tr>
      <w:tr w:rsidR="00A51D1C" w14:paraId="5D7B1128" w14:textId="77777777" w:rsidTr="00CE56E8">
        <w:trPr>
          <w:tblCellSpacing w:w="15" w:type="dxa"/>
          <w:jc w:val="center"/>
        </w:trPr>
        <w:tc>
          <w:tcPr>
            <w:tcW w:w="0" w:type="auto"/>
            <w:vAlign w:val="center"/>
            <w:hideMark/>
          </w:tcPr>
          <w:p w14:paraId="35590FA5" w14:textId="77777777" w:rsidR="00A51D1C" w:rsidRDefault="00A51D1C" w:rsidP="006B33E3">
            <w:pPr>
              <w:jc w:val="center"/>
              <w:rPr>
                <w:rFonts w:eastAsia="Times New Roman"/>
              </w:rPr>
            </w:pPr>
          </w:p>
        </w:tc>
        <w:tc>
          <w:tcPr>
            <w:tcW w:w="0" w:type="auto"/>
            <w:vAlign w:val="center"/>
            <w:hideMark/>
          </w:tcPr>
          <w:p w14:paraId="34B9F865" w14:textId="77777777" w:rsidR="00A51D1C" w:rsidRDefault="00A51D1C" w:rsidP="006B33E3">
            <w:pPr>
              <w:jc w:val="center"/>
              <w:rPr>
                <w:rFonts w:eastAsia="Times New Roman"/>
              </w:rPr>
            </w:pPr>
            <w:r>
              <w:rPr>
                <w:rFonts w:eastAsia="Times New Roman"/>
              </w:rPr>
              <w:t>(0.0003)</w:t>
            </w:r>
          </w:p>
        </w:tc>
      </w:tr>
      <w:tr w:rsidR="00A51D1C" w14:paraId="094CC923" w14:textId="77777777" w:rsidTr="00CE56E8">
        <w:trPr>
          <w:tblCellSpacing w:w="15" w:type="dxa"/>
          <w:jc w:val="center"/>
        </w:trPr>
        <w:tc>
          <w:tcPr>
            <w:tcW w:w="0" w:type="auto"/>
            <w:vAlign w:val="center"/>
            <w:hideMark/>
          </w:tcPr>
          <w:p w14:paraId="554E1CE6" w14:textId="77777777" w:rsidR="00A51D1C" w:rsidRDefault="00A51D1C" w:rsidP="006B33E3">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B77694" w14:textId="77777777" w:rsidR="00A51D1C" w:rsidRDefault="00A51D1C" w:rsidP="006B33E3">
            <w:pPr>
              <w:jc w:val="center"/>
              <w:rPr>
                <w:rFonts w:eastAsia="Times New Roman"/>
              </w:rPr>
            </w:pPr>
            <w:r>
              <w:rPr>
                <w:rFonts w:eastAsia="Times New Roman"/>
              </w:rPr>
              <w:t>0.0235</w:t>
            </w:r>
            <w:r>
              <w:rPr>
                <w:rFonts w:eastAsia="Times New Roman"/>
                <w:vertAlign w:val="superscript"/>
              </w:rPr>
              <w:t>***</w:t>
            </w:r>
          </w:p>
        </w:tc>
      </w:tr>
      <w:tr w:rsidR="00A51D1C" w14:paraId="3588C294" w14:textId="77777777" w:rsidTr="00CE56E8">
        <w:trPr>
          <w:tblCellSpacing w:w="15" w:type="dxa"/>
          <w:jc w:val="center"/>
        </w:trPr>
        <w:tc>
          <w:tcPr>
            <w:tcW w:w="0" w:type="auto"/>
            <w:vAlign w:val="center"/>
            <w:hideMark/>
          </w:tcPr>
          <w:p w14:paraId="61CCEE1F" w14:textId="77777777" w:rsidR="00A51D1C" w:rsidRDefault="00A51D1C" w:rsidP="006B33E3">
            <w:pPr>
              <w:jc w:val="center"/>
              <w:rPr>
                <w:rFonts w:eastAsia="Times New Roman"/>
              </w:rPr>
            </w:pPr>
          </w:p>
        </w:tc>
        <w:tc>
          <w:tcPr>
            <w:tcW w:w="0" w:type="auto"/>
            <w:vAlign w:val="center"/>
            <w:hideMark/>
          </w:tcPr>
          <w:p w14:paraId="0DD81420" w14:textId="77777777" w:rsidR="00A51D1C" w:rsidRDefault="00A51D1C" w:rsidP="006B33E3">
            <w:pPr>
              <w:jc w:val="center"/>
              <w:rPr>
                <w:rFonts w:eastAsia="Times New Roman"/>
              </w:rPr>
            </w:pPr>
            <w:r>
              <w:rPr>
                <w:rFonts w:eastAsia="Times New Roman"/>
              </w:rPr>
              <w:t>(0.0021)</w:t>
            </w:r>
          </w:p>
        </w:tc>
      </w:tr>
      <w:tr w:rsidR="00A51D1C" w14:paraId="299D29B1" w14:textId="77777777" w:rsidTr="00CE56E8">
        <w:trPr>
          <w:tblCellSpacing w:w="15" w:type="dxa"/>
          <w:jc w:val="center"/>
        </w:trPr>
        <w:tc>
          <w:tcPr>
            <w:tcW w:w="0" w:type="auto"/>
            <w:vAlign w:val="center"/>
            <w:hideMark/>
          </w:tcPr>
          <w:p w14:paraId="5A9D6F05" w14:textId="77777777" w:rsidR="00A51D1C" w:rsidRDefault="00A51D1C" w:rsidP="006B33E3">
            <w:pPr>
              <w:jc w:val="left"/>
              <w:rPr>
                <w:rFonts w:eastAsia="Times New Roman"/>
              </w:rPr>
            </w:pPr>
            <w:r>
              <w:rPr>
                <w:rFonts w:eastAsia="Times New Roman"/>
              </w:rPr>
              <w:t>Capped</w:t>
            </w:r>
          </w:p>
        </w:tc>
        <w:tc>
          <w:tcPr>
            <w:tcW w:w="0" w:type="auto"/>
            <w:vAlign w:val="center"/>
            <w:hideMark/>
          </w:tcPr>
          <w:p w14:paraId="64B9090D" w14:textId="77777777" w:rsidR="00A51D1C" w:rsidRDefault="00A51D1C" w:rsidP="006B33E3">
            <w:pPr>
              <w:jc w:val="center"/>
              <w:rPr>
                <w:rFonts w:eastAsia="Times New Roman"/>
              </w:rPr>
            </w:pPr>
            <w:r>
              <w:rPr>
                <w:rFonts w:eastAsia="Times New Roman"/>
              </w:rPr>
              <w:t>-1.0574</w:t>
            </w:r>
            <w:r>
              <w:rPr>
                <w:rFonts w:eastAsia="Times New Roman"/>
                <w:vertAlign w:val="superscript"/>
              </w:rPr>
              <w:t>***</w:t>
            </w:r>
          </w:p>
        </w:tc>
      </w:tr>
      <w:tr w:rsidR="00A51D1C" w14:paraId="3BA3F4B4" w14:textId="77777777" w:rsidTr="00CE56E8">
        <w:trPr>
          <w:tblCellSpacing w:w="15" w:type="dxa"/>
          <w:jc w:val="center"/>
        </w:trPr>
        <w:tc>
          <w:tcPr>
            <w:tcW w:w="0" w:type="auto"/>
            <w:vAlign w:val="center"/>
            <w:hideMark/>
          </w:tcPr>
          <w:p w14:paraId="0D552958" w14:textId="77777777" w:rsidR="00A51D1C" w:rsidRDefault="00A51D1C" w:rsidP="006B33E3">
            <w:pPr>
              <w:jc w:val="center"/>
              <w:rPr>
                <w:rFonts w:eastAsia="Times New Roman"/>
              </w:rPr>
            </w:pPr>
          </w:p>
        </w:tc>
        <w:tc>
          <w:tcPr>
            <w:tcW w:w="0" w:type="auto"/>
            <w:vAlign w:val="center"/>
            <w:hideMark/>
          </w:tcPr>
          <w:p w14:paraId="171FD7BC" w14:textId="77777777" w:rsidR="00A51D1C" w:rsidRDefault="00A51D1C" w:rsidP="006B33E3">
            <w:pPr>
              <w:jc w:val="center"/>
              <w:rPr>
                <w:rFonts w:eastAsia="Times New Roman"/>
              </w:rPr>
            </w:pPr>
            <w:r>
              <w:rPr>
                <w:rFonts w:eastAsia="Times New Roman"/>
              </w:rPr>
              <w:t>(0.1883)</w:t>
            </w:r>
          </w:p>
        </w:tc>
      </w:tr>
      <w:tr w:rsidR="00A51D1C" w14:paraId="0A58710C" w14:textId="77777777" w:rsidTr="00CE56E8">
        <w:trPr>
          <w:tblCellSpacing w:w="15" w:type="dxa"/>
          <w:jc w:val="center"/>
        </w:trPr>
        <w:tc>
          <w:tcPr>
            <w:tcW w:w="0" w:type="auto"/>
            <w:vAlign w:val="center"/>
            <w:hideMark/>
          </w:tcPr>
          <w:p w14:paraId="1BEF7A14" w14:textId="77777777" w:rsidR="00A51D1C" w:rsidRDefault="00A51D1C" w:rsidP="006B33E3">
            <w:pPr>
              <w:jc w:val="left"/>
              <w:rPr>
                <w:rFonts w:eastAsia="Times New Roman"/>
              </w:rPr>
            </w:pPr>
            <w:r>
              <w:rPr>
                <w:rFonts w:eastAsia="Times New Roman"/>
              </w:rPr>
              <w:t>SEF</w:t>
            </w:r>
          </w:p>
        </w:tc>
        <w:tc>
          <w:tcPr>
            <w:tcW w:w="0" w:type="auto"/>
            <w:vAlign w:val="center"/>
            <w:hideMark/>
          </w:tcPr>
          <w:p w14:paraId="4D2B1F31" w14:textId="77777777" w:rsidR="00A51D1C" w:rsidRDefault="00A51D1C" w:rsidP="006B33E3">
            <w:pPr>
              <w:jc w:val="center"/>
              <w:rPr>
                <w:rFonts w:eastAsia="Times New Roman"/>
              </w:rPr>
            </w:pPr>
            <w:r>
              <w:rPr>
                <w:rFonts w:eastAsia="Times New Roman"/>
              </w:rPr>
              <w:t>0.7100</w:t>
            </w:r>
          </w:p>
        </w:tc>
      </w:tr>
      <w:tr w:rsidR="00A51D1C" w14:paraId="59E49925" w14:textId="77777777" w:rsidTr="00CE56E8">
        <w:trPr>
          <w:tblCellSpacing w:w="15" w:type="dxa"/>
          <w:jc w:val="center"/>
        </w:trPr>
        <w:tc>
          <w:tcPr>
            <w:tcW w:w="0" w:type="auto"/>
            <w:vAlign w:val="center"/>
            <w:hideMark/>
          </w:tcPr>
          <w:p w14:paraId="7DF58F74" w14:textId="77777777" w:rsidR="00A51D1C" w:rsidRDefault="00A51D1C" w:rsidP="006B33E3">
            <w:pPr>
              <w:jc w:val="center"/>
              <w:rPr>
                <w:rFonts w:eastAsia="Times New Roman"/>
              </w:rPr>
            </w:pPr>
          </w:p>
        </w:tc>
        <w:tc>
          <w:tcPr>
            <w:tcW w:w="0" w:type="auto"/>
            <w:vAlign w:val="center"/>
            <w:hideMark/>
          </w:tcPr>
          <w:p w14:paraId="508D5AE3" w14:textId="77777777" w:rsidR="00A51D1C" w:rsidRDefault="00A51D1C" w:rsidP="006B33E3">
            <w:pPr>
              <w:jc w:val="center"/>
              <w:rPr>
                <w:rFonts w:eastAsia="Times New Roman"/>
              </w:rPr>
            </w:pPr>
            <w:r>
              <w:rPr>
                <w:rFonts w:eastAsia="Times New Roman"/>
              </w:rPr>
              <w:t>(2.5202)</w:t>
            </w:r>
          </w:p>
        </w:tc>
      </w:tr>
      <w:tr w:rsidR="00A51D1C" w14:paraId="45D7F50D" w14:textId="77777777" w:rsidTr="00CE56E8">
        <w:trPr>
          <w:tblCellSpacing w:w="15" w:type="dxa"/>
          <w:jc w:val="center"/>
        </w:trPr>
        <w:tc>
          <w:tcPr>
            <w:tcW w:w="0" w:type="auto"/>
            <w:vAlign w:val="center"/>
            <w:hideMark/>
          </w:tcPr>
          <w:p w14:paraId="31D402C0" w14:textId="77777777" w:rsidR="00A51D1C" w:rsidRDefault="00A51D1C" w:rsidP="006B33E3">
            <w:pPr>
              <w:jc w:val="left"/>
              <w:rPr>
                <w:rFonts w:eastAsia="Times New Roman"/>
              </w:rPr>
            </w:pPr>
            <w:r>
              <w:rPr>
                <w:rFonts w:eastAsia="Times New Roman"/>
              </w:rPr>
              <w:t>Morning</w:t>
            </w:r>
          </w:p>
        </w:tc>
        <w:tc>
          <w:tcPr>
            <w:tcW w:w="0" w:type="auto"/>
            <w:vAlign w:val="center"/>
            <w:hideMark/>
          </w:tcPr>
          <w:p w14:paraId="2D7A3F37" w14:textId="77777777" w:rsidR="00A51D1C" w:rsidRDefault="00A51D1C" w:rsidP="006B33E3">
            <w:pPr>
              <w:jc w:val="center"/>
              <w:rPr>
                <w:rFonts w:eastAsia="Times New Roman"/>
              </w:rPr>
            </w:pPr>
            <w:r>
              <w:rPr>
                <w:rFonts w:eastAsia="Times New Roman"/>
              </w:rPr>
              <w:t>-1.0268</w:t>
            </w:r>
            <w:r>
              <w:rPr>
                <w:rFonts w:eastAsia="Times New Roman"/>
                <w:vertAlign w:val="superscript"/>
              </w:rPr>
              <w:t>***</w:t>
            </w:r>
          </w:p>
        </w:tc>
      </w:tr>
      <w:tr w:rsidR="00A51D1C" w14:paraId="047B1218" w14:textId="77777777" w:rsidTr="00CE56E8">
        <w:trPr>
          <w:tblCellSpacing w:w="15" w:type="dxa"/>
          <w:jc w:val="center"/>
        </w:trPr>
        <w:tc>
          <w:tcPr>
            <w:tcW w:w="0" w:type="auto"/>
            <w:vAlign w:val="center"/>
            <w:hideMark/>
          </w:tcPr>
          <w:p w14:paraId="08E0C5EC" w14:textId="77777777" w:rsidR="00A51D1C" w:rsidRDefault="00A51D1C" w:rsidP="006B33E3">
            <w:pPr>
              <w:jc w:val="center"/>
              <w:rPr>
                <w:rFonts w:eastAsia="Times New Roman"/>
              </w:rPr>
            </w:pPr>
          </w:p>
        </w:tc>
        <w:tc>
          <w:tcPr>
            <w:tcW w:w="0" w:type="auto"/>
            <w:vAlign w:val="center"/>
            <w:hideMark/>
          </w:tcPr>
          <w:p w14:paraId="3215AC2D" w14:textId="77777777" w:rsidR="00A51D1C" w:rsidRDefault="00A51D1C" w:rsidP="006B33E3">
            <w:pPr>
              <w:jc w:val="center"/>
              <w:rPr>
                <w:rFonts w:eastAsia="Times New Roman"/>
              </w:rPr>
            </w:pPr>
            <w:r>
              <w:rPr>
                <w:rFonts w:eastAsia="Times New Roman"/>
              </w:rPr>
              <w:t>(0.1843)</w:t>
            </w:r>
          </w:p>
        </w:tc>
      </w:tr>
      <w:tr w:rsidR="00A51D1C" w14:paraId="1B915ADD" w14:textId="77777777" w:rsidTr="00CE56E8">
        <w:trPr>
          <w:tblCellSpacing w:w="15" w:type="dxa"/>
          <w:jc w:val="center"/>
        </w:trPr>
        <w:tc>
          <w:tcPr>
            <w:tcW w:w="0" w:type="auto"/>
            <w:vAlign w:val="center"/>
            <w:hideMark/>
          </w:tcPr>
          <w:p w14:paraId="0071CABC" w14:textId="77777777" w:rsidR="00A51D1C" w:rsidRDefault="00A51D1C" w:rsidP="006B33E3">
            <w:pPr>
              <w:jc w:val="left"/>
              <w:rPr>
                <w:rFonts w:eastAsia="Times New Roman"/>
              </w:rPr>
            </w:pPr>
            <w:r>
              <w:rPr>
                <w:rFonts w:eastAsia="Times New Roman"/>
              </w:rPr>
              <w:t>Afternoon</w:t>
            </w:r>
          </w:p>
        </w:tc>
        <w:tc>
          <w:tcPr>
            <w:tcW w:w="0" w:type="auto"/>
            <w:vAlign w:val="center"/>
            <w:hideMark/>
          </w:tcPr>
          <w:p w14:paraId="287B41A0" w14:textId="77777777" w:rsidR="00A51D1C" w:rsidRDefault="00A51D1C" w:rsidP="006B33E3">
            <w:pPr>
              <w:jc w:val="center"/>
              <w:rPr>
                <w:rFonts w:eastAsia="Times New Roman"/>
              </w:rPr>
            </w:pPr>
            <w:r>
              <w:rPr>
                <w:rFonts w:eastAsia="Times New Roman"/>
              </w:rPr>
              <w:t>-1.2300</w:t>
            </w:r>
            <w:r>
              <w:rPr>
                <w:rFonts w:eastAsia="Times New Roman"/>
                <w:vertAlign w:val="superscript"/>
              </w:rPr>
              <w:t>***</w:t>
            </w:r>
          </w:p>
        </w:tc>
      </w:tr>
      <w:tr w:rsidR="00A51D1C" w14:paraId="02227AD4" w14:textId="77777777" w:rsidTr="00CE56E8">
        <w:trPr>
          <w:tblCellSpacing w:w="15" w:type="dxa"/>
          <w:jc w:val="center"/>
        </w:trPr>
        <w:tc>
          <w:tcPr>
            <w:tcW w:w="0" w:type="auto"/>
            <w:vAlign w:val="center"/>
            <w:hideMark/>
          </w:tcPr>
          <w:p w14:paraId="3257970E" w14:textId="77777777" w:rsidR="00A51D1C" w:rsidRDefault="00A51D1C" w:rsidP="006B33E3">
            <w:pPr>
              <w:jc w:val="center"/>
              <w:rPr>
                <w:rFonts w:eastAsia="Times New Roman"/>
              </w:rPr>
            </w:pPr>
          </w:p>
        </w:tc>
        <w:tc>
          <w:tcPr>
            <w:tcW w:w="0" w:type="auto"/>
            <w:vAlign w:val="center"/>
            <w:hideMark/>
          </w:tcPr>
          <w:p w14:paraId="654AD035" w14:textId="77777777" w:rsidR="00A51D1C" w:rsidRDefault="00A51D1C" w:rsidP="006B33E3">
            <w:pPr>
              <w:jc w:val="center"/>
              <w:rPr>
                <w:rFonts w:eastAsia="Times New Roman"/>
              </w:rPr>
            </w:pPr>
            <w:r>
              <w:rPr>
                <w:rFonts w:eastAsia="Times New Roman"/>
              </w:rPr>
              <w:t>(0.1814)</w:t>
            </w:r>
          </w:p>
        </w:tc>
      </w:tr>
      <w:tr w:rsidR="00A51D1C" w14:paraId="58ADBCE3" w14:textId="77777777" w:rsidTr="00CE56E8">
        <w:trPr>
          <w:tblCellSpacing w:w="15" w:type="dxa"/>
          <w:jc w:val="center"/>
        </w:trPr>
        <w:tc>
          <w:tcPr>
            <w:tcW w:w="0" w:type="auto"/>
            <w:vAlign w:val="center"/>
            <w:hideMark/>
          </w:tcPr>
          <w:p w14:paraId="7FCED2A8" w14:textId="77777777" w:rsidR="00A51D1C" w:rsidRDefault="00A51D1C" w:rsidP="006B33E3">
            <w:pPr>
              <w:jc w:val="left"/>
              <w:rPr>
                <w:rFonts w:eastAsia="Times New Roman"/>
              </w:rPr>
            </w:pPr>
            <w:r>
              <w:rPr>
                <w:rFonts w:eastAsia="Times New Roman"/>
              </w:rPr>
              <w:t>Off Hours</w:t>
            </w:r>
          </w:p>
        </w:tc>
        <w:tc>
          <w:tcPr>
            <w:tcW w:w="0" w:type="auto"/>
            <w:vAlign w:val="center"/>
            <w:hideMark/>
          </w:tcPr>
          <w:p w14:paraId="3C74675A" w14:textId="77777777" w:rsidR="00A51D1C" w:rsidRDefault="00A51D1C" w:rsidP="006B33E3">
            <w:pPr>
              <w:jc w:val="center"/>
              <w:rPr>
                <w:rFonts w:eastAsia="Times New Roman"/>
              </w:rPr>
            </w:pPr>
            <w:r>
              <w:rPr>
                <w:rFonts w:eastAsia="Times New Roman"/>
              </w:rPr>
              <w:t>-1.3042</w:t>
            </w:r>
            <w:r>
              <w:rPr>
                <w:rFonts w:eastAsia="Times New Roman"/>
                <w:vertAlign w:val="superscript"/>
              </w:rPr>
              <w:t>***</w:t>
            </w:r>
          </w:p>
        </w:tc>
      </w:tr>
      <w:tr w:rsidR="00A51D1C" w14:paraId="74349EB4" w14:textId="77777777" w:rsidTr="00CE56E8">
        <w:trPr>
          <w:tblCellSpacing w:w="15" w:type="dxa"/>
          <w:jc w:val="center"/>
        </w:trPr>
        <w:tc>
          <w:tcPr>
            <w:tcW w:w="0" w:type="auto"/>
            <w:vAlign w:val="center"/>
            <w:hideMark/>
          </w:tcPr>
          <w:p w14:paraId="1C343E76" w14:textId="77777777" w:rsidR="00A51D1C" w:rsidRDefault="00A51D1C" w:rsidP="006B33E3">
            <w:pPr>
              <w:jc w:val="center"/>
              <w:rPr>
                <w:rFonts w:eastAsia="Times New Roman"/>
              </w:rPr>
            </w:pPr>
          </w:p>
        </w:tc>
        <w:tc>
          <w:tcPr>
            <w:tcW w:w="0" w:type="auto"/>
            <w:vAlign w:val="center"/>
            <w:hideMark/>
          </w:tcPr>
          <w:p w14:paraId="1B4D0139" w14:textId="77777777" w:rsidR="00A51D1C" w:rsidRDefault="00A51D1C" w:rsidP="006B33E3">
            <w:pPr>
              <w:jc w:val="center"/>
              <w:rPr>
                <w:rFonts w:eastAsia="Times New Roman"/>
              </w:rPr>
            </w:pPr>
            <w:r>
              <w:rPr>
                <w:rFonts w:eastAsia="Times New Roman"/>
              </w:rPr>
              <w:t>(0.2125)</w:t>
            </w:r>
          </w:p>
        </w:tc>
      </w:tr>
      <w:tr w:rsidR="00A51D1C" w14:paraId="6B3394EB" w14:textId="77777777" w:rsidTr="00CE56E8">
        <w:trPr>
          <w:tblCellSpacing w:w="15" w:type="dxa"/>
          <w:jc w:val="center"/>
        </w:trPr>
        <w:tc>
          <w:tcPr>
            <w:tcW w:w="0" w:type="auto"/>
            <w:vAlign w:val="center"/>
            <w:hideMark/>
          </w:tcPr>
          <w:p w14:paraId="21B945AC" w14:textId="77777777" w:rsidR="00A51D1C" w:rsidRDefault="00A51D1C" w:rsidP="006B33E3">
            <w:pPr>
              <w:jc w:val="left"/>
              <w:rPr>
                <w:rFonts w:eastAsia="Times New Roman"/>
              </w:rPr>
            </w:pPr>
            <w:r>
              <w:rPr>
                <w:rFonts w:eastAsia="Times New Roman"/>
              </w:rPr>
              <w:t>Monday</w:t>
            </w:r>
          </w:p>
        </w:tc>
        <w:tc>
          <w:tcPr>
            <w:tcW w:w="0" w:type="auto"/>
            <w:vAlign w:val="center"/>
            <w:hideMark/>
          </w:tcPr>
          <w:p w14:paraId="5BB288B6" w14:textId="77777777" w:rsidR="00A51D1C" w:rsidRDefault="00A51D1C" w:rsidP="006B33E3">
            <w:pPr>
              <w:jc w:val="center"/>
              <w:rPr>
                <w:rFonts w:eastAsia="Times New Roman"/>
              </w:rPr>
            </w:pPr>
            <w:r>
              <w:rPr>
                <w:rFonts w:eastAsia="Times New Roman"/>
              </w:rPr>
              <w:t>1.5552</w:t>
            </w:r>
            <w:r>
              <w:rPr>
                <w:rFonts w:eastAsia="Times New Roman"/>
                <w:vertAlign w:val="superscript"/>
              </w:rPr>
              <w:t>***</w:t>
            </w:r>
          </w:p>
        </w:tc>
      </w:tr>
      <w:tr w:rsidR="00A51D1C" w14:paraId="75EA5E55" w14:textId="77777777" w:rsidTr="00CE56E8">
        <w:trPr>
          <w:tblCellSpacing w:w="15" w:type="dxa"/>
          <w:jc w:val="center"/>
        </w:trPr>
        <w:tc>
          <w:tcPr>
            <w:tcW w:w="0" w:type="auto"/>
            <w:vAlign w:val="center"/>
            <w:hideMark/>
          </w:tcPr>
          <w:p w14:paraId="34E4DD4E" w14:textId="77777777" w:rsidR="00A51D1C" w:rsidRDefault="00A51D1C" w:rsidP="006B33E3">
            <w:pPr>
              <w:jc w:val="center"/>
              <w:rPr>
                <w:rFonts w:eastAsia="Times New Roman"/>
              </w:rPr>
            </w:pPr>
          </w:p>
        </w:tc>
        <w:tc>
          <w:tcPr>
            <w:tcW w:w="0" w:type="auto"/>
            <w:vAlign w:val="center"/>
            <w:hideMark/>
          </w:tcPr>
          <w:p w14:paraId="4B0ABC65" w14:textId="77777777" w:rsidR="00A51D1C" w:rsidRDefault="00A51D1C" w:rsidP="006B33E3">
            <w:pPr>
              <w:jc w:val="center"/>
              <w:rPr>
                <w:rFonts w:eastAsia="Times New Roman"/>
              </w:rPr>
            </w:pPr>
            <w:r>
              <w:rPr>
                <w:rFonts w:eastAsia="Times New Roman"/>
              </w:rPr>
              <w:t>(0.2245)</w:t>
            </w:r>
          </w:p>
        </w:tc>
      </w:tr>
      <w:tr w:rsidR="00A51D1C" w14:paraId="1444F123" w14:textId="77777777" w:rsidTr="00CE56E8">
        <w:trPr>
          <w:tblCellSpacing w:w="15" w:type="dxa"/>
          <w:jc w:val="center"/>
        </w:trPr>
        <w:tc>
          <w:tcPr>
            <w:tcW w:w="0" w:type="auto"/>
            <w:vAlign w:val="center"/>
            <w:hideMark/>
          </w:tcPr>
          <w:p w14:paraId="3B31D572" w14:textId="77777777" w:rsidR="00A51D1C" w:rsidRDefault="00A51D1C" w:rsidP="006B33E3">
            <w:pPr>
              <w:jc w:val="left"/>
              <w:rPr>
                <w:rFonts w:eastAsia="Times New Roman"/>
              </w:rPr>
            </w:pPr>
            <w:r>
              <w:rPr>
                <w:rFonts w:eastAsia="Times New Roman"/>
              </w:rPr>
              <w:t xml:space="preserve"> Tuesday</w:t>
            </w:r>
          </w:p>
        </w:tc>
        <w:tc>
          <w:tcPr>
            <w:tcW w:w="0" w:type="auto"/>
            <w:vAlign w:val="center"/>
            <w:hideMark/>
          </w:tcPr>
          <w:p w14:paraId="01D645EB" w14:textId="77777777" w:rsidR="00A51D1C" w:rsidRDefault="00A51D1C" w:rsidP="006B33E3">
            <w:pPr>
              <w:jc w:val="center"/>
              <w:rPr>
                <w:rFonts w:eastAsia="Times New Roman"/>
              </w:rPr>
            </w:pPr>
            <w:r>
              <w:rPr>
                <w:rFonts w:eastAsia="Times New Roman"/>
              </w:rPr>
              <w:t>2.3847</w:t>
            </w:r>
            <w:r>
              <w:rPr>
                <w:rFonts w:eastAsia="Times New Roman"/>
                <w:vertAlign w:val="superscript"/>
              </w:rPr>
              <w:t>***</w:t>
            </w:r>
          </w:p>
        </w:tc>
      </w:tr>
      <w:tr w:rsidR="00A51D1C" w14:paraId="0BF45A25" w14:textId="77777777" w:rsidTr="00CE56E8">
        <w:trPr>
          <w:tblCellSpacing w:w="15" w:type="dxa"/>
          <w:jc w:val="center"/>
        </w:trPr>
        <w:tc>
          <w:tcPr>
            <w:tcW w:w="0" w:type="auto"/>
            <w:vAlign w:val="center"/>
            <w:hideMark/>
          </w:tcPr>
          <w:p w14:paraId="33E37800" w14:textId="77777777" w:rsidR="00A51D1C" w:rsidRDefault="00A51D1C" w:rsidP="006B33E3">
            <w:pPr>
              <w:jc w:val="center"/>
              <w:rPr>
                <w:rFonts w:eastAsia="Times New Roman"/>
              </w:rPr>
            </w:pPr>
          </w:p>
        </w:tc>
        <w:tc>
          <w:tcPr>
            <w:tcW w:w="0" w:type="auto"/>
            <w:vAlign w:val="center"/>
            <w:hideMark/>
          </w:tcPr>
          <w:p w14:paraId="387F6FE4" w14:textId="77777777" w:rsidR="00A51D1C" w:rsidRDefault="00A51D1C" w:rsidP="006B33E3">
            <w:pPr>
              <w:jc w:val="center"/>
              <w:rPr>
                <w:rFonts w:eastAsia="Times New Roman"/>
              </w:rPr>
            </w:pPr>
            <w:r>
              <w:rPr>
                <w:rFonts w:eastAsia="Times New Roman"/>
              </w:rPr>
              <w:t>(0.2071)</w:t>
            </w:r>
          </w:p>
        </w:tc>
      </w:tr>
      <w:tr w:rsidR="00A51D1C" w14:paraId="2937E0A2" w14:textId="77777777" w:rsidTr="00CE56E8">
        <w:trPr>
          <w:tblCellSpacing w:w="15" w:type="dxa"/>
          <w:jc w:val="center"/>
        </w:trPr>
        <w:tc>
          <w:tcPr>
            <w:tcW w:w="0" w:type="auto"/>
            <w:vAlign w:val="center"/>
            <w:hideMark/>
          </w:tcPr>
          <w:p w14:paraId="3832E887" w14:textId="77777777" w:rsidR="00A51D1C" w:rsidRDefault="00A51D1C" w:rsidP="006B33E3">
            <w:pPr>
              <w:jc w:val="left"/>
              <w:rPr>
                <w:rFonts w:eastAsia="Times New Roman"/>
              </w:rPr>
            </w:pPr>
            <w:r>
              <w:rPr>
                <w:rFonts w:eastAsia="Times New Roman"/>
              </w:rPr>
              <w:lastRenderedPageBreak/>
              <w:t>Thursday</w:t>
            </w:r>
          </w:p>
        </w:tc>
        <w:tc>
          <w:tcPr>
            <w:tcW w:w="0" w:type="auto"/>
            <w:vAlign w:val="center"/>
            <w:hideMark/>
          </w:tcPr>
          <w:p w14:paraId="140F4788" w14:textId="77777777" w:rsidR="00A51D1C" w:rsidRDefault="00A51D1C" w:rsidP="006B33E3">
            <w:pPr>
              <w:jc w:val="center"/>
              <w:rPr>
                <w:rFonts w:eastAsia="Times New Roman"/>
              </w:rPr>
            </w:pPr>
            <w:r>
              <w:rPr>
                <w:rFonts w:eastAsia="Times New Roman"/>
              </w:rPr>
              <w:t>2.7650</w:t>
            </w:r>
            <w:r>
              <w:rPr>
                <w:rFonts w:eastAsia="Times New Roman"/>
                <w:vertAlign w:val="superscript"/>
              </w:rPr>
              <w:t>***</w:t>
            </w:r>
          </w:p>
        </w:tc>
      </w:tr>
      <w:tr w:rsidR="00A51D1C" w14:paraId="0B6E4D0C" w14:textId="77777777" w:rsidTr="00CE56E8">
        <w:trPr>
          <w:tblCellSpacing w:w="15" w:type="dxa"/>
          <w:jc w:val="center"/>
        </w:trPr>
        <w:tc>
          <w:tcPr>
            <w:tcW w:w="0" w:type="auto"/>
            <w:vAlign w:val="center"/>
            <w:hideMark/>
          </w:tcPr>
          <w:p w14:paraId="5FB1717B" w14:textId="77777777" w:rsidR="00A51D1C" w:rsidRDefault="00A51D1C" w:rsidP="006B33E3">
            <w:pPr>
              <w:jc w:val="center"/>
              <w:rPr>
                <w:rFonts w:eastAsia="Times New Roman"/>
              </w:rPr>
            </w:pPr>
          </w:p>
        </w:tc>
        <w:tc>
          <w:tcPr>
            <w:tcW w:w="0" w:type="auto"/>
            <w:vAlign w:val="center"/>
            <w:hideMark/>
          </w:tcPr>
          <w:p w14:paraId="355B523A" w14:textId="77777777" w:rsidR="00A51D1C" w:rsidRDefault="00A51D1C" w:rsidP="006B33E3">
            <w:pPr>
              <w:jc w:val="center"/>
              <w:rPr>
                <w:rFonts w:eastAsia="Times New Roman"/>
              </w:rPr>
            </w:pPr>
            <w:r>
              <w:rPr>
                <w:rFonts w:eastAsia="Times New Roman"/>
              </w:rPr>
              <w:t>(0.2006)</w:t>
            </w:r>
          </w:p>
        </w:tc>
      </w:tr>
      <w:tr w:rsidR="00A51D1C" w14:paraId="4F6906DC" w14:textId="77777777" w:rsidTr="00CE56E8">
        <w:trPr>
          <w:tblCellSpacing w:w="15" w:type="dxa"/>
          <w:jc w:val="center"/>
        </w:trPr>
        <w:tc>
          <w:tcPr>
            <w:tcW w:w="0" w:type="auto"/>
            <w:vAlign w:val="center"/>
            <w:hideMark/>
          </w:tcPr>
          <w:p w14:paraId="218E6DE6" w14:textId="77777777" w:rsidR="00A51D1C" w:rsidRDefault="00A51D1C" w:rsidP="006B33E3">
            <w:pPr>
              <w:jc w:val="left"/>
              <w:rPr>
                <w:rFonts w:eastAsia="Times New Roman"/>
              </w:rPr>
            </w:pPr>
            <w:r>
              <w:rPr>
                <w:rFonts w:eastAsia="Times New Roman"/>
              </w:rPr>
              <w:t>Friday</w:t>
            </w:r>
          </w:p>
        </w:tc>
        <w:tc>
          <w:tcPr>
            <w:tcW w:w="0" w:type="auto"/>
            <w:vAlign w:val="center"/>
            <w:hideMark/>
          </w:tcPr>
          <w:p w14:paraId="701ACE4B" w14:textId="77777777" w:rsidR="00A51D1C" w:rsidRDefault="00A51D1C" w:rsidP="006B33E3">
            <w:pPr>
              <w:jc w:val="center"/>
              <w:rPr>
                <w:rFonts w:eastAsia="Times New Roman"/>
              </w:rPr>
            </w:pPr>
            <w:r>
              <w:rPr>
                <w:rFonts w:eastAsia="Times New Roman"/>
              </w:rPr>
              <w:t>0.9402</w:t>
            </w:r>
            <w:r>
              <w:rPr>
                <w:rFonts w:eastAsia="Times New Roman"/>
                <w:vertAlign w:val="superscript"/>
              </w:rPr>
              <w:t>***</w:t>
            </w:r>
          </w:p>
        </w:tc>
      </w:tr>
      <w:tr w:rsidR="00A51D1C" w14:paraId="2A673CAC" w14:textId="77777777" w:rsidTr="00CE56E8">
        <w:trPr>
          <w:tblCellSpacing w:w="15" w:type="dxa"/>
          <w:jc w:val="center"/>
        </w:trPr>
        <w:tc>
          <w:tcPr>
            <w:tcW w:w="0" w:type="auto"/>
            <w:vAlign w:val="center"/>
            <w:hideMark/>
          </w:tcPr>
          <w:p w14:paraId="0B390A41" w14:textId="77777777" w:rsidR="00A51D1C" w:rsidRDefault="00A51D1C" w:rsidP="006B33E3">
            <w:pPr>
              <w:jc w:val="center"/>
              <w:rPr>
                <w:rFonts w:eastAsia="Times New Roman"/>
              </w:rPr>
            </w:pPr>
          </w:p>
        </w:tc>
        <w:tc>
          <w:tcPr>
            <w:tcW w:w="0" w:type="auto"/>
            <w:vAlign w:val="center"/>
            <w:hideMark/>
          </w:tcPr>
          <w:p w14:paraId="264B1B68" w14:textId="77777777" w:rsidR="00A51D1C" w:rsidRDefault="00A51D1C" w:rsidP="006B33E3">
            <w:pPr>
              <w:jc w:val="center"/>
              <w:rPr>
                <w:rFonts w:eastAsia="Times New Roman"/>
              </w:rPr>
            </w:pPr>
            <w:r>
              <w:rPr>
                <w:rFonts w:eastAsia="Times New Roman"/>
              </w:rPr>
              <w:t>(0.2125)</w:t>
            </w:r>
          </w:p>
        </w:tc>
      </w:tr>
      <w:tr w:rsidR="00A51D1C" w14:paraId="0E6A8770" w14:textId="77777777" w:rsidTr="00CE56E8">
        <w:trPr>
          <w:tblCellSpacing w:w="15" w:type="dxa"/>
          <w:jc w:val="center"/>
        </w:trPr>
        <w:tc>
          <w:tcPr>
            <w:tcW w:w="0" w:type="auto"/>
            <w:vAlign w:val="center"/>
            <w:hideMark/>
          </w:tcPr>
          <w:p w14:paraId="558F6ECC" w14:textId="77777777" w:rsidR="00A51D1C" w:rsidRDefault="00A51D1C" w:rsidP="006B33E3">
            <w:pPr>
              <w:jc w:val="left"/>
              <w:rPr>
                <w:rFonts w:eastAsia="Times New Roman"/>
              </w:rPr>
            </w:pPr>
            <w:r>
              <w:rPr>
                <w:rFonts w:eastAsia="Times New Roman"/>
              </w:rPr>
              <w:t>Group * Period</w:t>
            </w:r>
          </w:p>
        </w:tc>
        <w:tc>
          <w:tcPr>
            <w:tcW w:w="0" w:type="auto"/>
            <w:vAlign w:val="center"/>
            <w:hideMark/>
          </w:tcPr>
          <w:p w14:paraId="7A9A598E" w14:textId="77777777" w:rsidR="00A51D1C" w:rsidRDefault="00A51D1C" w:rsidP="006B33E3">
            <w:pPr>
              <w:jc w:val="center"/>
              <w:rPr>
                <w:rFonts w:eastAsia="Times New Roman"/>
              </w:rPr>
            </w:pPr>
            <w:r>
              <w:rPr>
                <w:rFonts w:eastAsia="Times New Roman"/>
              </w:rPr>
              <w:t>13.4560</w:t>
            </w:r>
            <w:r>
              <w:rPr>
                <w:rFonts w:eastAsia="Times New Roman"/>
                <w:vertAlign w:val="superscript"/>
              </w:rPr>
              <w:t>***</w:t>
            </w:r>
          </w:p>
        </w:tc>
      </w:tr>
      <w:tr w:rsidR="00A51D1C" w14:paraId="6F48D1C1" w14:textId="77777777" w:rsidTr="00CE56E8">
        <w:trPr>
          <w:tblCellSpacing w:w="15" w:type="dxa"/>
          <w:jc w:val="center"/>
        </w:trPr>
        <w:tc>
          <w:tcPr>
            <w:tcW w:w="0" w:type="auto"/>
            <w:vAlign w:val="center"/>
            <w:hideMark/>
          </w:tcPr>
          <w:p w14:paraId="27DA87EA" w14:textId="77777777" w:rsidR="00A51D1C" w:rsidRDefault="00A51D1C" w:rsidP="006B33E3">
            <w:pPr>
              <w:jc w:val="center"/>
              <w:rPr>
                <w:rFonts w:eastAsia="Times New Roman"/>
              </w:rPr>
            </w:pPr>
          </w:p>
        </w:tc>
        <w:tc>
          <w:tcPr>
            <w:tcW w:w="0" w:type="auto"/>
            <w:vAlign w:val="center"/>
            <w:hideMark/>
          </w:tcPr>
          <w:p w14:paraId="059CE6A4" w14:textId="77777777" w:rsidR="00A51D1C" w:rsidRDefault="00A51D1C" w:rsidP="006B33E3">
            <w:pPr>
              <w:jc w:val="center"/>
              <w:rPr>
                <w:rFonts w:eastAsia="Times New Roman"/>
              </w:rPr>
            </w:pPr>
            <w:r>
              <w:rPr>
                <w:rFonts w:eastAsia="Times New Roman"/>
              </w:rPr>
              <w:t>(0.6840)</w:t>
            </w:r>
          </w:p>
        </w:tc>
      </w:tr>
      <w:tr w:rsidR="00A51D1C" w14:paraId="1A788BF4" w14:textId="77777777" w:rsidTr="00CE56E8">
        <w:trPr>
          <w:tblCellSpacing w:w="15" w:type="dxa"/>
          <w:jc w:val="center"/>
        </w:trPr>
        <w:tc>
          <w:tcPr>
            <w:tcW w:w="0" w:type="auto"/>
            <w:vAlign w:val="center"/>
            <w:hideMark/>
          </w:tcPr>
          <w:p w14:paraId="57A3D172" w14:textId="77777777" w:rsidR="00A51D1C" w:rsidRDefault="00A51D1C" w:rsidP="006B33E3">
            <w:pPr>
              <w:jc w:val="left"/>
              <w:rPr>
                <w:rFonts w:eastAsia="Times New Roman"/>
              </w:rPr>
            </w:pPr>
            <w:r>
              <w:rPr>
                <w:rFonts w:eastAsia="Times New Roman"/>
              </w:rPr>
              <w:t>Constant</w:t>
            </w:r>
          </w:p>
        </w:tc>
        <w:tc>
          <w:tcPr>
            <w:tcW w:w="0" w:type="auto"/>
            <w:vAlign w:val="center"/>
            <w:hideMark/>
          </w:tcPr>
          <w:p w14:paraId="42A6F7AD" w14:textId="77777777" w:rsidR="00A51D1C" w:rsidRDefault="00A51D1C" w:rsidP="006B33E3">
            <w:pPr>
              <w:jc w:val="center"/>
              <w:rPr>
                <w:rFonts w:eastAsia="Times New Roman"/>
              </w:rPr>
            </w:pPr>
            <w:r>
              <w:rPr>
                <w:rFonts w:eastAsia="Times New Roman"/>
              </w:rPr>
              <w:t>-7.6601</w:t>
            </w:r>
            <w:r>
              <w:rPr>
                <w:rFonts w:eastAsia="Times New Roman"/>
                <w:vertAlign w:val="superscript"/>
              </w:rPr>
              <w:t>***</w:t>
            </w:r>
          </w:p>
        </w:tc>
      </w:tr>
      <w:tr w:rsidR="00A51D1C" w14:paraId="67C02FD1" w14:textId="77777777" w:rsidTr="00CE56E8">
        <w:trPr>
          <w:tblCellSpacing w:w="15" w:type="dxa"/>
          <w:jc w:val="center"/>
        </w:trPr>
        <w:tc>
          <w:tcPr>
            <w:tcW w:w="0" w:type="auto"/>
            <w:vAlign w:val="center"/>
            <w:hideMark/>
          </w:tcPr>
          <w:p w14:paraId="1D9DDCE5" w14:textId="77777777" w:rsidR="00A51D1C" w:rsidRDefault="00A51D1C" w:rsidP="006B33E3">
            <w:pPr>
              <w:jc w:val="center"/>
              <w:rPr>
                <w:rFonts w:eastAsia="Times New Roman"/>
              </w:rPr>
            </w:pPr>
          </w:p>
        </w:tc>
        <w:tc>
          <w:tcPr>
            <w:tcW w:w="0" w:type="auto"/>
            <w:vAlign w:val="center"/>
            <w:hideMark/>
          </w:tcPr>
          <w:p w14:paraId="4C2FFB15" w14:textId="77777777" w:rsidR="00A51D1C" w:rsidRDefault="00A51D1C" w:rsidP="006B33E3">
            <w:pPr>
              <w:jc w:val="center"/>
              <w:rPr>
                <w:rFonts w:eastAsia="Times New Roman"/>
              </w:rPr>
            </w:pPr>
            <w:r>
              <w:rPr>
                <w:rFonts w:eastAsia="Times New Roman"/>
              </w:rPr>
              <w:t>(0.7760)</w:t>
            </w:r>
          </w:p>
        </w:tc>
      </w:tr>
      <w:tr w:rsidR="00A51D1C" w14:paraId="7283131F" w14:textId="77777777" w:rsidTr="00CE56E8">
        <w:trPr>
          <w:tblCellSpacing w:w="15" w:type="dxa"/>
          <w:jc w:val="center"/>
        </w:trPr>
        <w:tc>
          <w:tcPr>
            <w:tcW w:w="0" w:type="auto"/>
            <w:gridSpan w:val="2"/>
            <w:tcBorders>
              <w:bottom w:val="single" w:sz="6" w:space="0" w:color="000000"/>
            </w:tcBorders>
            <w:vAlign w:val="center"/>
            <w:hideMark/>
          </w:tcPr>
          <w:p w14:paraId="52F740F0" w14:textId="77777777" w:rsidR="00A51D1C" w:rsidRDefault="00A51D1C" w:rsidP="006B33E3">
            <w:pPr>
              <w:jc w:val="center"/>
              <w:rPr>
                <w:rFonts w:eastAsia="Times New Roman"/>
              </w:rPr>
            </w:pPr>
          </w:p>
        </w:tc>
      </w:tr>
      <w:tr w:rsidR="00A51D1C" w14:paraId="3127CE6A" w14:textId="77777777" w:rsidTr="00CE56E8">
        <w:trPr>
          <w:tblCellSpacing w:w="15" w:type="dxa"/>
          <w:jc w:val="center"/>
        </w:trPr>
        <w:tc>
          <w:tcPr>
            <w:tcW w:w="0" w:type="auto"/>
            <w:vAlign w:val="center"/>
            <w:hideMark/>
          </w:tcPr>
          <w:p w14:paraId="29818798" w14:textId="77777777" w:rsidR="00A51D1C" w:rsidRDefault="00A51D1C" w:rsidP="006B33E3">
            <w:pPr>
              <w:jc w:val="left"/>
              <w:rPr>
                <w:rFonts w:eastAsia="Times New Roman"/>
              </w:rPr>
            </w:pPr>
            <w:r>
              <w:rPr>
                <w:rFonts w:eastAsia="Times New Roman"/>
              </w:rPr>
              <w:t>Observations</w:t>
            </w:r>
          </w:p>
        </w:tc>
        <w:tc>
          <w:tcPr>
            <w:tcW w:w="0" w:type="auto"/>
            <w:vAlign w:val="center"/>
            <w:hideMark/>
          </w:tcPr>
          <w:p w14:paraId="693BAB4E" w14:textId="77777777" w:rsidR="00A51D1C" w:rsidRDefault="00A51D1C" w:rsidP="006B33E3">
            <w:pPr>
              <w:jc w:val="center"/>
              <w:rPr>
                <w:rFonts w:eastAsia="Times New Roman"/>
              </w:rPr>
            </w:pPr>
            <w:r>
              <w:rPr>
                <w:rFonts w:eastAsia="Times New Roman"/>
              </w:rPr>
              <w:t>27,210</w:t>
            </w:r>
          </w:p>
        </w:tc>
      </w:tr>
      <w:tr w:rsidR="00A51D1C" w14:paraId="3B5D6641" w14:textId="77777777" w:rsidTr="00CE56E8">
        <w:trPr>
          <w:tblCellSpacing w:w="15" w:type="dxa"/>
          <w:jc w:val="center"/>
        </w:trPr>
        <w:tc>
          <w:tcPr>
            <w:tcW w:w="0" w:type="auto"/>
            <w:vAlign w:val="center"/>
            <w:hideMark/>
          </w:tcPr>
          <w:p w14:paraId="5F2694BE" w14:textId="77777777" w:rsidR="00A51D1C" w:rsidRDefault="00A51D1C"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6252DDD" w14:textId="77777777" w:rsidR="00A51D1C" w:rsidRDefault="00A51D1C" w:rsidP="006B33E3">
            <w:pPr>
              <w:jc w:val="center"/>
              <w:rPr>
                <w:rFonts w:eastAsia="Times New Roman"/>
              </w:rPr>
            </w:pPr>
            <w:r>
              <w:rPr>
                <w:rFonts w:eastAsia="Times New Roman"/>
              </w:rPr>
              <w:t>0.0441</w:t>
            </w:r>
          </w:p>
        </w:tc>
      </w:tr>
      <w:tr w:rsidR="00A51D1C" w14:paraId="65D12A67" w14:textId="77777777" w:rsidTr="00CE56E8">
        <w:trPr>
          <w:tblCellSpacing w:w="15" w:type="dxa"/>
          <w:jc w:val="center"/>
        </w:trPr>
        <w:tc>
          <w:tcPr>
            <w:tcW w:w="0" w:type="auto"/>
            <w:vAlign w:val="center"/>
            <w:hideMark/>
          </w:tcPr>
          <w:p w14:paraId="0928A5D5" w14:textId="77777777" w:rsidR="00A51D1C" w:rsidRDefault="00A51D1C"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6E842A" w14:textId="77777777" w:rsidR="00A51D1C" w:rsidRDefault="00A51D1C" w:rsidP="006B33E3">
            <w:pPr>
              <w:jc w:val="center"/>
              <w:rPr>
                <w:rFonts w:eastAsia="Times New Roman"/>
              </w:rPr>
            </w:pPr>
            <w:r>
              <w:rPr>
                <w:rFonts w:eastAsia="Times New Roman"/>
              </w:rPr>
              <w:t>0.0436</w:t>
            </w:r>
          </w:p>
        </w:tc>
      </w:tr>
      <w:tr w:rsidR="00A51D1C" w14:paraId="04559FEE" w14:textId="77777777" w:rsidTr="00CE56E8">
        <w:trPr>
          <w:tblCellSpacing w:w="15" w:type="dxa"/>
          <w:jc w:val="center"/>
        </w:trPr>
        <w:tc>
          <w:tcPr>
            <w:tcW w:w="0" w:type="auto"/>
            <w:vAlign w:val="center"/>
            <w:hideMark/>
          </w:tcPr>
          <w:p w14:paraId="2454A7E2" w14:textId="77777777" w:rsidR="00A51D1C" w:rsidRDefault="00A51D1C" w:rsidP="006B33E3">
            <w:pPr>
              <w:jc w:val="left"/>
              <w:rPr>
                <w:rFonts w:eastAsia="Times New Roman"/>
              </w:rPr>
            </w:pPr>
            <w:r>
              <w:rPr>
                <w:rFonts w:eastAsia="Times New Roman"/>
              </w:rPr>
              <w:t>Residual Std. Error</w:t>
            </w:r>
          </w:p>
        </w:tc>
        <w:tc>
          <w:tcPr>
            <w:tcW w:w="0" w:type="auto"/>
            <w:vAlign w:val="center"/>
            <w:hideMark/>
          </w:tcPr>
          <w:p w14:paraId="5EB9433F" w14:textId="77777777" w:rsidR="00A51D1C" w:rsidRDefault="00A51D1C" w:rsidP="006B33E3">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A51D1C" w14:paraId="07592F5F" w14:textId="77777777" w:rsidTr="00CE56E8">
        <w:trPr>
          <w:tblCellSpacing w:w="15" w:type="dxa"/>
          <w:jc w:val="center"/>
        </w:trPr>
        <w:tc>
          <w:tcPr>
            <w:tcW w:w="0" w:type="auto"/>
            <w:vAlign w:val="center"/>
            <w:hideMark/>
          </w:tcPr>
          <w:p w14:paraId="63E53158" w14:textId="77777777" w:rsidR="00A51D1C" w:rsidRDefault="00A51D1C" w:rsidP="006B33E3">
            <w:pPr>
              <w:jc w:val="left"/>
              <w:rPr>
                <w:rFonts w:eastAsia="Times New Roman"/>
              </w:rPr>
            </w:pPr>
            <w:r>
              <w:rPr>
                <w:rFonts w:eastAsia="Times New Roman"/>
              </w:rPr>
              <w:t>F Statistic</w:t>
            </w:r>
          </w:p>
        </w:tc>
        <w:tc>
          <w:tcPr>
            <w:tcW w:w="0" w:type="auto"/>
            <w:vAlign w:val="center"/>
            <w:hideMark/>
          </w:tcPr>
          <w:p w14:paraId="6AA2EC89" w14:textId="77777777" w:rsidR="00A51D1C" w:rsidRDefault="00A51D1C" w:rsidP="006B33E3">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A51D1C" w14:paraId="203D0073" w14:textId="77777777" w:rsidTr="00CE56E8">
        <w:trPr>
          <w:tblCellSpacing w:w="15" w:type="dxa"/>
          <w:jc w:val="center"/>
        </w:trPr>
        <w:tc>
          <w:tcPr>
            <w:tcW w:w="0" w:type="auto"/>
            <w:gridSpan w:val="2"/>
            <w:tcBorders>
              <w:bottom w:val="single" w:sz="6" w:space="0" w:color="000000"/>
            </w:tcBorders>
            <w:vAlign w:val="center"/>
            <w:hideMark/>
          </w:tcPr>
          <w:p w14:paraId="037AFCB3" w14:textId="77777777" w:rsidR="00A51D1C" w:rsidRDefault="00A51D1C" w:rsidP="006B33E3">
            <w:pPr>
              <w:jc w:val="center"/>
              <w:rPr>
                <w:rFonts w:eastAsia="Times New Roman"/>
              </w:rPr>
            </w:pPr>
          </w:p>
        </w:tc>
      </w:tr>
      <w:tr w:rsidR="00A51D1C" w14:paraId="5F4EDF40" w14:textId="77777777" w:rsidTr="00CE56E8">
        <w:trPr>
          <w:tblCellSpacing w:w="15" w:type="dxa"/>
          <w:jc w:val="center"/>
        </w:trPr>
        <w:tc>
          <w:tcPr>
            <w:tcW w:w="0" w:type="auto"/>
            <w:vAlign w:val="center"/>
            <w:hideMark/>
          </w:tcPr>
          <w:p w14:paraId="5F46EFB3" w14:textId="77777777" w:rsidR="00A51D1C" w:rsidRDefault="00A51D1C" w:rsidP="006B33E3">
            <w:pPr>
              <w:jc w:val="left"/>
              <w:rPr>
                <w:rFonts w:eastAsia="Times New Roman"/>
              </w:rPr>
            </w:pPr>
            <w:r>
              <w:rPr>
                <w:rStyle w:val="Emphasis"/>
              </w:rPr>
              <w:t>Note:</w:t>
            </w:r>
          </w:p>
        </w:tc>
        <w:tc>
          <w:tcPr>
            <w:tcW w:w="0" w:type="auto"/>
            <w:vAlign w:val="center"/>
            <w:hideMark/>
          </w:tcPr>
          <w:p w14:paraId="3F66A182" w14:textId="77777777" w:rsidR="00A51D1C" w:rsidRDefault="00A51D1C"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5EE8FF" w14:textId="75CFD50F" w:rsidR="007A3E13" w:rsidRDefault="007A3E13" w:rsidP="005415DB">
      <w:pPr>
        <w:ind w:firstLine="0"/>
      </w:pPr>
    </w:p>
    <w:sectPr w:rsidR="007A3E13"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DBCF6" w14:textId="77777777" w:rsidR="00CF412B" w:rsidRDefault="00CF412B" w:rsidP="00916B59">
      <w:pPr>
        <w:spacing w:line="240" w:lineRule="auto"/>
      </w:pPr>
      <w:r>
        <w:separator/>
      </w:r>
    </w:p>
  </w:endnote>
  <w:endnote w:type="continuationSeparator" w:id="0">
    <w:p w14:paraId="09899894" w14:textId="77777777" w:rsidR="00CF412B" w:rsidRDefault="00CF412B" w:rsidP="00916B59">
      <w:pPr>
        <w:spacing w:line="240" w:lineRule="auto"/>
      </w:pPr>
      <w:r>
        <w:continuationSeparator/>
      </w:r>
    </w:p>
  </w:endnote>
  <w:endnote w:type="continuationNotice" w:id="1">
    <w:p w14:paraId="20FD5374" w14:textId="77777777" w:rsidR="00CF412B" w:rsidRDefault="00CF412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96BDE" w14:textId="77777777" w:rsidR="00CF412B" w:rsidRDefault="00CF412B" w:rsidP="00916B59">
      <w:pPr>
        <w:spacing w:line="240" w:lineRule="auto"/>
      </w:pPr>
      <w:r>
        <w:separator/>
      </w:r>
    </w:p>
  </w:footnote>
  <w:footnote w:type="continuationSeparator" w:id="0">
    <w:p w14:paraId="6ADFF793" w14:textId="77777777" w:rsidR="00CF412B" w:rsidRDefault="00CF412B" w:rsidP="00916B59">
      <w:pPr>
        <w:spacing w:line="240" w:lineRule="auto"/>
      </w:pPr>
      <w:r>
        <w:continuationSeparator/>
      </w:r>
    </w:p>
  </w:footnote>
  <w:footnote w:type="continuationNotice" w:id="1">
    <w:p w14:paraId="3504B287" w14:textId="77777777" w:rsidR="00CF412B" w:rsidRDefault="00CF412B">
      <w:pPr>
        <w:spacing w:line="240" w:lineRule="auto"/>
      </w:pPr>
    </w:p>
  </w:footnote>
  <w:footnote w:id="2">
    <w:p w14:paraId="2A434BB3" w14:textId="77777777" w:rsidR="00172624" w:rsidRDefault="00172624" w:rsidP="00172624">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sidRPr="002A5AD5">
        <w:rPr>
          <w:rStyle w:val="FootnoteReference"/>
        </w:rPr>
        <w:footnoteRef/>
      </w:r>
      <w:r>
        <w:t xml:space="preserve"> The CFTC proposed </w:t>
      </w:r>
      <w:r w:rsidR="00C61335">
        <w:t xml:space="preserve">capital and margin requirements starting in 2016. </w:t>
      </w:r>
      <w:r w:rsidR="0069587A">
        <w:t>However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410E1E62" w14:textId="77777777" w:rsidR="00273BEC" w:rsidRDefault="00273BEC"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62622137" w14:textId="7B2E07FC" w:rsidR="00FA067E" w:rsidRDefault="00FA067E">
      <w:pPr>
        <w:pStyle w:val="FootnoteText"/>
      </w:pPr>
      <w:r w:rsidRPr="002A5AD5">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period interaction (parameter of interest). The advanced model adds additional covariates: tenor, log notional, capped, trading day and trading session (time).</w:t>
      </w:r>
    </w:p>
  </w:footnote>
  <w:footnote w:id="8">
    <w:p w14:paraId="14BE4758" w14:textId="77777777" w:rsidR="00916B59" w:rsidRDefault="00916B59"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4FFDC3FF" w14:textId="25D2B60C" w:rsidR="00B11C73" w:rsidRDefault="00B11C73">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9"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3"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4"/>
  </w:num>
  <w:num w:numId="2" w16cid:durableId="1322077080">
    <w:abstractNumId w:val="13"/>
  </w:num>
  <w:num w:numId="3" w16cid:durableId="1060834225">
    <w:abstractNumId w:val="3"/>
  </w:num>
  <w:num w:numId="4" w16cid:durableId="1677343865">
    <w:abstractNumId w:val="7"/>
  </w:num>
  <w:num w:numId="5" w16cid:durableId="2085032138">
    <w:abstractNumId w:val="10"/>
  </w:num>
  <w:num w:numId="6" w16cid:durableId="2079209417">
    <w:abstractNumId w:val="9"/>
  </w:num>
  <w:num w:numId="7" w16cid:durableId="1911109467">
    <w:abstractNumId w:val="16"/>
  </w:num>
  <w:num w:numId="8" w16cid:durableId="832453860">
    <w:abstractNumId w:val="6"/>
  </w:num>
  <w:num w:numId="9" w16cid:durableId="720860017">
    <w:abstractNumId w:val="12"/>
  </w:num>
  <w:num w:numId="10" w16cid:durableId="32773518">
    <w:abstractNumId w:val="8"/>
  </w:num>
  <w:num w:numId="11" w16cid:durableId="1427723544">
    <w:abstractNumId w:val="5"/>
  </w:num>
  <w:num w:numId="12" w16cid:durableId="1863207758">
    <w:abstractNumId w:val="14"/>
  </w:num>
  <w:num w:numId="13" w16cid:durableId="384452397">
    <w:abstractNumId w:val="15"/>
  </w:num>
  <w:num w:numId="14" w16cid:durableId="1627658375">
    <w:abstractNumId w:val="2"/>
  </w:num>
  <w:num w:numId="15" w16cid:durableId="828256289">
    <w:abstractNumId w:val="1"/>
  </w:num>
  <w:num w:numId="16" w16cid:durableId="1313214853">
    <w:abstractNumId w:val="11"/>
  </w:num>
  <w:num w:numId="17" w16cid:durableId="106556491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53BC"/>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90A09"/>
    <w:rsid w:val="00193119"/>
    <w:rsid w:val="001932BF"/>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D797E"/>
    <w:rsid w:val="001E0B34"/>
    <w:rsid w:val="001E1669"/>
    <w:rsid w:val="001E276D"/>
    <w:rsid w:val="001E344C"/>
    <w:rsid w:val="001E454C"/>
    <w:rsid w:val="001E5569"/>
    <w:rsid w:val="001F15B4"/>
    <w:rsid w:val="001F4209"/>
    <w:rsid w:val="001F4E65"/>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0236"/>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3BEC"/>
    <w:rsid w:val="00275B78"/>
    <w:rsid w:val="00276F21"/>
    <w:rsid w:val="0027758E"/>
    <w:rsid w:val="00277846"/>
    <w:rsid w:val="00277A95"/>
    <w:rsid w:val="0028098B"/>
    <w:rsid w:val="002833CE"/>
    <w:rsid w:val="00284213"/>
    <w:rsid w:val="00284A1F"/>
    <w:rsid w:val="00284E6D"/>
    <w:rsid w:val="00287345"/>
    <w:rsid w:val="0028734C"/>
    <w:rsid w:val="00293F96"/>
    <w:rsid w:val="00296647"/>
    <w:rsid w:val="00296C48"/>
    <w:rsid w:val="002975CF"/>
    <w:rsid w:val="00297A3F"/>
    <w:rsid w:val="002A4396"/>
    <w:rsid w:val="002A5AD5"/>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09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0DDC"/>
    <w:rsid w:val="003B1D0B"/>
    <w:rsid w:val="003B32F2"/>
    <w:rsid w:val="003B417D"/>
    <w:rsid w:val="003B4846"/>
    <w:rsid w:val="003B527D"/>
    <w:rsid w:val="003B59E8"/>
    <w:rsid w:val="003C11A8"/>
    <w:rsid w:val="003C2223"/>
    <w:rsid w:val="003C2AB6"/>
    <w:rsid w:val="003C3245"/>
    <w:rsid w:val="003C3B08"/>
    <w:rsid w:val="003C5626"/>
    <w:rsid w:val="003C6B07"/>
    <w:rsid w:val="003C7492"/>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6747E"/>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244E"/>
    <w:rsid w:val="0049365F"/>
    <w:rsid w:val="0049516A"/>
    <w:rsid w:val="004A0B6F"/>
    <w:rsid w:val="004A5CDA"/>
    <w:rsid w:val="004B1105"/>
    <w:rsid w:val="004B282D"/>
    <w:rsid w:val="004B58B8"/>
    <w:rsid w:val="004B697B"/>
    <w:rsid w:val="004C2843"/>
    <w:rsid w:val="004C4B50"/>
    <w:rsid w:val="004C5B17"/>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86980"/>
    <w:rsid w:val="00590C7A"/>
    <w:rsid w:val="0059273E"/>
    <w:rsid w:val="00593CDB"/>
    <w:rsid w:val="005975FA"/>
    <w:rsid w:val="005A06FA"/>
    <w:rsid w:val="005A5795"/>
    <w:rsid w:val="005A74B3"/>
    <w:rsid w:val="005A7F0C"/>
    <w:rsid w:val="005B2139"/>
    <w:rsid w:val="005B2CFB"/>
    <w:rsid w:val="005B5842"/>
    <w:rsid w:val="005C1483"/>
    <w:rsid w:val="005C32AB"/>
    <w:rsid w:val="005C7134"/>
    <w:rsid w:val="005D0ED2"/>
    <w:rsid w:val="005D2017"/>
    <w:rsid w:val="005D3108"/>
    <w:rsid w:val="005E3193"/>
    <w:rsid w:val="005E6B1A"/>
    <w:rsid w:val="005E6CFF"/>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62ED"/>
    <w:rsid w:val="00666456"/>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4451"/>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2DB1"/>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BBB"/>
    <w:rsid w:val="007D1EC5"/>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1D20"/>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1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3747"/>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3E98"/>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0E8"/>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999"/>
    <w:rsid w:val="00AF5C18"/>
    <w:rsid w:val="00AF746E"/>
    <w:rsid w:val="00B05B42"/>
    <w:rsid w:val="00B07BB1"/>
    <w:rsid w:val="00B1006F"/>
    <w:rsid w:val="00B11C73"/>
    <w:rsid w:val="00B11F4B"/>
    <w:rsid w:val="00B12279"/>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4D7D"/>
    <w:rsid w:val="00B80AF0"/>
    <w:rsid w:val="00B936EE"/>
    <w:rsid w:val="00B947DD"/>
    <w:rsid w:val="00B94A71"/>
    <w:rsid w:val="00B95905"/>
    <w:rsid w:val="00B96FD0"/>
    <w:rsid w:val="00BA012B"/>
    <w:rsid w:val="00BA0470"/>
    <w:rsid w:val="00BA1E53"/>
    <w:rsid w:val="00BA5514"/>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5DD7"/>
    <w:rsid w:val="00C25DEB"/>
    <w:rsid w:val="00C26194"/>
    <w:rsid w:val="00C3559F"/>
    <w:rsid w:val="00C3688F"/>
    <w:rsid w:val="00C36FD5"/>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412B"/>
    <w:rsid w:val="00CF46DD"/>
    <w:rsid w:val="00D019D2"/>
    <w:rsid w:val="00D030FC"/>
    <w:rsid w:val="00D0387A"/>
    <w:rsid w:val="00D044A1"/>
    <w:rsid w:val="00D0518B"/>
    <w:rsid w:val="00D06492"/>
    <w:rsid w:val="00D07E5F"/>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97C"/>
    <w:rsid w:val="00D407D0"/>
    <w:rsid w:val="00D44153"/>
    <w:rsid w:val="00D44520"/>
    <w:rsid w:val="00D44FE6"/>
    <w:rsid w:val="00D45876"/>
    <w:rsid w:val="00D50F5D"/>
    <w:rsid w:val="00D528C5"/>
    <w:rsid w:val="00D5434C"/>
    <w:rsid w:val="00D555AB"/>
    <w:rsid w:val="00D572DF"/>
    <w:rsid w:val="00D623F7"/>
    <w:rsid w:val="00D62943"/>
    <w:rsid w:val="00D63878"/>
    <w:rsid w:val="00D63C6D"/>
    <w:rsid w:val="00D654F4"/>
    <w:rsid w:val="00D65DA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A6D71"/>
    <w:rsid w:val="00DB011F"/>
    <w:rsid w:val="00DB0BB7"/>
    <w:rsid w:val="00DB3B7A"/>
    <w:rsid w:val="00DB3DA1"/>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B31"/>
    <w:rsid w:val="00E07C5A"/>
    <w:rsid w:val="00E13076"/>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5AD9"/>
    <w:rsid w:val="00E76661"/>
    <w:rsid w:val="00E76811"/>
    <w:rsid w:val="00E778C0"/>
    <w:rsid w:val="00E81DB8"/>
    <w:rsid w:val="00E84EE9"/>
    <w:rsid w:val="00E860D4"/>
    <w:rsid w:val="00E871E9"/>
    <w:rsid w:val="00E92F48"/>
    <w:rsid w:val="00E97C69"/>
    <w:rsid w:val="00E97E22"/>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B70F9"/>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512377310">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872963403">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259287744">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325834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93</Pages>
  <Words>37800</Words>
  <Characters>215462</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14</cp:revision>
  <cp:lastPrinted>2025-05-29T02:39:00Z</cp:lastPrinted>
  <dcterms:created xsi:type="dcterms:W3CDTF">2025-07-02T20:36:00Z</dcterms:created>
  <dcterms:modified xsi:type="dcterms:W3CDTF">2025-07-03T14:52:00Z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