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170083">
      <w:pPr>
        <w:pStyle w:val="Title"/>
        <w:spacing w:line="480" w:lineRule="auto"/>
      </w:pPr>
      <w:r>
        <w:t>The Impact of Central Clearing on the Interest Rate Swaps Market</w:t>
      </w:r>
    </w:p>
    <w:p w14:paraId="0B7D9387" w14:textId="32146D78" w:rsidR="0031486E" w:rsidRPr="0031486E" w:rsidRDefault="0031486E" w:rsidP="00170083">
      <w:pPr>
        <w:pStyle w:val="Subtitle"/>
        <w:spacing w:line="480" w:lineRule="auto"/>
      </w:pPr>
      <w:r>
        <w:t>Arnob L. Alam</w:t>
      </w:r>
    </w:p>
    <w:p w14:paraId="41D45335" w14:textId="208BA672" w:rsidR="00BB66F3" w:rsidRDefault="00BB66F3" w:rsidP="00170083">
      <w:pPr>
        <w:pStyle w:val="Heading1"/>
        <w:spacing w:line="480" w:lineRule="auto"/>
      </w:pPr>
      <w:r>
        <w:t>Introduction</w:t>
      </w:r>
    </w:p>
    <w:p w14:paraId="797D49B7" w14:textId="77777777" w:rsidR="00246F90" w:rsidRDefault="00246F90" w:rsidP="00170083">
      <w:pPr>
        <w:spacing w:line="480" w:lineRule="auto"/>
        <w:ind w:firstLine="720"/>
        <w:jc w:val="both"/>
      </w:pPr>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 This study investigates the causal impact of this clearing mandate on the size, pricing, and price volatility in the interest rate (IR) swaps market, a major derivatives market used for hedging or speculating on interest rate risk. As the first comprehensive examination of the central clearing mandates on the interest rate derivatives market, this research contributes significantly to understanding the effects of post-crisis market reforms and informing future regulatory adjustments.</w:t>
      </w:r>
    </w:p>
    <w:p w14:paraId="49E61368" w14:textId="77777777" w:rsidR="000A41CF" w:rsidRDefault="000A41CF" w:rsidP="00170083">
      <w:pPr>
        <w:spacing w:line="480" w:lineRule="auto"/>
        <w:ind w:firstLine="720"/>
        <w:jc w:val="both"/>
      </w:pPr>
      <w:r w:rsidRPr="000A41CF">
        <w:t xml:space="preserve">Despite extensive theoretical literature on central clearing, empirical studies are limited. Earlier research focused on the credit default (CD) swaps market using event studies, which cannot isolate causal impacts due to potential confounding factors. This study addresses this gap by examining the IR swaps market, which is larger and more widely used than the CD swaps market. Leveraging the fact that initial central clearing rules targeted IR swaps in the four largest currencies (USD, GBP, EUR, JPY) and did not apply to other currencies or regions, this research identifies the causal impact of the regulation on pricing, price volatility, and market size in the IR </w:t>
      </w:r>
      <w:r w:rsidRPr="000A41CF">
        <w:lastRenderedPageBreak/>
        <w:t>swaps market. Robustness checks include comparing contracts traded in the US, Europe, and Asia.</w:t>
      </w:r>
    </w:p>
    <w:p w14:paraId="76BA511D" w14:textId="7B13F4CC" w:rsidR="005F6B4A" w:rsidRDefault="006875A1" w:rsidP="00170083">
      <w:pPr>
        <w:spacing w:line="480" w:lineRule="auto"/>
        <w:ind w:firstLine="720"/>
        <w:jc w:val="both"/>
      </w:pPr>
      <w:r w:rsidRPr="006875A1">
        <w:t>The paper is organized as follows: Section II provides background on the IR swaps market, the financial crisis, and the clearing mandate's role in post-crisis market reforms. Section III explains central</w:t>
      </w:r>
      <w:r>
        <w:t xml:space="preserve"> </w:t>
      </w:r>
      <w:r w:rsidR="008138CB">
        <w:t xml:space="preserve">clearing </w:t>
      </w:r>
      <w:r w:rsidR="00A930AB">
        <w:t xml:space="preserve">and discusses plausible </w:t>
      </w:r>
      <w:r w:rsidR="00DE705F">
        <w:t xml:space="preserve">impact of clearing on the IR swaps market.  Section IV </w:t>
      </w:r>
      <w:r w:rsidR="00077879">
        <w:t xml:space="preserve">develops the theory of prices, price volatility and market size </w:t>
      </w:r>
      <w:r w:rsidR="00194EB9">
        <w:t xml:space="preserve">under a clearing mandate.  Section V discusses </w:t>
      </w:r>
      <w:r w:rsidR="00974463">
        <w:t>the identification strategy</w:t>
      </w:r>
      <w:r w:rsidR="00BA0BB3">
        <w:t xml:space="preserve"> (including developing a </w:t>
      </w:r>
      <w:r w:rsidR="00C87249">
        <w:t xml:space="preserve">novel info-metrics difference-in-differences estimator).  Section VI details </w:t>
      </w:r>
      <w:r w:rsidR="00191190">
        <w:t>our data.  Section VII discusses the results and section VIII concludes.</w:t>
      </w:r>
    </w:p>
    <w:p w14:paraId="1DDCD928" w14:textId="399647D6" w:rsidR="0012752B" w:rsidRDefault="0012752B" w:rsidP="00170083">
      <w:pPr>
        <w:pStyle w:val="Heading1"/>
        <w:numPr>
          <w:ilvl w:val="0"/>
          <w:numId w:val="1"/>
        </w:numPr>
        <w:spacing w:line="480" w:lineRule="auto"/>
      </w:pPr>
      <w:r>
        <w:t>Background</w:t>
      </w:r>
    </w:p>
    <w:p w14:paraId="48EFF618" w14:textId="10335675" w:rsidR="0012752B" w:rsidRDefault="00981EFF" w:rsidP="00170083">
      <w:pPr>
        <w:pStyle w:val="Heading2"/>
        <w:spacing w:line="480" w:lineRule="auto"/>
      </w:pPr>
      <w:r>
        <w:t>Interest Rate Swaps</w:t>
      </w:r>
    </w:p>
    <w:p w14:paraId="351EFEAC" w14:textId="7E307108" w:rsidR="007C099B" w:rsidRDefault="005A0C96" w:rsidP="000712B2">
      <w:pPr>
        <w:spacing w:line="480" w:lineRule="auto"/>
        <w:ind w:firstLine="720"/>
        <w:jc w:val="both"/>
      </w:pPr>
      <w:r w:rsidRPr="005A0C96">
        <w:t xml:space="preserve">Interest rate </w:t>
      </w:r>
      <w:r w:rsidR="0039392E">
        <w:t xml:space="preserve">(IR) </w:t>
      </w:r>
      <w:r w:rsidRPr="005A0C96">
        <w:t xml:space="preserve">swaps are financial derivatives used to hedge or speculate on interest rate movements. The </w:t>
      </w:r>
      <w:r w:rsidR="00EB53A2">
        <w:t xml:space="preserve">three </w:t>
      </w:r>
      <w:r w:rsidRPr="005A0C96">
        <w:t xml:space="preserve">most common types </w:t>
      </w:r>
      <w:r w:rsidR="0039392E">
        <w:t xml:space="preserve">of IR swaps </w:t>
      </w:r>
      <w:r w:rsidRPr="005A0C96">
        <w:t>include vanilla fixed-for-floating swaps, basis swaps, and cross-currency basis swaps. Vanilla fixed-for-floating swaps are the most prevalent</w:t>
      </w:r>
      <w:r w:rsidR="00446E24">
        <w:t>.</w:t>
      </w:r>
      <w:r w:rsidRPr="005A0C96">
        <w:t xml:space="preserve"> </w:t>
      </w:r>
      <w:r w:rsidR="00446E24">
        <w:t>In this type of swap,</w:t>
      </w:r>
      <w:r w:rsidRPr="005A0C96">
        <w:t xml:space="preserve"> one party exchanges fixed-rate coupon payments for floating-rate payments on a notional principal. Firms use these instruments to convert floating-rate risk to fixed-rate risk, and vice versa.</w:t>
      </w:r>
      <w:r w:rsidR="00EF6757">
        <w:t xml:space="preserve"> </w:t>
      </w:r>
      <w:r w:rsidR="000712B2">
        <w:t xml:space="preserve">  </w:t>
      </w:r>
      <w:r w:rsidR="00016AE6" w:rsidRPr="00016AE6">
        <w:t xml:space="preserve">For example, </w:t>
      </w:r>
      <w:r w:rsidR="009A7D6A">
        <w:t xml:space="preserve">imagine </w:t>
      </w:r>
      <w:r w:rsidR="00016AE6" w:rsidRPr="00016AE6">
        <w:t xml:space="preserve">firm A can borrow at the LIBOR rate or a fixed rate of 2.0%, while firm B can borrow at (LIBOR + 0.25%) or a fixed rate of 1.75%. Suppose firm A prefers fixed-rate borrowing and firm B prefers floating-rate borrowing. Despite their preferences, firm A has a comparative advantage in floating-rate borrowing, and firm B in fixed-rate borrowing. To achieve their preferred arrangements, the firms can enter into an IR swap </w:t>
      </w:r>
      <w:r w:rsidR="00016AE6" w:rsidRPr="00016AE6">
        <w:lastRenderedPageBreak/>
        <w:t>agreement with a $1M notional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3A018C43" w14:textId="091CFD73" w:rsidR="00981EFF" w:rsidRDefault="00161437" w:rsidP="00BD52BB">
      <w:pPr>
        <w:spacing w:line="480" w:lineRule="auto"/>
        <w:ind w:firstLine="720"/>
        <w:jc w:val="both"/>
      </w:pPr>
      <w:r w:rsidRPr="00161437">
        <w:t>IR swaps are usually bespoke contracts, customizable to individual needs. As the largest over-the-counter swaps market, it accounted for $500 trillion of the $650 trillion global OTC swaps market in 2010 (BIS, 2011). Contracts are available in multiple currencies, with specific market conventions for each.</w:t>
      </w:r>
    </w:p>
    <w:p w14:paraId="16126F61" w14:textId="50DECA2D" w:rsidR="007E1203" w:rsidRDefault="007E6044" w:rsidP="00170083">
      <w:pPr>
        <w:spacing w:line="480" w:lineRule="auto"/>
        <w:ind w:firstLine="720"/>
        <w:jc w:val="both"/>
      </w:pPr>
      <w:r w:rsidRPr="007E6044">
        <w:t xml:space="preserve">The IR swaps market is dealer-dominated, with dealer-customer and dealer-dealer trades accounting for 80% of notional value. Very few transactions occur bilaterally between customers. </w:t>
      </w:r>
      <w:proofErr w:type="spellStart"/>
      <w:r w:rsidRPr="007E6044">
        <w:t>Bolandnazar</w:t>
      </w:r>
      <w:proofErr w:type="spellEnd"/>
      <w:r w:rsidRPr="007E6044">
        <w:t xml:space="preserve"> (2020) found that 50% of trades (by notional value) are executed by the largest seven dealers, indicating market concentration among a few dealers. This concentration can impact pricing due to the market power of large dealers and affect market stability, as the failure of a large dealer or its counterparties can easily propagate through the system.</w:t>
      </w:r>
    </w:p>
    <w:p w14:paraId="4CDB6FA5" w14:textId="1A2BA8EC" w:rsidR="00DC42EB" w:rsidRDefault="00DC42EB" w:rsidP="00170083">
      <w:pPr>
        <w:pStyle w:val="Heading2"/>
        <w:spacing w:line="480" w:lineRule="auto"/>
      </w:pPr>
      <w:r>
        <w:t>Central Clearing</w:t>
      </w:r>
    </w:p>
    <w:p w14:paraId="0F4926E4" w14:textId="43084735" w:rsidR="0057724B" w:rsidRDefault="00377D40" w:rsidP="00AE5AFF">
      <w:pPr>
        <w:spacing w:line="480" w:lineRule="auto"/>
        <w:ind w:firstLine="720"/>
        <w:jc w:val="both"/>
      </w:pPr>
      <w:r w:rsidRPr="00377D40">
        <w:t xml:space="preserve">When a swap is cleared, the contract between the two </w:t>
      </w:r>
      <w:r w:rsidR="005812DC">
        <w:t xml:space="preserve">initial </w:t>
      </w:r>
      <w:r w:rsidRPr="00377D40">
        <w:t xml:space="preserve">parties is replaced 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 or DCO).</w:t>
      </w:r>
      <w:r w:rsidR="00877DDF">
        <w:t xml:space="preserve">  If one party fails to meet their contractual obligation, the clearinghouse can still </w:t>
      </w:r>
      <w:r w:rsidR="00ED4D27">
        <w:t xml:space="preserve">make sure the other party gets paid.  </w:t>
      </w:r>
      <w:r w:rsidRPr="00377D40">
        <w:t>Clearinghouses</w:t>
      </w:r>
      <w:r w:rsidR="007475B0">
        <w:t xml:space="preserve"> are</w:t>
      </w:r>
      <w:r w:rsidRPr="00377D40">
        <w:t xml:space="preserve"> large financial institutions </w:t>
      </w:r>
      <w:r w:rsidR="00C106ED">
        <w:t>that</w:t>
      </w:r>
      <w:r w:rsidR="007475B0">
        <w:t xml:space="preserve"> are supposed to exercise </w:t>
      </w:r>
      <w:r w:rsidRPr="00377D40">
        <w:t>prudent risk control measures</w:t>
      </w:r>
      <w:r w:rsidR="001C74A9">
        <w:t>,</w:t>
      </w:r>
      <w:r w:rsidR="007475B0">
        <w:t xml:space="preserve"> </w:t>
      </w:r>
      <w:r w:rsidR="00C106ED">
        <w:t xml:space="preserve">thereby </w:t>
      </w:r>
      <w:r w:rsidR="001C74A9">
        <w:t>lowering</w:t>
      </w:r>
      <w:r w:rsidR="00C758C6">
        <w:t xml:space="preserve"> risks</w:t>
      </w:r>
      <w:r w:rsidR="001C74A9">
        <w:t xml:space="preserve"> and mitigating consequences</w:t>
      </w:r>
      <w:r w:rsidR="00C758C6">
        <w:t xml:space="preserve"> if </w:t>
      </w:r>
      <w:r w:rsidR="00C758C6">
        <w:lastRenderedPageBreak/>
        <w:t>one party defaults</w:t>
      </w:r>
      <w:r w:rsidR="00C106ED">
        <w:t xml:space="preserve"> on their contractual obligations (counterparty risk)</w:t>
      </w:r>
      <w:r w:rsidRPr="00377D40">
        <w:t>. Clearing transforms trading by mutualizing counterparty risk, enabling netting to reduce collateral demand, and potentially reducing volatility caused by bank runs.</w:t>
      </w:r>
    </w:p>
    <w:p w14:paraId="0465A065" w14:textId="0C1075B4" w:rsidR="0057724B" w:rsidRDefault="0025043C" w:rsidP="00AE5AFF">
      <w:pPr>
        <w:spacing w:line="480" w:lineRule="auto"/>
        <w:ind w:firstLine="720"/>
        <w:jc w:val="both"/>
      </w:pPr>
      <w:r w:rsidRPr="0025043C">
        <w:t>Originally created for futures exchanges members, clearinghouses became more significant with regulations like the Dodd-Frank Act and European Market Infrastructure Regulation (EMIR) mandating central clearing of derivatives. Mandated clearing may have macro and micro effects on the market. At the macro level, clearing could reduce volatility but also strain the market through collateral demands during volatile or illiquid periods. Large enough losses could threaten clearinghouse solvency, transmitting effects to all members.</w:t>
      </w:r>
    </w:p>
    <w:p w14:paraId="3D23A101" w14:textId="4277121F" w:rsidR="00DC42EB" w:rsidRDefault="00B92576" w:rsidP="005651C7">
      <w:pPr>
        <w:spacing w:line="480" w:lineRule="auto"/>
        <w:ind w:firstLine="720"/>
        <w:jc w:val="both"/>
      </w:pPr>
      <w:r w:rsidRPr="00B92576">
        <w:t>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local clearinghouse requirements and antitrust scrutiny. While clearinghouses can reduce default risk and collateral demand, they also require resources for risk management activities, which may increase trading costs.</w:t>
      </w:r>
    </w:p>
    <w:p w14:paraId="4CE2130C" w14:textId="77777777" w:rsidR="00BF6365" w:rsidRDefault="00BF6365" w:rsidP="00170083">
      <w:pPr>
        <w:pStyle w:val="Heading2"/>
        <w:spacing w:line="480" w:lineRule="auto"/>
      </w:pPr>
      <w:r>
        <w:t>Regulatory Background</w:t>
      </w:r>
    </w:p>
    <w:p w14:paraId="4AD983A7" w14:textId="2E8C067F" w:rsidR="00BF6365" w:rsidRDefault="00BF6365" w:rsidP="00170083">
      <w:pPr>
        <w:pStyle w:val="Heading3"/>
        <w:spacing w:line="480" w:lineRule="auto"/>
      </w:pPr>
      <w:r>
        <w:t>US context</w:t>
      </w:r>
    </w:p>
    <w:p w14:paraId="40824E1A" w14:textId="7B4AB798" w:rsidR="00BF6365" w:rsidRDefault="0086750E" w:rsidP="00956D41">
      <w:pPr>
        <w:spacing w:line="480" w:lineRule="auto"/>
        <w:ind w:firstLine="720"/>
        <w:jc w:val="both"/>
      </w:pPr>
      <w:r w:rsidRPr="0086750E">
        <w:t xml:space="preserve">Following the financial crisis, Congress passed the DFA in 2010 to enhance the US financial system's reliability. Since OTC derivatives markets played a crucial role in the crisis, the Act aimed to significantly reform this market. Key objectives included improving trade data availability for </w:t>
      </w:r>
      <w:r w:rsidRPr="0086750E">
        <w:lastRenderedPageBreak/>
        <w:t>regulators and market participants, requiring real-time reporting of certain trade characteristics, and mandating confidential trade data reporting to swaps data repositories and regulators.</w:t>
      </w:r>
    </w:p>
    <w:p w14:paraId="03E95A93" w14:textId="62E4B7BA" w:rsidR="00715923" w:rsidRDefault="00715923" w:rsidP="00956D41">
      <w:pPr>
        <w:spacing w:line="480" w:lineRule="auto"/>
        <w:ind w:firstLine="720"/>
        <w:jc w:val="both"/>
      </w:pPr>
      <w:r w:rsidRPr="00715923">
        <w:t xml:space="preserve">To reduce default risk for large swaps dealers, the Act requires registration with the CFTC, adherence to internal business conduct standards, maintaining adequate capital and margin requirements, and encouraging trading in central </w:t>
      </w:r>
      <w:r w:rsidR="007C0619">
        <w:t>S</w:t>
      </w:r>
      <w:r w:rsidRPr="00715923">
        <w:t xml:space="preserve">waps </w:t>
      </w:r>
      <w:r w:rsidR="007C0619">
        <w:t>E</w:t>
      </w:r>
      <w:r w:rsidRPr="00715923">
        <w:t xml:space="preserve">xecution </w:t>
      </w:r>
      <w:r w:rsidR="007C0619">
        <w:t>F</w:t>
      </w:r>
      <w:r w:rsidRPr="00715923">
        <w:t xml:space="preserve">acilities (SEFs) or </w:t>
      </w:r>
      <w:r w:rsidR="007C0619">
        <w:t>D</w:t>
      </w:r>
      <w:r w:rsidRPr="00715923">
        <w:t xml:space="preserve">esignated </w:t>
      </w:r>
      <w:r w:rsidR="007C0619">
        <w:t>C</w:t>
      </w:r>
      <w:r w:rsidRPr="00715923">
        <w:t xml:space="preserve">ontract </w:t>
      </w:r>
      <w:r w:rsidR="007C0619">
        <w:t>M</w:t>
      </w:r>
      <w:r w:rsidRPr="00715923">
        <w:t xml:space="preserve">arkets (DCMs) to enhance liquidity and price discovery. Furthermore, the DFA mandates most contracts be centrally cleared and for uncleared contracts, requires parties to post margin to mitigate default effects. Table 1 summarizes the CFTC </w:t>
      </w:r>
      <w:proofErr w:type="gramStart"/>
      <w:r w:rsidRPr="00715923">
        <w:t>rule-making</w:t>
      </w:r>
      <w:proofErr w:type="gramEnd"/>
      <w:r w:rsidRPr="00715923">
        <w:t xml:space="preserve"> in these areas.</w:t>
      </w:r>
    </w:p>
    <w:p w14:paraId="49705BEC" w14:textId="59AABC81" w:rsidR="000C5086" w:rsidRDefault="000C5086" w:rsidP="000C5086">
      <w:pPr>
        <w:pStyle w:val="Caption"/>
        <w:keepNext/>
      </w:pPr>
      <w:r>
        <w:t xml:space="preserve">Table </w:t>
      </w:r>
      <w:fldSimple w:instr=" SEQ Table \* ARABIC ">
        <w:r>
          <w:rPr>
            <w:noProof/>
          </w:rPr>
          <w:t>1</w:t>
        </w:r>
      </w:fldSimple>
      <w:r>
        <w:rPr>
          <w:noProof/>
        </w:rPr>
        <w:t xml:space="preserve"> Major Dodd-Frank Act Rulemaking Areas</w:t>
      </w:r>
    </w:p>
    <w:tbl>
      <w:tblPr>
        <w:tblStyle w:val="GridTable1Light"/>
        <w:tblW w:w="0" w:type="auto"/>
        <w:tblLook w:val="06A0" w:firstRow="1" w:lastRow="0" w:firstColumn="1" w:lastColumn="0" w:noHBand="1" w:noVBand="1"/>
      </w:tblPr>
      <w:tblGrid>
        <w:gridCol w:w="3590"/>
        <w:gridCol w:w="5760"/>
      </w:tblGrid>
      <w:tr w:rsidR="0072700E" w14:paraId="3DBB7004" w14:textId="77777777" w:rsidTr="00456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F54722" w14:textId="76073CDC" w:rsidR="0072700E" w:rsidRDefault="0040630A" w:rsidP="00FF211F">
            <w:pPr>
              <w:jc w:val="both"/>
            </w:pPr>
            <w:r>
              <w:t>Rulemaking Area</w:t>
            </w:r>
          </w:p>
        </w:tc>
        <w:tc>
          <w:tcPr>
            <w:tcW w:w="0" w:type="auto"/>
          </w:tcPr>
          <w:p w14:paraId="40B6BE9D" w14:textId="574B7AB7" w:rsidR="0072700E" w:rsidRDefault="0040630A" w:rsidP="000B5142">
            <w:pPr>
              <w:cnfStyle w:val="100000000000" w:firstRow="1" w:lastRow="0" w:firstColumn="0" w:lastColumn="0" w:oddVBand="0" w:evenVBand="0" w:oddHBand="0" w:evenHBand="0" w:firstRowFirstColumn="0" w:firstRowLastColumn="0" w:lastRowFirstColumn="0" w:lastRowLastColumn="0"/>
            </w:pPr>
            <w:r>
              <w:t>Major Rule</w:t>
            </w:r>
            <w:r w:rsidR="0069541B">
              <w:t>s</w:t>
            </w:r>
          </w:p>
        </w:tc>
      </w:tr>
      <w:tr w:rsidR="004567C0" w14:paraId="153CEF26"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74D4C798" w14:textId="76E601E8" w:rsidR="009A69FA" w:rsidRDefault="009A69FA" w:rsidP="00174BBE">
            <w:r>
              <w:t>Derivatives Products Affected</w:t>
            </w:r>
          </w:p>
        </w:tc>
        <w:tc>
          <w:tcPr>
            <w:tcW w:w="0" w:type="auto"/>
          </w:tcPr>
          <w:p w14:paraId="21FA0F5A" w14:textId="77777777" w:rsidR="009A69FA" w:rsidRDefault="009A69FA" w:rsidP="000B514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Agricultural Swaps</w:t>
            </w:r>
          </w:p>
          <w:p w14:paraId="112BB05D" w14:textId="6CDF6F92" w:rsidR="009A69FA" w:rsidRDefault="009A69FA" w:rsidP="000B514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Commodity</w:t>
            </w:r>
            <w:r w:rsidR="00F6394F">
              <w:t xml:space="preserve"> Swaps</w:t>
            </w:r>
          </w:p>
          <w:p w14:paraId="541989E5" w14:textId="77777777" w:rsidR="009A69FA" w:rsidRDefault="009A69FA" w:rsidP="000B514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Commodity Options</w:t>
            </w:r>
          </w:p>
          <w:p w14:paraId="72CBF32D" w14:textId="77777777" w:rsidR="009A69FA" w:rsidRDefault="009A69FA" w:rsidP="000B514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Foreign Currency</w:t>
            </w:r>
          </w:p>
        </w:tc>
      </w:tr>
      <w:tr w:rsidR="0072700E" w14:paraId="503376B6"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5AC52145" w14:textId="0B26CA68" w:rsidR="0072700E" w:rsidRDefault="0072700E" w:rsidP="00FF211F">
            <w:pPr>
              <w:jc w:val="both"/>
            </w:pPr>
            <w:r>
              <w:t>Data</w:t>
            </w:r>
            <w:r w:rsidR="009A69FA">
              <w:t xml:space="preserve"> Requirements</w:t>
            </w:r>
          </w:p>
        </w:tc>
        <w:tc>
          <w:tcPr>
            <w:tcW w:w="0" w:type="auto"/>
          </w:tcPr>
          <w:p w14:paraId="73448B7D" w14:textId="5BAD1CEA" w:rsidR="0072700E" w:rsidRDefault="0075597E" w:rsidP="000B514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Establishment of </w:t>
            </w:r>
            <w:r w:rsidR="006C0D52">
              <w:t>Swap Data Repositories</w:t>
            </w:r>
            <w:r w:rsidR="000B5142">
              <w:t xml:space="preserve"> (SDR)</w:t>
            </w:r>
          </w:p>
          <w:p w14:paraId="363CFD3A" w14:textId="542FC6D1" w:rsidR="006C0D52" w:rsidRDefault="006C0D52" w:rsidP="000B514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Data </w:t>
            </w:r>
            <w:r w:rsidR="00F6394F">
              <w:t>r</w:t>
            </w:r>
            <w:r>
              <w:t xml:space="preserve">ecordkeeping and </w:t>
            </w:r>
            <w:r w:rsidR="00F6394F">
              <w:t>r</w:t>
            </w:r>
            <w:r>
              <w:t xml:space="preserve">eporting </w:t>
            </w:r>
            <w:r w:rsidR="00F6394F">
              <w:t>r</w:t>
            </w:r>
            <w:r>
              <w:t>equirements</w:t>
            </w:r>
          </w:p>
          <w:p w14:paraId="2D37A9FF" w14:textId="77777777" w:rsidR="006C0D52" w:rsidRDefault="002B63F1" w:rsidP="000B514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Real Time Reporting</w:t>
            </w:r>
          </w:p>
          <w:p w14:paraId="579A2969" w14:textId="4C286EFF" w:rsidR="002B63F1" w:rsidRDefault="002B63F1" w:rsidP="000B514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Large Swaps Trader Reporting</w:t>
            </w:r>
          </w:p>
        </w:tc>
      </w:tr>
      <w:tr w:rsidR="0072700E" w14:paraId="10F9A6F8"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615E0E97" w14:textId="041A8B6E" w:rsidR="0072700E" w:rsidRDefault="0072700E" w:rsidP="00FF211F">
            <w:pPr>
              <w:jc w:val="both"/>
            </w:pPr>
            <w:r>
              <w:t>Clearing</w:t>
            </w:r>
            <w:r w:rsidR="009A69FA">
              <w:t xml:space="preserve"> Requirements</w:t>
            </w:r>
          </w:p>
        </w:tc>
        <w:tc>
          <w:tcPr>
            <w:tcW w:w="0" w:type="auto"/>
          </w:tcPr>
          <w:p w14:paraId="4964965C" w14:textId="0D947119" w:rsidR="0072700E" w:rsidRDefault="007E3CB7" w:rsidP="000B514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Establishment of Derivatives Clearing Organizations</w:t>
            </w:r>
            <w:r w:rsidR="00F6394F">
              <w:t xml:space="preserve"> (DCO/CCP)</w:t>
            </w:r>
          </w:p>
          <w:p w14:paraId="2B26E12A" w14:textId="73882585" w:rsidR="007E3CB7" w:rsidRDefault="00A8236C" w:rsidP="000B514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Clearing </w:t>
            </w:r>
            <w:r w:rsidR="00F6394F">
              <w:t>r</w:t>
            </w:r>
            <w:r>
              <w:t>equirement</w:t>
            </w:r>
            <w:r w:rsidR="000B5142">
              <w:t xml:space="preserve"> for most common swaps</w:t>
            </w:r>
          </w:p>
          <w:p w14:paraId="706294F6" w14:textId="0C635052" w:rsidR="00A8236C" w:rsidRDefault="004F0BE2" w:rsidP="000B514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Margining</w:t>
            </w:r>
            <w:r w:rsidR="00A8236C">
              <w:t xml:space="preserve"> </w:t>
            </w:r>
            <w:r w:rsidR="000B5142">
              <w:t>r</w:t>
            </w:r>
            <w:r w:rsidR="00A8236C">
              <w:t>equirement</w:t>
            </w:r>
            <w:r w:rsidR="000B5142">
              <w:t>s for uncleared swaps</w:t>
            </w:r>
          </w:p>
        </w:tc>
      </w:tr>
      <w:tr w:rsidR="0072700E" w14:paraId="105A6BF2"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54872679" w14:textId="45F2386F" w:rsidR="0072700E" w:rsidRDefault="0072700E" w:rsidP="00FF211F">
            <w:pPr>
              <w:jc w:val="both"/>
            </w:pPr>
            <w:r>
              <w:t>Trading</w:t>
            </w:r>
            <w:r w:rsidR="009A69FA">
              <w:t xml:space="preserve"> Requirements</w:t>
            </w:r>
          </w:p>
        </w:tc>
        <w:tc>
          <w:tcPr>
            <w:tcW w:w="0" w:type="auto"/>
          </w:tcPr>
          <w:p w14:paraId="1E12FD34" w14:textId="4800AE27" w:rsidR="0072700E" w:rsidRDefault="00EB7DDA" w:rsidP="000B514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Establishment of Swaps Execution Facilities</w:t>
            </w:r>
            <w:r w:rsidR="00C2255E">
              <w:t xml:space="preserve"> (SEF)</w:t>
            </w:r>
          </w:p>
          <w:p w14:paraId="5FDBDA81" w14:textId="577BE18A" w:rsidR="00DF6C13" w:rsidRDefault="00DF6C13" w:rsidP="000B514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Made Available for Trade (MAT) designation</w:t>
            </w:r>
            <w:r w:rsidR="0069541B">
              <w:t>/requirement</w:t>
            </w:r>
          </w:p>
        </w:tc>
      </w:tr>
      <w:tr w:rsidR="0072700E" w14:paraId="5690BD9B"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77EBD7A9" w14:textId="7C19CF6D" w:rsidR="0072700E" w:rsidRDefault="002C726E" w:rsidP="00FF211F">
            <w:r>
              <w:t xml:space="preserve">Swaps Dealers and </w:t>
            </w:r>
            <w:r w:rsidR="000F0F21">
              <w:t xml:space="preserve">Major </w:t>
            </w:r>
            <w:r>
              <w:t>Swaps Participants</w:t>
            </w:r>
          </w:p>
        </w:tc>
        <w:tc>
          <w:tcPr>
            <w:tcW w:w="0" w:type="auto"/>
          </w:tcPr>
          <w:p w14:paraId="7CCA3CB2" w14:textId="77777777" w:rsidR="0072700E" w:rsidRDefault="00747315" w:rsidP="000B514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Registration</w:t>
            </w:r>
          </w:p>
          <w:p w14:paraId="01A81AD6" w14:textId="77777777" w:rsidR="00747315" w:rsidRDefault="00747315" w:rsidP="000B514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Internal Business Conduct Standards</w:t>
            </w:r>
          </w:p>
          <w:p w14:paraId="27B84EC9" w14:textId="77777777" w:rsidR="00747315" w:rsidRDefault="00747315" w:rsidP="000B514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Capital and Margin for non-banks</w:t>
            </w:r>
          </w:p>
          <w:p w14:paraId="2DBD69CE" w14:textId="33ABB024" w:rsidR="003E203E" w:rsidRDefault="003E203E" w:rsidP="000B514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Segregation and Bankruptcy</w:t>
            </w:r>
          </w:p>
        </w:tc>
      </w:tr>
      <w:tr w:rsidR="0072700E" w14:paraId="0231A133"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09C6BEE0" w14:textId="72112A82" w:rsidR="0072700E" w:rsidRDefault="002C726E" w:rsidP="00FF211F">
            <w:pPr>
              <w:jc w:val="both"/>
            </w:pPr>
            <w:r>
              <w:t>Position Limits</w:t>
            </w:r>
          </w:p>
        </w:tc>
        <w:tc>
          <w:tcPr>
            <w:tcW w:w="0" w:type="auto"/>
          </w:tcPr>
          <w:p w14:paraId="28954981" w14:textId="0C0ED67E" w:rsidR="0072700E" w:rsidRDefault="00E5597A" w:rsidP="000B514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Position Limits and Aggregation of Positions</w:t>
            </w:r>
          </w:p>
        </w:tc>
      </w:tr>
      <w:tr w:rsidR="0072700E" w14:paraId="1445130A"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4501D202" w14:textId="5BA08F03" w:rsidR="0072700E" w:rsidRDefault="002C726E" w:rsidP="00FF211F">
            <w:pPr>
              <w:jc w:val="both"/>
            </w:pPr>
            <w:r>
              <w:t>Enforcement</w:t>
            </w:r>
          </w:p>
        </w:tc>
        <w:tc>
          <w:tcPr>
            <w:tcW w:w="0" w:type="auto"/>
          </w:tcPr>
          <w:p w14:paraId="6C389A93" w14:textId="77777777" w:rsidR="0072700E" w:rsidRDefault="00E5597A" w:rsidP="000B514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Anti-Manipulation</w:t>
            </w:r>
          </w:p>
          <w:p w14:paraId="2B974458" w14:textId="77777777" w:rsidR="00E5597A" w:rsidRDefault="00E5597A" w:rsidP="000B514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Disruptive Trading Practices</w:t>
            </w:r>
          </w:p>
          <w:p w14:paraId="71E25E35" w14:textId="3E767F2C" w:rsidR="00E5597A" w:rsidRDefault="00BC008A" w:rsidP="000B514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Whistleblowers</w:t>
            </w:r>
          </w:p>
        </w:tc>
      </w:tr>
      <w:tr w:rsidR="0072700E" w14:paraId="57A2198F"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133AE573" w14:textId="5345EB9B" w:rsidR="0072700E" w:rsidRDefault="0063608A" w:rsidP="00FF211F">
            <w:pPr>
              <w:jc w:val="both"/>
            </w:pPr>
            <w:r>
              <w:t>Other</w:t>
            </w:r>
          </w:p>
        </w:tc>
        <w:tc>
          <w:tcPr>
            <w:tcW w:w="0" w:type="auto"/>
          </w:tcPr>
          <w:p w14:paraId="5DAF0B9E" w14:textId="77777777" w:rsidR="0072700E" w:rsidRDefault="000939CA" w:rsidP="000B514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Investment Adviser Reporting</w:t>
            </w:r>
          </w:p>
          <w:p w14:paraId="3DCEDC9B" w14:textId="77777777" w:rsidR="000939CA" w:rsidRDefault="000939CA" w:rsidP="000B514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lastRenderedPageBreak/>
              <w:t>Volcker Rule</w:t>
            </w:r>
          </w:p>
          <w:p w14:paraId="06A5145B" w14:textId="77777777" w:rsidR="000939CA" w:rsidRDefault="000939CA" w:rsidP="000B514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Reliance on Credit Ratings</w:t>
            </w:r>
          </w:p>
          <w:p w14:paraId="0B2A446E" w14:textId="77777777" w:rsidR="000939CA" w:rsidRDefault="000939CA" w:rsidP="000B514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Fair Credit Reporting Act</w:t>
            </w:r>
          </w:p>
          <w:p w14:paraId="55812CD7" w14:textId="61F165F1" w:rsidR="000939CA" w:rsidRDefault="0040630A" w:rsidP="000B514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Cross-Border Applications</w:t>
            </w:r>
          </w:p>
        </w:tc>
      </w:tr>
    </w:tbl>
    <w:p w14:paraId="59E87DAC" w14:textId="64D69862" w:rsidR="00482903" w:rsidRDefault="00482903" w:rsidP="00956D41">
      <w:pPr>
        <w:spacing w:line="480" w:lineRule="auto"/>
        <w:ind w:firstLine="720"/>
        <w:jc w:val="both"/>
      </w:pPr>
    </w:p>
    <w:p w14:paraId="13D9D68C" w14:textId="7806B61D" w:rsidR="000816B7" w:rsidRDefault="000816B7" w:rsidP="00170083">
      <w:pPr>
        <w:pStyle w:val="Heading3"/>
        <w:spacing w:line="480" w:lineRule="auto"/>
      </w:pPr>
      <w:r>
        <w:t>International Context</w:t>
      </w:r>
    </w:p>
    <w:p w14:paraId="4373D367" w14:textId="50374FF7" w:rsidR="00475EE6" w:rsidRDefault="00FB04CE" w:rsidP="00475EE6">
      <w:pPr>
        <w:spacing w:line="480" w:lineRule="auto"/>
        <w:ind w:firstLine="720"/>
        <w:jc w:val="both"/>
      </w:pPr>
      <w:r w:rsidRPr="00FB04CE">
        <w:t>Considering the global nature of the financial system, US regulators collaborated with international counterparts to harmonize regulatory requirements. In Europe, both the UK and EU enacted comprehensive reforms for their respective financial systems. The EU passed the European Market Infrastructure Regulation (EMIR), which shares similar aims with the Dodd-Frank Act, while the Bank of England issued regulations mandating clearing for most trades involving UK-based entities.</w:t>
      </w:r>
    </w:p>
    <w:p w14:paraId="7503937D" w14:textId="48855951" w:rsidR="00FB04CE" w:rsidRDefault="00821AC5" w:rsidP="00475EE6">
      <w:pPr>
        <w:spacing w:line="480" w:lineRule="auto"/>
        <w:ind w:firstLine="720"/>
        <w:jc w:val="both"/>
      </w:pPr>
      <w:r w:rsidRPr="00821AC5">
        <w:t>In Asia, the Japanese Financial Services Authority (JFSA) required yen-denominated IR swaps and specific CD swaps contracts to be cleared by the end of 2012. Additionally, the Monetary Authority of Singapore and the Securities and Futures Commission of Hong Kong released consultation papers expressing their intentions to clear swaps denominated in certain Asian currencies. Table 2 summarizes the international context:</w:t>
      </w:r>
    </w:p>
    <w:p w14:paraId="2C2EEC2E" w14:textId="1F11ECFE" w:rsidR="000C5086" w:rsidRDefault="000C5086" w:rsidP="000C5086">
      <w:pPr>
        <w:pStyle w:val="Caption"/>
        <w:keepNext/>
      </w:pPr>
      <w:r>
        <w:t xml:space="preserve">Table </w:t>
      </w:r>
      <w:fldSimple w:instr=" SEQ Table \* ARABIC ">
        <w:r>
          <w:rPr>
            <w:noProof/>
          </w:rPr>
          <w:t>2</w:t>
        </w:r>
      </w:fldSimple>
      <w:r>
        <w:rPr>
          <w:noProof/>
        </w:rPr>
        <w:t xml:space="preserve"> Summary of Central Clearing Requirements in Major FInancial Centers</w:t>
      </w:r>
    </w:p>
    <w:tbl>
      <w:tblPr>
        <w:tblStyle w:val="GridTable1Light"/>
        <w:tblW w:w="5000" w:type="pct"/>
        <w:tblLook w:val="06A0" w:firstRow="1" w:lastRow="0" w:firstColumn="1" w:lastColumn="0" w:noHBand="1" w:noVBand="1"/>
      </w:tblPr>
      <w:tblGrid>
        <w:gridCol w:w="2564"/>
        <w:gridCol w:w="6786"/>
      </w:tblGrid>
      <w:tr w:rsidR="00577089" w14:paraId="41FDA192" w14:textId="77777777" w:rsidTr="000F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pct"/>
          </w:tcPr>
          <w:p w14:paraId="423C9901" w14:textId="067416B5" w:rsidR="00577089" w:rsidRDefault="000F0F21" w:rsidP="00FF211F">
            <w:pPr>
              <w:jc w:val="both"/>
            </w:pPr>
            <w:r>
              <w:t>Jurisdiction</w:t>
            </w:r>
          </w:p>
        </w:tc>
        <w:tc>
          <w:tcPr>
            <w:tcW w:w="3629" w:type="pct"/>
          </w:tcPr>
          <w:p w14:paraId="29C692E2" w14:textId="3CCA1C98" w:rsidR="00577089" w:rsidRDefault="000F0F21" w:rsidP="00FF211F">
            <w:pPr>
              <w:jc w:val="both"/>
              <w:cnfStyle w:val="100000000000" w:firstRow="1" w:lastRow="0" w:firstColumn="0" w:lastColumn="0" w:oddVBand="0" w:evenVBand="0" w:oddHBand="0" w:evenHBand="0" w:firstRowFirstColumn="0" w:firstRowLastColumn="0" w:lastRowFirstColumn="0" w:lastRowLastColumn="0"/>
            </w:pPr>
            <w:r>
              <w:t>Relevant Regulations</w:t>
            </w:r>
          </w:p>
        </w:tc>
      </w:tr>
      <w:tr w:rsidR="00577089" w14:paraId="7481F5B6" w14:textId="77777777" w:rsidTr="000F0F21">
        <w:tc>
          <w:tcPr>
            <w:cnfStyle w:val="001000000000" w:firstRow="0" w:lastRow="0" w:firstColumn="1" w:lastColumn="0" w:oddVBand="0" w:evenVBand="0" w:oddHBand="0" w:evenHBand="0" w:firstRowFirstColumn="0" w:firstRowLastColumn="0" w:lastRowFirstColumn="0" w:lastRowLastColumn="0"/>
            <w:tcW w:w="1371" w:type="pct"/>
          </w:tcPr>
          <w:p w14:paraId="3A2C4418" w14:textId="37985659" w:rsidR="00577089" w:rsidRDefault="00577089" w:rsidP="00FF211F">
            <w:pPr>
              <w:jc w:val="both"/>
            </w:pPr>
            <w:r>
              <w:t>North America</w:t>
            </w:r>
          </w:p>
        </w:tc>
        <w:tc>
          <w:tcPr>
            <w:tcW w:w="3629" w:type="pct"/>
          </w:tcPr>
          <w:p w14:paraId="4F3D0F54" w14:textId="77BC504E" w:rsidR="00577089" w:rsidRDefault="003F1AD8" w:rsidP="00FF211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Dodd-Frank Act and CFTC and SEC rulemaking</w:t>
            </w:r>
            <w:r w:rsidR="003314C1">
              <w:t xml:space="preserve"> requires mandatory</w:t>
            </w:r>
            <w:r w:rsidR="008C6CD4">
              <w:t xml:space="preserve"> clearing of IR swaps contracts by September 2013</w:t>
            </w:r>
          </w:p>
        </w:tc>
      </w:tr>
      <w:tr w:rsidR="00577089" w14:paraId="666265ED" w14:textId="77777777" w:rsidTr="000F0F21">
        <w:tc>
          <w:tcPr>
            <w:cnfStyle w:val="001000000000" w:firstRow="0" w:lastRow="0" w:firstColumn="1" w:lastColumn="0" w:oddVBand="0" w:evenVBand="0" w:oddHBand="0" w:evenHBand="0" w:firstRowFirstColumn="0" w:firstRowLastColumn="0" w:lastRowFirstColumn="0" w:lastRowLastColumn="0"/>
            <w:tcW w:w="1371" w:type="pct"/>
          </w:tcPr>
          <w:p w14:paraId="38BC2C0C" w14:textId="21393C64" w:rsidR="00577089" w:rsidRDefault="00577089" w:rsidP="00FF211F">
            <w:pPr>
              <w:jc w:val="both"/>
            </w:pPr>
            <w:r>
              <w:t>Europe</w:t>
            </w:r>
          </w:p>
        </w:tc>
        <w:tc>
          <w:tcPr>
            <w:tcW w:w="3629" w:type="pct"/>
          </w:tcPr>
          <w:p w14:paraId="25F2959D" w14:textId="08EBA91F" w:rsidR="00577089" w:rsidRDefault="00622956" w:rsidP="00FF211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European Market Infrastructure Regulation (EMIR) passed in 2012</w:t>
            </w:r>
          </w:p>
        </w:tc>
      </w:tr>
      <w:tr w:rsidR="00577089" w14:paraId="08FFE959" w14:textId="77777777" w:rsidTr="000F0F21">
        <w:tc>
          <w:tcPr>
            <w:cnfStyle w:val="001000000000" w:firstRow="0" w:lastRow="0" w:firstColumn="1" w:lastColumn="0" w:oddVBand="0" w:evenVBand="0" w:oddHBand="0" w:evenHBand="0" w:firstRowFirstColumn="0" w:firstRowLastColumn="0" w:lastRowFirstColumn="0" w:lastRowLastColumn="0"/>
            <w:tcW w:w="1371" w:type="pct"/>
          </w:tcPr>
          <w:p w14:paraId="67ED1049" w14:textId="1378D890" w:rsidR="00577089" w:rsidRDefault="00577089" w:rsidP="00FF211F">
            <w:pPr>
              <w:jc w:val="both"/>
            </w:pPr>
            <w:r>
              <w:t>Asia</w:t>
            </w:r>
          </w:p>
        </w:tc>
        <w:tc>
          <w:tcPr>
            <w:tcW w:w="3629" w:type="pct"/>
          </w:tcPr>
          <w:p w14:paraId="663D319C" w14:textId="77777777" w:rsidR="00577089" w:rsidRDefault="001655FC" w:rsidP="00FF211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Japan Financial Services Authority requires yen denominated IR swaps referencing LIBOR to be cleared by end of 2012.</w:t>
            </w:r>
          </w:p>
          <w:p w14:paraId="431C6759" w14:textId="58D6BF89" w:rsidR="001655FC" w:rsidRDefault="000A7150" w:rsidP="00FF211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lastRenderedPageBreak/>
              <w:t xml:space="preserve">Hong Kong Monetary Authority and the Securities and Futures Commission release consultation paper </w:t>
            </w:r>
            <w:r w:rsidR="00896370">
              <w:t xml:space="preserve">in 2011 </w:t>
            </w:r>
            <w:r>
              <w:t xml:space="preserve">on clearing of certain </w:t>
            </w:r>
            <w:r w:rsidR="00502B0A">
              <w:t>IR swaps denominated in Asian currencie</w:t>
            </w:r>
            <w:r w:rsidR="00896370">
              <w:t>s</w:t>
            </w:r>
            <w:r w:rsidR="00914E91">
              <w:t>.</w:t>
            </w:r>
          </w:p>
          <w:p w14:paraId="0C969C89" w14:textId="6857349A" w:rsidR="00502B0A" w:rsidRDefault="00502B0A" w:rsidP="00FF211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Monetary Authority of Singapore (MAS) </w:t>
            </w:r>
            <w:r w:rsidR="009B3B11">
              <w:t xml:space="preserve">releases consultation paper </w:t>
            </w:r>
            <w:r w:rsidR="00896370">
              <w:t xml:space="preserve">in 2011 </w:t>
            </w:r>
            <w:r w:rsidR="00914E91">
              <w:t xml:space="preserve">on </w:t>
            </w:r>
            <w:r w:rsidR="00896370">
              <w:t xml:space="preserve">plans for </w:t>
            </w:r>
            <w:r w:rsidR="00914E91">
              <w:t xml:space="preserve">clearing of certain Singapore Dollar </w:t>
            </w:r>
            <w:r w:rsidR="00896370">
              <w:t xml:space="preserve">denominated </w:t>
            </w:r>
            <w:r w:rsidR="00914E91">
              <w:t>IR swaps</w:t>
            </w:r>
            <w:r w:rsidR="00896370">
              <w:t>.</w:t>
            </w:r>
          </w:p>
        </w:tc>
      </w:tr>
      <w:tr w:rsidR="00577089" w14:paraId="591BBD82" w14:textId="77777777" w:rsidTr="000F0F21">
        <w:tc>
          <w:tcPr>
            <w:cnfStyle w:val="001000000000" w:firstRow="0" w:lastRow="0" w:firstColumn="1" w:lastColumn="0" w:oddVBand="0" w:evenVBand="0" w:oddHBand="0" w:evenHBand="0" w:firstRowFirstColumn="0" w:firstRowLastColumn="0" w:lastRowFirstColumn="0" w:lastRowLastColumn="0"/>
            <w:tcW w:w="1371" w:type="pct"/>
          </w:tcPr>
          <w:p w14:paraId="5CA7A9F0" w14:textId="3BE582AE" w:rsidR="00577089" w:rsidRDefault="00F71C54" w:rsidP="00FF211F">
            <w:pPr>
              <w:jc w:val="both"/>
            </w:pPr>
            <w:r>
              <w:lastRenderedPageBreak/>
              <w:t>Australia</w:t>
            </w:r>
          </w:p>
        </w:tc>
        <w:tc>
          <w:tcPr>
            <w:tcW w:w="3629" w:type="pct"/>
          </w:tcPr>
          <w:p w14:paraId="272F3547" w14:textId="25294191" w:rsidR="00577089" w:rsidRDefault="00BD12A4" w:rsidP="00FF211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Australian Council of Financial Regulators </w:t>
            </w:r>
            <w:r w:rsidR="00A21F7B">
              <w:t>in 2012 announcing plans to pass legislation requiring mandatory clearing of A</w:t>
            </w:r>
            <w:r w:rsidR="003F2A46">
              <w:t>ustralian Dollar denominated IR swaps by end of 2012.</w:t>
            </w:r>
          </w:p>
        </w:tc>
      </w:tr>
    </w:tbl>
    <w:p w14:paraId="75AA4155" w14:textId="77777777" w:rsidR="00475EE6" w:rsidRPr="000816B7" w:rsidRDefault="00475EE6" w:rsidP="00475EE6">
      <w:pPr>
        <w:spacing w:line="480" w:lineRule="auto"/>
        <w:ind w:firstLine="720"/>
        <w:jc w:val="both"/>
      </w:pPr>
    </w:p>
    <w:p w14:paraId="5850AA5C" w14:textId="634DC182" w:rsidR="00B13BAB" w:rsidRDefault="00B13BAB" w:rsidP="00170083">
      <w:pPr>
        <w:pStyle w:val="Heading1"/>
        <w:spacing w:line="480" w:lineRule="auto"/>
      </w:pPr>
      <w:r>
        <w:t>Theory</w:t>
      </w:r>
    </w:p>
    <w:p w14:paraId="2442E1D4" w14:textId="144556E7" w:rsidR="00B13BAB" w:rsidRDefault="00B9520A" w:rsidP="00170083">
      <w:pPr>
        <w:spacing w:line="480" w:lineRule="auto"/>
      </w:pPr>
      <w:r>
        <w:t>(Add theory section here)</w:t>
      </w:r>
    </w:p>
    <w:p w14:paraId="2B165F32" w14:textId="4482FFFF" w:rsidR="00012529" w:rsidRDefault="00A96B98" w:rsidP="00170083">
      <w:pPr>
        <w:pStyle w:val="Heading1"/>
        <w:spacing w:line="480" w:lineRule="auto"/>
      </w:pPr>
      <w:r>
        <w:t>Identification Strategy</w:t>
      </w:r>
    </w:p>
    <w:p w14:paraId="459FF16A" w14:textId="64F9C448" w:rsidR="00EF140B" w:rsidRDefault="00EF140B" w:rsidP="00625ECF">
      <w:pPr>
        <w:spacing w:line="480" w:lineRule="auto"/>
        <w:ind w:firstLine="720"/>
        <w:jc w:val="both"/>
      </w:pPr>
      <w:r>
        <w:t>I</w:t>
      </w:r>
      <w:r>
        <w:t xml:space="preserve"> </w:t>
      </w:r>
      <w:r>
        <w:t xml:space="preserve">investigate the impact of the central clearing mandate on the interest rate swap prices by comparing the premium (the difference between the fair rate and the actual quoted fixed rate) on USD denominated swaps versus CAD denominated swaps before and after the mandate. To achieve this, </w:t>
      </w:r>
      <w:r w:rsidR="00625ECF">
        <w:t>I</w:t>
      </w:r>
      <w:r>
        <w:t xml:space="preserve"> employ a difference-in-differences (</w:t>
      </w:r>
      <w:proofErr w:type="spellStart"/>
      <w:r>
        <w:t>DiD</w:t>
      </w:r>
      <w:proofErr w:type="spellEnd"/>
      <w:r>
        <w:t xml:space="preserve">) identification strategy, which allows </w:t>
      </w:r>
      <w:r w:rsidR="00625ECF">
        <w:t>me</w:t>
      </w:r>
      <w:r>
        <w:t xml:space="preserve"> to isolate the causal effect of the mandate on the swap premiums by exploiting the variation in the timing of the policy implementation.</w:t>
      </w:r>
    </w:p>
    <w:p w14:paraId="23FD4740" w14:textId="77777777" w:rsidR="00EF140B" w:rsidRDefault="00EF140B" w:rsidP="00EF140B">
      <w:pPr>
        <w:spacing w:line="480" w:lineRule="auto"/>
      </w:pPr>
    </w:p>
    <w:p w14:paraId="46A330A0" w14:textId="77777777" w:rsidR="00EF140B" w:rsidRDefault="00EF140B" w:rsidP="00625ECF">
      <w:pPr>
        <w:pStyle w:val="Heading2"/>
      </w:pPr>
      <w:r>
        <w:t xml:space="preserve">    Sample Selection and Data Sources</w:t>
      </w:r>
    </w:p>
    <w:p w14:paraId="7D8D43D0" w14:textId="77777777" w:rsidR="00EF140B" w:rsidRDefault="00EF140B" w:rsidP="00EF140B">
      <w:pPr>
        <w:spacing w:line="480" w:lineRule="auto"/>
      </w:pPr>
    </w:p>
    <w:p w14:paraId="2F6F6CAA" w14:textId="04B8648F" w:rsidR="00EF140B" w:rsidRDefault="00625ECF" w:rsidP="00625ECF">
      <w:pPr>
        <w:spacing w:line="480" w:lineRule="auto"/>
        <w:ind w:firstLine="720"/>
      </w:pPr>
      <w:r>
        <w:t xml:space="preserve">I </w:t>
      </w:r>
      <w:r w:rsidR="00EF140B">
        <w:t xml:space="preserve">begin by selecting a sample of interest rate swaps denominated in both USD and CAD with similar characteristics, such as contract maturity and credit quality, from the </w:t>
      </w:r>
      <w:r>
        <w:t xml:space="preserve">ten trading </w:t>
      </w:r>
      <w:r>
        <w:lastRenderedPageBreak/>
        <w:t xml:space="preserve">days </w:t>
      </w:r>
      <w:r w:rsidR="00EF140B">
        <w:t xml:space="preserve">before and after the central clearing mandate was implemented. </w:t>
      </w:r>
      <w:r>
        <w:t>My</w:t>
      </w:r>
      <w:r w:rsidR="00EF140B">
        <w:t xml:space="preserve"> main data source </w:t>
      </w:r>
      <w:proofErr w:type="gramStart"/>
      <w:r>
        <w:t xml:space="preserve">is </w:t>
      </w:r>
      <w:r w:rsidR="00EF140B">
        <w:t xml:space="preserve"> transaction</w:t>
      </w:r>
      <w:proofErr w:type="gramEnd"/>
      <w:r w:rsidR="00EF140B">
        <w:t xml:space="preserve">-level data from swap data repositories (SDRs), and market data from financial information providers such as Bloomberg. Additionally, </w:t>
      </w:r>
      <w:r>
        <w:t xml:space="preserve">I </w:t>
      </w:r>
      <w:r w:rsidR="00EF140B">
        <w:t>collect data on macroeconomic indicators, central bank policies, and other relevant factors that could potentially affect swap premiums.</w:t>
      </w:r>
    </w:p>
    <w:p w14:paraId="60A87106" w14:textId="77777777" w:rsidR="00EF140B" w:rsidRDefault="00EF140B" w:rsidP="00EF140B">
      <w:pPr>
        <w:spacing w:line="480" w:lineRule="auto"/>
      </w:pPr>
    </w:p>
    <w:p w14:paraId="3904E705" w14:textId="77777777" w:rsidR="00EF140B" w:rsidRDefault="00EF140B" w:rsidP="00625ECF">
      <w:pPr>
        <w:pStyle w:val="Heading2"/>
      </w:pPr>
      <w:r>
        <w:t xml:space="preserve">    Construction of Treatment and Control Groups</w:t>
      </w:r>
    </w:p>
    <w:p w14:paraId="0C1F7D9E" w14:textId="77777777" w:rsidR="00EF140B" w:rsidRDefault="00EF140B" w:rsidP="00EF140B">
      <w:pPr>
        <w:spacing w:line="480" w:lineRule="auto"/>
      </w:pPr>
    </w:p>
    <w:p w14:paraId="2F22BEDC" w14:textId="44231479" w:rsidR="00EF140B" w:rsidRDefault="00EF140B" w:rsidP="00625ECF">
      <w:pPr>
        <w:spacing w:line="480" w:lineRule="auto"/>
        <w:jc w:val="both"/>
      </w:pPr>
      <w:r>
        <w:t xml:space="preserve">Next, </w:t>
      </w:r>
      <w:r w:rsidR="00625ECF">
        <w:t>I</w:t>
      </w:r>
      <w:r>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rsidR="00625ECF">
        <w:t>I</w:t>
      </w:r>
      <w:r>
        <w:t xml:space="preserve"> can identify the causal effect of the policy on swap premiums, </w:t>
      </w:r>
      <w:proofErr w:type="gramStart"/>
      <w:r>
        <w:t>assuming that</w:t>
      </w:r>
      <w:proofErr w:type="gramEnd"/>
      <w:r>
        <w:t xml:space="preserve"> both groups would have followed parallel trends in the absence of the policy intervention.</w:t>
      </w:r>
    </w:p>
    <w:p w14:paraId="6300DB0E" w14:textId="77777777" w:rsidR="00EF140B" w:rsidRDefault="00EF140B" w:rsidP="00EF140B">
      <w:pPr>
        <w:spacing w:line="480" w:lineRule="auto"/>
      </w:pPr>
    </w:p>
    <w:p w14:paraId="32E09FD3" w14:textId="77777777" w:rsidR="00EF140B" w:rsidRDefault="00EF140B" w:rsidP="00625ECF">
      <w:pPr>
        <w:spacing w:line="480" w:lineRule="auto"/>
        <w:jc w:val="both"/>
      </w:pPr>
      <w:r>
        <w:t xml:space="preserve">    Difference-in-Differences Estimation</w:t>
      </w:r>
    </w:p>
    <w:p w14:paraId="6E601F2A" w14:textId="77777777" w:rsidR="00EF140B" w:rsidRDefault="00EF140B" w:rsidP="00EF140B">
      <w:pPr>
        <w:spacing w:line="480" w:lineRule="auto"/>
      </w:pPr>
    </w:p>
    <w:p w14:paraId="78989354" w14:textId="064E1BEB" w:rsidR="00EF140B" w:rsidRDefault="00EF140B" w:rsidP="00EF140B">
      <w:pPr>
        <w:spacing w:line="480" w:lineRule="auto"/>
      </w:pPr>
      <w:r>
        <w:t xml:space="preserve">To estimate the causal effect of the central clearing mandate on swap premiums, </w:t>
      </w:r>
      <w:r w:rsidR="00625ECF">
        <w:t>I</w:t>
      </w:r>
      <w:r>
        <w:t xml:space="preserve"> employ a </w:t>
      </w:r>
      <w:proofErr w:type="spellStart"/>
      <w:r>
        <w:t>DiD</w:t>
      </w:r>
      <w:proofErr w:type="spellEnd"/>
      <w:r>
        <w:t xml:space="preserve"> regression model, which takes the following form:</w:t>
      </w:r>
    </w:p>
    <w:p w14:paraId="2A1970F5" w14:textId="2C330895" w:rsidR="00EF140B" w:rsidRPr="00625ECF" w:rsidRDefault="00625ECF" w:rsidP="00EF140B">
      <w:pPr>
        <w:spacing w:line="480" w:lineRule="auto"/>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p w14:paraId="2D0F2FE9" w14:textId="305A9186" w:rsidR="00EF140B" w:rsidRDefault="00EF140B" w:rsidP="00EF140B">
      <w:pPr>
        <w:spacing w:line="480" w:lineRule="auto"/>
      </w:pPr>
      <w:r>
        <w:lastRenderedPageBreak/>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is the swap premium for swap i at time t, Treatment_i is an indicator variable equal to 1 if the swap is denominated in USD (treatment group) and 0 otherwise (control group), </w:t>
      </w:r>
      <w:proofErr w:type="spellStart"/>
      <w:r>
        <w:t>Post_t</w:t>
      </w:r>
      <w:proofErr w:type="spellEnd"/>
      <w:r>
        <w:t xml:space="preserve"> is an indicator variable equal to 1 for the period after the mandate was implemented, and </w:t>
      </w:r>
      <w:proofErr w:type="spellStart"/>
      <w:r>
        <w:t>X_it</w:t>
      </w:r>
      <w:proofErr w:type="spellEnd"/>
      <w:r>
        <w:t xml:space="preserve"> is a vector of control variables. The coefficient of interest is δ, which captures the causal effect of the central clearing mandate on swap premiums.</w:t>
      </w:r>
    </w:p>
    <w:p w14:paraId="3AADCD5E" w14:textId="77777777" w:rsidR="00EF140B" w:rsidRDefault="00EF140B" w:rsidP="00EF140B">
      <w:pPr>
        <w:spacing w:line="480" w:lineRule="auto"/>
      </w:pPr>
    </w:p>
    <w:p w14:paraId="38AC732E" w14:textId="77777777" w:rsidR="00EF140B" w:rsidRDefault="00EF140B" w:rsidP="00625ECF">
      <w:pPr>
        <w:pStyle w:val="Heading2"/>
      </w:pPr>
      <w:r>
        <w:t xml:space="preserve">    Assumption Checks and Robustness Tests</w:t>
      </w:r>
    </w:p>
    <w:p w14:paraId="4ACB71FE" w14:textId="77777777" w:rsidR="00EF140B" w:rsidRDefault="00EF140B" w:rsidP="00EF140B">
      <w:pPr>
        <w:spacing w:line="480" w:lineRule="auto"/>
      </w:pPr>
    </w:p>
    <w:p w14:paraId="79E105A5" w14:textId="1F2F91A4" w:rsidR="00EF140B" w:rsidRDefault="00EF140B" w:rsidP="00625ECF">
      <w:pPr>
        <w:spacing w:line="480" w:lineRule="auto"/>
        <w:ind w:firstLine="720"/>
        <w:jc w:val="both"/>
      </w:pPr>
      <w:r>
        <w:t xml:space="preserve">To ensure the validity of our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groups, applying different sample selection criteria, and employing alternative econometric techniques, such as propensity score matching and synthetic control methods.</w:t>
      </w:r>
    </w:p>
    <w:p w14:paraId="48A28C1E" w14:textId="77777777" w:rsidR="00EF140B" w:rsidRDefault="00EF140B" w:rsidP="00EF140B">
      <w:pPr>
        <w:spacing w:line="480" w:lineRule="auto"/>
      </w:pPr>
    </w:p>
    <w:p w14:paraId="1EE63A6F" w14:textId="77777777" w:rsidR="00EF140B" w:rsidRDefault="00EF140B" w:rsidP="00625ECF">
      <w:pPr>
        <w:pStyle w:val="Heading2"/>
      </w:pPr>
      <w:r>
        <w:t xml:space="preserve">    Interpretation of Results</w:t>
      </w:r>
    </w:p>
    <w:p w14:paraId="015C7E82" w14:textId="77777777" w:rsidR="00EF140B" w:rsidRDefault="00EF140B" w:rsidP="00EF140B">
      <w:pPr>
        <w:spacing w:line="480" w:lineRule="auto"/>
      </w:pPr>
    </w:p>
    <w:p w14:paraId="7A5827A3" w14:textId="08E3D0E6" w:rsidR="00A96B98" w:rsidRDefault="00EF140B" w:rsidP="00625ECF">
      <w:pPr>
        <w:spacing w:line="480" w:lineRule="auto"/>
        <w:ind w:firstLine="720"/>
        <w:jc w:val="both"/>
      </w:pPr>
      <w:r>
        <w:t xml:space="preserve">Finally, </w:t>
      </w:r>
      <w:r w:rsidR="00625ECF">
        <w:t>I</w:t>
      </w:r>
      <w:r>
        <w:t xml:space="preserve"> interpret the estimated causal effect of the central clearing mandate on swap premiums (δ) and discuss the economic significance of our findings in the context of the interest rate swap market and the broader financial system. This will help us to understand the implications of the central clearing mandate on market efficiency, price transparency, and </w:t>
      </w:r>
      <w:r>
        <w:lastRenderedPageBreak/>
        <w:t>counterparty risk, which are crucial for policymakers and market participants.</w:t>
      </w:r>
      <w:r>
        <w:t xml:space="preserve"> </w:t>
      </w:r>
      <w:r w:rsidR="00781C1A">
        <w:t>(Add identification strategy here)</w:t>
      </w:r>
    </w:p>
    <w:p w14:paraId="517154C7" w14:textId="4EC87616" w:rsidR="00A96B98" w:rsidRDefault="00A96B98" w:rsidP="00170083">
      <w:pPr>
        <w:pStyle w:val="Heading1"/>
        <w:spacing w:line="480" w:lineRule="auto"/>
      </w:pPr>
      <w:r>
        <w:t>Data</w:t>
      </w:r>
    </w:p>
    <w:p w14:paraId="02FB73A2" w14:textId="7DEA851B" w:rsidR="008A79F1" w:rsidRDefault="00935E65" w:rsidP="00CD1B3E">
      <w:pPr>
        <w:spacing w:line="480" w:lineRule="auto"/>
        <w:ind w:firstLine="720"/>
        <w:jc w:val="both"/>
      </w:pPr>
      <w:r w:rsidRPr="00935E65">
        <w:t>The Commodity Futures Trading Commission's (CFTC) clearing mandate on interest rate (IR) swaps became effective on March 11, 2013. The regulation was implemented in three phases. Phase 1 mandated clearing for certain IR swaps involving swap dealers (SD), major swap participants (MSP), or active funds. Phase 2 extended the mandate to additional entities, while Phase 3 covered all remaining entities, unless exempted. The IR swaps covered by the mandate were the largest group by volume, denominated in USD, EUR, GBP, and JPY.</w:t>
      </w:r>
    </w:p>
    <w:p w14:paraId="038FAF33" w14:textId="3847030C" w:rsidR="008A79F1" w:rsidRDefault="005356E2" w:rsidP="00441C17">
      <w:pPr>
        <w:spacing w:line="480" w:lineRule="auto"/>
        <w:ind w:firstLine="720"/>
        <w:jc w:val="both"/>
      </w:pPr>
      <w:r w:rsidRPr="005356E2">
        <w:t>This paper compares prices, price volatility, and market size before and after Phase 1 became effective, examining relevant metrics for USD and CAD denominated swaps – the largest regulated and unregulated markets, respectively. To minimize the impact of interest rate policy and other macroeconomic variables, I analyze ten trading days before (Feb 25, 2013 – Mar 8, 2013) and after (Mar 11 – Mar 22, 2013) the regulation's effective date.</w:t>
      </w:r>
    </w:p>
    <w:p w14:paraId="3A40E47D" w14:textId="75BFAFBE" w:rsidR="008A79F1" w:rsidRDefault="005356E2" w:rsidP="00B0289A">
      <w:pPr>
        <w:spacing w:line="480" w:lineRule="auto"/>
        <w:ind w:firstLine="720"/>
        <w:jc w:val="both"/>
      </w:pPr>
      <w:r w:rsidRPr="005356E2">
        <w:t xml:space="preserve">To calculate the fair price of IR swaps, I forecast future floating rate payments and discount the payments using the correct yield curve. I use a single curve method, the prevalent pricing method during the study period. For USD swaps, I obtain the USD semiannual fixed-floating rate curve for each trading day from Bloomberg. For CAD denominated swaps, I obtain the Canadian yield curve from the Bloomberg Terminal. I use the </w:t>
      </w:r>
      <w:proofErr w:type="spellStart"/>
      <w:r w:rsidRPr="005356E2">
        <w:t>QuantLib</w:t>
      </w:r>
      <w:proofErr w:type="spellEnd"/>
      <w:r w:rsidRPr="005356E2">
        <w:t>-python library to construct a piecewise linear forward curve.</w:t>
      </w:r>
    </w:p>
    <w:p w14:paraId="668A5947" w14:textId="19328E8C" w:rsidR="008A79F1" w:rsidRDefault="00FF211F" w:rsidP="00147694">
      <w:pPr>
        <w:spacing w:line="480" w:lineRule="auto"/>
        <w:ind w:firstLine="720"/>
        <w:jc w:val="both"/>
      </w:pPr>
      <w:r w:rsidRPr="00FF211F">
        <w:lastRenderedPageBreak/>
        <w:t>I acquire trading data from the Depository Trust &amp; Clearing Corporation (DTCC) Data Repository (DDR), the only Swaps Data Repository (SDR) in operation during the study period. The data elements 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swaps that make a single payment at maturity (i.e., payment frequency is 1T). Table 3 shows the notional value and number of trades captured in my data.</w:t>
      </w:r>
    </w:p>
    <w:p w14:paraId="648FED74" w14:textId="5AD888EE" w:rsidR="008A79F1" w:rsidRDefault="008A79F1" w:rsidP="00FF211F">
      <w:pPr>
        <w:pStyle w:val="Caption"/>
        <w:keepNext/>
        <w:jc w:val="center"/>
      </w:pPr>
      <w:bookmarkStart w:id="0" w:name="_Ref92820171"/>
      <w:r>
        <w:t xml:space="preserve">Table </w:t>
      </w:r>
      <w:fldSimple w:instr=" SEQ Table \* ARABIC ">
        <w:r w:rsidR="000C5086">
          <w:rPr>
            <w:noProof/>
          </w:rPr>
          <w:t>3</w:t>
        </w:r>
      </w:fldSimple>
      <w:bookmarkEnd w:id="0"/>
      <w:r>
        <w:rPr>
          <w:noProof/>
        </w:rPr>
        <w:t xml:space="preserve"> Number of trades and notional value of USD and CAD denominated </w:t>
      </w:r>
      <w:r w:rsidR="00CD1B3E">
        <w:rPr>
          <w:noProof/>
        </w:rPr>
        <w:t>IR swaps</w:t>
      </w:r>
    </w:p>
    <w:tbl>
      <w:tblPr>
        <w:tblW w:w="7387" w:type="dxa"/>
        <w:jc w:val="center"/>
        <w:tblLook w:val="04A0" w:firstRow="1" w:lastRow="0" w:firstColumn="1" w:lastColumn="0" w:noHBand="0" w:noVBand="1"/>
      </w:tblPr>
      <w:tblGrid>
        <w:gridCol w:w="1020"/>
        <w:gridCol w:w="780"/>
        <w:gridCol w:w="2430"/>
        <w:gridCol w:w="717"/>
        <w:gridCol w:w="2440"/>
      </w:tblGrid>
      <w:tr w:rsidR="008A79F1" w:rsidRPr="0026460D" w14:paraId="31ABAC8E" w14:textId="77777777" w:rsidTr="004B772F">
        <w:trPr>
          <w:trHeight w:val="773"/>
          <w:jc w:val="center"/>
        </w:trPr>
        <w:tc>
          <w:tcPr>
            <w:tcW w:w="1020" w:type="dxa"/>
            <w:tcBorders>
              <w:top w:val="nil"/>
              <w:left w:val="nil"/>
              <w:bottom w:val="nil"/>
              <w:right w:val="nil"/>
            </w:tcBorders>
            <w:shd w:val="clear" w:color="000000" w:fill="FFFFFF"/>
            <w:noWrap/>
            <w:vAlign w:val="bottom"/>
            <w:hideMark/>
          </w:tcPr>
          <w:p w14:paraId="0095743B" w14:textId="77777777" w:rsidR="008A79F1" w:rsidRPr="0026460D" w:rsidRDefault="008A79F1" w:rsidP="00FF211F">
            <w:pPr>
              <w:rPr>
                <w:rFonts w:ascii="Calibri" w:eastAsia="Times New Roman" w:hAnsi="Calibri" w:cs="Calibri"/>
                <w:color w:val="000000"/>
                <w:sz w:val="22"/>
                <w:szCs w:val="22"/>
              </w:rPr>
            </w:pPr>
            <w:r w:rsidRPr="0026460D">
              <w:rPr>
                <w:rFonts w:ascii="Calibri" w:eastAsia="Times New Roman" w:hAnsi="Calibri" w:cs="Calibri"/>
                <w:color w:val="000000"/>
                <w:sz w:val="22"/>
                <w:szCs w:val="22"/>
              </w:rPr>
              <w:t> </w:t>
            </w:r>
          </w:p>
        </w:tc>
        <w:tc>
          <w:tcPr>
            <w:tcW w:w="3210" w:type="dxa"/>
            <w:gridSpan w:val="2"/>
            <w:tcBorders>
              <w:top w:val="nil"/>
              <w:left w:val="single" w:sz="4" w:space="0" w:color="auto"/>
              <w:bottom w:val="single" w:sz="4" w:space="0" w:color="auto"/>
              <w:right w:val="single" w:sz="4" w:space="0" w:color="000000"/>
            </w:tcBorders>
            <w:shd w:val="clear" w:color="000000" w:fill="FFFFFF"/>
            <w:vAlign w:val="bottom"/>
            <w:hideMark/>
          </w:tcPr>
          <w:p w14:paraId="00989CEE" w14:textId="77777777" w:rsidR="008A79F1" w:rsidRPr="0026460D" w:rsidRDefault="008A79F1" w:rsidP="00FF211F">
            <w:pPr>
              <w:jc w:val="center"/>
              <w:rPr>
                <w:rFonts w:ascii="Calibri" w:eastAsia="Times New Roman" w:hAnsi="Calibri" w:cs="Calibri"/>
                <w:color w:val="000000"/>
                <w:sz w:val="22"/>
                <w:szCs w:val="22"/>
              </w:rPr>
            </w:pPr>
            <w:r w:rsidRPr="0026460D">
              <w:rPr>
                <w:rFonts w:ascii="Calibri" w:eastAsia="Times New Roman" w:hAnsi="Calibri" w:cs="Calibri"/>
                <w:color w:val="000000"/>
                <w:sz w:val="22"/>
                <w:szCs w:val="22"/>
              </w:rPr>
              <w:t>Pre-Regulation: Feb 25, 2013 - Mar 8, 2013</w:t>
            </w:r>
          </w:p>
        </w:tc>
        <w:tc>
          <w:tcPr>
            <w:tcW w:w="3157" w:type="dxa"/>
            <w:gridSpan w:val="2"/>
            <w:tcBorders>
              <w:top w:val="nil"/>
              <w:left w:val="nil"/>
              <w:bottom w:val="single" w:sz="4" w:space="0" w:color="auto"/>
              <w:right w:val="nil"/>
            </w:tcBorders>
            <w:shd w:val="clear" w:color="000000" w:fill="FFFFFF"/>
            <w:vAlign w:val="bottom"/>
            <w:hideMark/>
          </w:tcPr>
          <w:p w14:paraId="79C9115A" w14:textId="77777777" w:rsidR="008A79F1" w:rsidRPr="0026460D" w:rsidRDefault="008A79F1" w:rsidP="00FF211F">
            <w:pPr>
              <w:jc w:val="center"/>
              <w:rPr>
                <w:rFonts w:ascii="Calibri" w:eastAsia="Times New Roman" w:hAnsi="Calibri" w:cs="Calibri"/>
                <w:color w:val="000000"/>
                <w:sz w:val="22"/>
                <w:szCs w:val="22"/>
              </w:rPr>
            </w:pPr>
            <w:r w:rsidRPr="0026460D">
              <w:rPr>
                <w:rFonts w:ascii="Calibri" w:eastAsia="Times New Roman" w:hAnsi="Calibri" w:cs="Calibri"/>
                <w:color w:val="000000"/>
                <w:sz w:val="22"/>
                <w:szCs w:val="22"/>
              </w:rPr>
              <w:t>Post Regulation: Mar 11, 2013 - Mar 22, 2013</w:t>
            </w:r>
          </w:p>
        </w:tc>
      </w:tr>
      <w:tr w:rsidR="008A79F1" w:rsidRPr="0026460D" w14:paraId="6F110A5D" w14:textId="77777777" w:rsidTr="004B772F">
        <w:trPr>
          <w:trHeight w:val="285"/>
          <w:jc w:val="center"/>
        </w:trPr>
        <w:tc>
          <w:tcPr>
            <w:tcW w:w="1020" w:type="dxa"/>
            <w:tcBorders>
              <w:top w:val="nil"/>
              <w:left w:val="nil"/>
              <w:bottom w:val="single" w:sz="4" w:space="0" w:color="auto"/>
              <w:right w:val="single" w:sz="4" w:space="0" w:color="auto"/>
            </w:tcBorders>
            <w:shd w:val="clear" w:color="000000" w:fill="FFFFFF"/>
            <w:vAlign w:val="bottom"/>
            <w:hideMark/>
          </w:tcPr>
          <w:p w14:paraId="2207A2AC" w14:textId="77777777" w:rsidR="008A79F1" w:rsidRPr="0026460D" w:rsidRDefault="008A79F1" w:rsidP="00FF211F">
            <w:pPr>
              <w:rPr>
                <w:rFonts w:ascii="Calibri" w:eastAsia="Times New Roman" w:hAnsi="Calibri" w:cs="Calibri"/>
                <w:color w:val="000000"/>
                <w:sz w:val="22"/>
                <w:szCs w:val="22"/>
              </w:rPr>
            </w:pPr>
            <w:r w:rsidRPr="0026460D">
              <w:rPr>
                <w:rFonts w:ascii="Calibri" w:eastAsia="Times New Roman" w:hAnsi="Calibri" w:cs="Calibri"/>
                <w:color w:val="000000"/>
                <w:sz w:val="22"/>
                <w:szCs w:val="22"/>
              </w:rPr>
              <w:t> </w:t>
            </w:r>
          </w:p>
        </w:tc>
        <w:tc>
          <w:tcPr>
            <w:tcW w:w="780" w:type="dxa"/>
            <w:tcBorders>
              <w:top w:val="nil"/>
              <w:left w:val="nil"/>
              <w:bottom w:val="single" w:sz="4" w:space="0" w:color="auto"/>
              <w:right w:val="nil"/>
            </w:tcBorders>
            <w:shd w:val="clear" w:color="000000" w:fill="FFFFFF"/>
            <w:vAlign w:val="bottom"/>
            <w:hideMark/>
          </w:tcPr>
          <w:p w14:paraId="19F86738" w14:textId="77777777" w:rsidR="008A79F1" w:rsidRPr="0026460D" w:rsidRDefault="008A79F1" w:rsidP="00FF211F">
            <w:pPr>
              <w:rPr>
                <w:rFonts w:ascii="Calibri" w:eastAsia="Times New Roman" w:hAnsi="Calibri" w:cs="Calibri"/>
                <w:color w:val="000000"/>
                <w:sz w:val="22"/>
                <w:szCs w:val="22"/>
              </w:rPr>
            </w:pPr>
            <w:r w:rsidRPr="0026460D">
              <w:rPr>
                <w:rFonts w:ascii="Calibri" w:eastAsia="Times New Roman" w:hAnsi="Calibri" w:cs="Calibri"/>
                <w:color w:val="000000"/>
                <w:sz w:val="22"/>
                <w:szCs w:val="22"/>
              </w:rPr>
              <w:t>N</w:t>
            </w:r>
          </w:p>
        </w:tc>
        <w:tc>
          <w:tcPr>
            <w:tcW w:w="2430" w:type="dxa"/>
            <w:tcBorders>
              <w:top w:val="nil"/>
              <w:left w:val="nil"/>
              <w:bottom w:val="single" w:sz="4" w:space="0" w:color="auto"/>
              <w:right w:val="single" w:sz="4" w:space="0" w:color="auto"/>
            </w:tcBorders>
            <w:shd w:val="clear" w:color="000000" w:fill="FFFFFF"/>
            <w:vAlign w:val="bottom"/>
            <w:hideMark/>
          </w:tcPr>
          <w:p w14:paraId="699C94CD" w14:textId="77777777" w:rsidR="008A79F1" w:rsidRPr="0026460D" w:rsidRDefault="008A79F1" w:rsidP="00FF211F">
            <w:pPr>
              <w:rPr>
                <w:rFonts w:ascii="Calibri" w:eastAsia="Times New Roman" w:hAnsi="Calibri" w:cs="Calibri"/>
                <w:color w:val="000000"/>
                <w:sz w:val="22"/>
                <w:szCs w:val="22"/>
              </w:rPr>
            </w:pPr>
            <w:r w:rsidRPr="0026460D">
              <w:rPr>
                <w:rFonts w:ascii="Calibri" w:eastAsia="Times New Roman" w:hAnsi="Calibri" w:cs="Calibri"/>
                <w:color w:val="000000"/>
                <w:sz w:val="22"/>
                <w:szCs w:val="22"/>
              </w:rPr>
              <w:t>Notional Value</w:t>
            </w:r>
            <w:r>
              <w:rPr>
                <w:rFonts w:ascii="Calibri" w:eastAsia="Times New Roman" w:hAnsi="Calibri" w:cs="Calibri"/>
                <w:color w:val="000000"/>
                <w:sz w:val="22"/>
                <w:szCs w:val="22"/>
              </w:rPr>
              <w:t xml:space="preserve"> (billions)</w:t>
            </w:r>
          </w:p>
        </w:tc>
        <w:tc>
          <w:tcPr>
            <w:tcW w:w="717" w:type="dxa"/>
            <w:tcBorders>
              <w:top w:val="nil"/>
              <w:left w:val="nil"/>
              <w:bottom w:val="single" w:sz="4" w:space="0" w:color="auto"/>
              <w:right w:val="nil"/>
            </w:tcBorders>
            <w:shd w:val="clear" w:color="000000" w:fill="FFFFFF"/>
            <w:vAlign w:val="bottom"/>
            <w:hideMark/>
          </w:tcPr>
          <w:p w14:paraId="370564EC" w14:textId="77777777" w:rsidR="008A79F1" w:rsidRPr="0026460D" w:rsidRDefault="008A79F1" w:rsidP="00FF211F">
            <w:pPr>
              <w:rPr>
                <w:rFonts w:ascii="Calibri" w:eastAsia="Times New Roman" w:hAnsi="Calibri" w:cs="Calibri"/>
                <w:color w:val="000000"/>
                <w:sz w:val="22"/>
                <w:szCs w:val="22"/>
              </w:rPr>
            </w:pPr>
            <w:r w:rsidRPr="0026460D">
              <w:rPr>
                <w:rFonts w:ascii="Calibri" w:eastAsia="Times New Roman" w:hAnsi="Calibri" w:cs="Calibri"/>
                <w:color w:val="000000"/>
                <w:sz w:val="22"/>
                <w:szCs w:val="22"/>
              </w:rPr>
              <w:t>N</w:t>
            </w:r>
          </w:p>
        </w:tc>
        <w:tc>
          <w:tcPr>
            <w:tcW w:w="2440" w:type="dxa"/>
            <w:tcBorders>
              <w:top w:val="nil"/>
              <w:left w:val="nil"/>
              <w:bottom w:val="single" w:sz="4" w:space="0" w:color="auto"/>
              <w:right w:val="nil"/>
            </w:tcBorders>
            <w:shd w:val="clear" w:color="000000" w:fill="FFFFFF"/>
            <w:vAlign w:val="bottom"/>
            <w:hideMark/>
          </w:tcPr>
          <w:p w14:paraId="64FD9384" w14:textId="77777777" w:rsidR="008A79F1" w:rsidRPr="0026460D" w:rsidRDefault="008A79F1" w:rsidP="00FF211F">
            <w:pPr>
              <w:rPr>
                <w:rFonts w:ascii="Calibri" w:eastAsia="Times New Roman" w:hAnsi="Calibri" w:cs="Calibri"/>
                <w:color w:val="000000"/>
                <w:sz w:val="22"/>
                <w:szCs w:val="22"/>
              </w:rPr>
            </w:pPr>
            <w:r w:rsidRPr="0026460D">
              <w:rPr>
                <w:rFonts w:ascii="Calibri" w:eastAsia="Times New Roman" w:hAnsi="Calibri" w:cs="Calibri"/>
                <w:color w:val="000000"/>
                <w:sz w:val="22"/>
                <w:szCs w:val="22"/>
              </w:rPr>
              <w:t>Notional Value</w:t>
            </w:r>
            <w:r>
              <w:rPr>
                <w:rFonts w:ascii="Calibri" w:eastAsia="Times New Roman" w:hAnsi="Calibri" w:cs="Calibri"/>
                <w:color w:val="000000"/>
                <w:sz w:val="22"/>
                <w:szCs w:val="22"/>
              </w:rPr>
              <w:t xml:space="preserve"> (billions)</w:t>
            </w:r>
          </w:p>
        </w:tc>
      </w:tr>
      <w:tr w:rsidR="008A79F1" w:rsidRPr="0026460D" w14:paraId="53B9BEE2" w14:textId="77777777" w:rsidTr="004B772F">
        <w:trPr>
          <w:trHeight w:val="285"/>
          <w:jc w:val="center"/>
        </w:trPr>
        <w:tc>
          <w:tcPr>
            <w:tcW w:w="1020" w:type="dxa"/>
            <w:tcBorders>
              <w:top w:val="nil"/>
              <w:left w:val="nil"/>
              <w:bottom w:val="nil"/>
              <w:right w:val="single" w:sz="4" w:space="0" w:color="auto"/>
            </w:tcBorders>
            <w:shd w:val="clear" w:color="000000" w:fill="FFFFFF"/>
            <w:noWrap/>
            <w:vAlign w:val="bottom"/>
            <w:hideMark/>
          </w:tcPr>
          <w:p w14:paraId="7BC782B3" w14:textId="77777777" w:rsidR="008A79F1" w:rsidRPr="0026460D" w:rsidRDefault="008A79F1" w:rsidP="00FF211F">
            <w:pPr>
              <w:rPr>
                <w:rFonts w:ascii="Calibri" w:eastAsia="Times New Roman" w:hAnsi="Calibri" w:cs="Calibri"/>
                <w:color w:val="000000"/>
                <w:sz w:val="22"/>
                <w:szCs w:val="22"/>
              </w:rPr>
            </w:pPr>
            <w:r w:rsidRPr="0026460D">
              <w:rPr>
                <w:rFonts w:ascii="Calibri" w:eastAsia="Times New Roman" w:hAnsi="Calibri" w:cs="Calibri"/>
                <w:color w:val="000000"/>
                <w:sz w:val="22"/>
                <w:szCs w:val="22"/>
              </w:rPr>
              <w:t>CAD</w:t>
            </w:r>
          </w:p>
        </w:tc>
        <w:tc>
          <w:tcPr>
            <w:tcW w:w="780" w:type="dxa"/>
            <w:tcBorders>
              <w:top w:val="nil"/>
              <w:left w:val="nil"/>
              <w:bottom w:val="nil"/>
              <w:right w:val="nil"/>
            </w:tcBorders>
            <w:shd w:val="clear" w:color="000000" w:fill="FFFFFF"/>
            <w:noWrap/>
            <w:vAlign w:val="bottom"/>
            <w:hideMark/>
          </w:tcPr>
          <w:p w14:paraId="2FEE030A" w14:textId="77777777" w:rsidR="008A79F1" w:rsidRPr="0026460D" w:rsidRDefault="008A79F1" w:rsidP="00FF211F">
            <w:pPr>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468</w:t>
            </w:r>
          </w:p>
        </w:tc>
        <w:tc>
          <w:tcPr>
            <w:tcW w:w="2430" w:type="dxa"/>
            <w:tcBorders>
              <w:top w:val="nil"/>
              <w:left w:val="nil"/>
              <w:bottom w:val="nil"/>
              <w:right w:val="single" w:sz="4" w:space="0" w:color="auto"/>
            </w:tcBorders>
            <w:shd w:val="clear" w:color="000000" w:fill="FFFFFF"/>
            <w:noWrap/>
            <w:vAlign w:val="bottom"/>
            <w:hideMark/>
          </w:tcPr>
          <w:p w14:paraId="58F773C4" w14:textId="77777777" w:rsidR="008A79F1" w:rsidRPr="0026460D" w:rsidRDefault="008A79F1" w:rsidP="00FF211F">
            <w:pPr>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CAD 39,280</w:t>
            </w:r>
            <w:r>
              <w:rPr>
                <w:rFonts w:ascii="Calibri" w:eastAsia="Times New Roman" w:hAnsi="Calibri" w:cs="Calibri"/>
                <w:color w:val="000000"/>
                <w:sz w:val="22"/>
                <w:szCs w:val="22"/>
              </w:rPr>
              <w:t>.</w:t>
            </w:r>
            <w:r w:rsidRPr="0026460D">
              <w:rPr>
                <w:rFonts w:ascii="Calibri" w:eastAsia="Times New Roman" w:hAnsi="Calibri" w:cs="Calibri"/>
                <w:color w:val="000000"/>
                <w:sz w:val="22"/>
                <w:szCs w:val="22"/>
              </w:rPr>
              <w:t>1</w:t>
            </w:r>
            <w:r>
              <w:rPr>
                <w:rFonts w:ascii="Calibri" w:eastAsia="Times New Roman" w:hAnsi="Calibri" w:cs="Calibri"/>
                <w:color w:val="000000"/>
                <w:sz w:val="22"/>
                <w:szCs w:val="22"/>
              </w:rPr>
              <w:t>0</w:t>
            </w:r>
          </w:p>
        </w:tc>
        <w:tc>
          <w:tcPr>
            <w:tcW w:w="717" w:type="dxa"/>
            <w:tcBorders>
              <w:top w:val="nil"/>
              <w:left w:val="nil"/>
              <w:bottom w:val="nil"/>
              <w:right w:val="nil"/>
            </w:tcBorders>
            <w:shd w:val="clear" w:color="000000" w:fill="FFFFFF"/>
            <w:noWrap/>
            <w:vAlign w:val="bottom"/>
            <w:hideMark/>
          </w:tcPr>
          <w:p w14:paraId="28211DF1" w14:textId="77777777" w:rsidR="008A79F1" w:rsidRPr="0026460D" w:rsidRDefault="008A79F1" w:rsidP="00FF211F">
            <w:pPr>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259</w:t>
            </w:r>
          </w:p>
        </w:tc>
        <w:tc>
          <w:tcPr>
            <w:tcW w:w="2440" w:type="dxa"/>
            <w:tcBorders>
              <w:top w:val="nil"/>
              <w:left w:val="nil"/>
              <w:bottom w:val="nil"/>
              <w:right w:val="nil"/>
            </w:tcBorders>
            <w:shd w:val="clear" w:color="000000" w:fill="FFFFFF"/>
            <w:noWrap/>
            <w:vAlign w:val="bottom"/>
            <w:hideMark/>
          </w:tcPr>
          <w:p w14:paraId="19866412" w14:textId="77777777" w:rsidR="008A79F1" w:rsidRPr="0026460D" w:rsidRDefault="008A79F1" w:rsidP="00FF211F">
            <w:pPr>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CAD 20,605</w:t>
            </w:r>
            <w:r>
              <w:rPr>
                <w:rFonts w:ascii="Calibri" w:eastAsia="Times New Roman" w:hAnsi="Calibri" w:cs="Calibri"/>
                <w:color w:val="000000"/>
                <w:sz w:val="22"/>
                <w:szCs w:val="22"/>
              </w:rPr>
              <w:t>.</w:t>
            </w:r>
            <w:r w:rsidRPr="0026460D">
              <w:rPr>
                <w:rFonts w:ascii="Calibri" w:eastAsia="Times New Roman" w:hAnsi="Calibri" w:cs="Calibri"/>
                <w:color w:val="000000"/>
                <w:sz w:val="22"/>
                <w:szCs w:val="22"/>
              </w:rPr>
              <w:t>31</w:t>
            </w:r>
          </w:p>
        </w:tc>
      </w:tr>
      <w:tr w:rsidR="008A79F1" w:rsidRPr="0026460D" w14:paraId="54723CAD" w14:textId="77777777" w:rsidTr="004B772F">
        <w:trPr>
          <w:trHeight w:val="285"/>
          <w:jc w:val="center"/>
        </w:trPr>
        <w:tc>
          <w:tcPr>
            <w:tcW w:w="1020" w:type="dxa"/>
            <w:tcBorders>
              <w:top w:val="nil"/>
              <w:left w:val="nil"/>
              <w:bottom w:val="nil"/>
              <w:right w:val="single" w:sz="4" w:space="0" w:color="auto"/>
            </w:tcBorders>
            <w:shd w:val="clear" w:color="000000" w:fill="FFFFFF"/>
            <w:noWrap/>
            <w:vAlign w:val="bottom"/>
            <w:hideMark/>
          </w:tcPr>
          <w:p w14:paraId="17DCD4B9" w14:textId="77777777" w:rsidR="008A79F1" w:rsidRPr="0026460D" w:rsidRDefault="008A79F1" w:rsidP="00FF211F">
            <w:pPr>
              <w:rPr>
                <w:rFonts w:ascii="Calibri" w:eastAsia="Times New Roman" w:hAnsi="Calibri" w:cs="Calibri"/>
                <w:color w:val="000000"/>
                <w:sz w:val="22"/>
                <w:szCs w:val="22"/>
              </w:rPr>
            </w:pPr>
            <w:r w:rsidRPr="0026460D">
              <w:rPr>
                <w:rFonts w:ascii="Calibri" w:eastAsia="Times New Roman" w:hAnsi="Calibri" w:cs="Calibri"/>
                <w:color w:val="000000"/>
                <w:sz w:val="22"/>
                <w:szCs w:val="22"/>
              </w:rPr>
              <w:t>USD</w:t>
            </w:r>
          </w:p>
        </w:tc>
        <w:tc>
          <w:tcPr>
            <w:tcW w:w="780" w:type="dxa"/>
            <w:tcBorders>
              <w:top w:val="nil"/>
              <w:left w:val="nil"/>
              <w:bottom w:val="nil"/>
              <w:right w:val="nil"/>
            </w:tcBorders>
            <w:shd w:val="clear" w:color="000000" w:fill="FFFFFF"/>
            <w:noWrap/>
            <w:vAlign w:val="bottom"/>
            <w:hideMark/>
          </w:tcPr>
          <w:p w14:paraId="0DD970E9" w14:textId="77777777" w:rsidR="008A79F1" w:rsidRPr="0026460D" w:rsidRDefault="008A79F1" w:rsidP="00FF211F">
            <w:pPr>
              <w:rPr>
                <w:rFonts w:ascii="Calibri" w:eastAsia="Times New Roman" w:hAnsi="Calibri" w:cs="Calibri"/>
                <w:color w:val="000000"/>
                <w:sz w:val="22"/>
                <w:szCs w:val="22"/>
              </w:rPr>
            </w:pPr>
            <w:r w:rsidRPr="0026460D">
              <w:rPr>
                <w:rFonts w:ascii="Calibri" w:eastAsia="Times New Roman" w:hAnsi="Calibri" w:cs="Calibri"/>
                <w:color w:val="000000"/>
                <w:sz w:val="22"/>
                <w:szCs w:val="22"/>
              </w:rPr>
              <w:t xml:space="preserve">   5,969 </w:t>
            </w:r>
          </w:p>
        </w:tc>
        <w:tc>
          <w:tcPr>
            <w:tcW w:w="2430" w:type="dxa"/>
            <w:tcBorders>
              <w:top w:val="nil"/>
              <w:left w:val="nil"/>
              <w:bottom w:val="nil"/>
              <w:right w:val="single" w:sz="4" w:space="0" w:color="auto"/>
            </w:tcBorders>
            <w:shd w:val="clear" w:color="000000" w:fill="FFFFFF"/>
            <w:noWrap/>
            <w:vAlign w:val="bottom"/>
            <w:hideMark/>
          </w:tcPr>
          <w:p w14:paraId="69CD5ADB" w14:textId="77777777" w:rsidR="008A79F1" w:rsidRPr="0026460D" w:rsidRDefault="008A79F1" w:rsidP="00FF211F">
            <w:pPr>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USD 317,474</w:t>
            </w:r>
            <w:r>
              <w:rPr>
                <w:rFonts w:ascii="Calibri" w:eastAsia="Times New Roman" w:hAnsi="Calibri" w:cs="Calibri"/>
                <w:color w:val="000000"/>
                <w:sz w:val="22"/>
                <w:szCs w:val="22"/>
              </w:rPr>
              <w:t>.</w:t>
            </w:r>
            <w:r w:rsidRPr="0026460D">
              <w:rPr>
                <w:rFonts w:ascii="Calibri" w:eastAsia="Times New Roman" w:hAnsi="Calibri" w:cs="Calibri"/>
                <w:color w:val="000000"/>
                <w:sz w:val="22"/>
                <w:szCs w:val="22"/>
              </w:rPr>
              <w:t>5</w:t>
            </w:r>
            <w:r>
              <w:rPr>
                <w:rFonts w:ascii="Calibri" w:eastAsia="Times New Roman" w:hAnsi="Calibri" w:cs="Calibri"/>
                <w:color w:val="000000"/>
                <w:sz w:val="22"/>
                <w:szCs w:val="22"/>
              </w:rPr>
              <w:t>1</w:t>
            </w:r>
          </w:p>
        </w:tc>
        <w:tc>
          <w:tcPr>
            <w:tcW w:w="717" w:type="dxa"/>
            <w:tcBorders>
              <w:top w:val="nil"/>
              <w:left w:val="nil"/>
              <w:bottom w:val="nil"/>
              <w:right w:val="nil"/>
            </w:tcBorders>
            <w:shd w:val="clear" w:color="000000" w:fill="FFFFFF"/>
            <w:noWrap/>
            <w:vAlign w:val="bottom"/>
            <w:hideMark/>
          </w:tcPr>
          <w:p w14:paraId="062376F4" w14:textId="77777777" w:rsidR="008A79F1" w:rsidRPr="0026460D" w:rsidRDefault="008A79F1" w:rsidP="00FF211F">
            <w:pPr>
              <w:rPr>
                <w:rFonts w:ascii="Calibri" w:eastAsia="Times New Roman" w:hAnsi="Calibri" w:cs="Calibri"/>
                <w:color w:val="000000"/>
                <w:sz w:val="22"/>
                <w:szCs w:val="22"/>
              </w:rPr>
            </w:pPr>
            <w:r w:rsidRPr="0026460D">
              <w:rPr>
                <w:rFonts w:ascii="Calibri" w:eastAsia="Times New Roman" w:hAnsi="Calibri" w:cs="Calibri"/>
                <w:color w:val="000000"/>
                <w:sz w:val="22"/>
                <w:szCs w:val="22"/>
              </w:rPr>
              <w:t xml:space="preserve">   5,751 </w:t>
            </w:r>
          </w:p>
        </w:tc>
        <w:tc>
          <w:tcPr>
            <w:tcW w:w="2440" w:type="dxa"/>
            <w:tcBorders>
              <w:top w:val="nil"/>
              <w:left w:val="nil"/>
              <w:bottom w:val="nil"/>
              <w:right w:val="nil"/>
            </w:tcBorders>
            <w:shd w:val="clear" w:color="000000" w:fill="FFFFFF"/>
            <w:noWrap/>
            <w:vAlign w:val="bottom"/>
            <w:hideMark/>
          </w:tcPr>
          <w:p w14:paraId="199717A1" w14:textId="77777777" w:rsidR="008A79F1" w:rsidRPr="0026460D" w:rsidRDefault="008A79F1" w:rsidP="00FF211F">
            <w:pPr>
              <w:jc w:val="right"/>
              <w:rPr>
                <w:rFonts w:ascii="Calibri" w:eastAsia="Times New Roman" w:hAnsi="Calibri" w:cs="Calibri"/>
                <w:color w:val="000000"/>
                <w:sz w:val="22"/>
                <w:szCs w:val="22"/>
              </w:rPr>
            </w:pPr>
            <w:r w:rsidRPr="0026460D">
              <w:rPr>
                <w:rFonts w:ascii="Calibri" w:eastAsia="Times New Roman" w:hAnsi="Calibri" w:cs="Calibri"/>
                <w:color w:val="000000"/>
                <w:sz w:val="22"/>
                <w:szCs w:val="22"/>
              </w:rPr>
              <w:t>USD 313,917</w:t>
            </w:r>
            <w:r>
              <w:rPr>
                <w:rFonts w:ascii="Calibri" w:eastAsia="Times New Roman" w:hAnsi="Calibri" w:cs="Calibri"/>
                <w:color w:val="000000"/>
                <w:sz w:val="22"/>
                <w:szCs w:val="22"/>
              </w:rPr>
              <w:t>.</w:t>
            </w:r>
            <w:r w:rsidRPr="0026460D">
              <w:rPr>
                <w:rFonts w:ascii="Calibri" w:eastAsia="Times New Roman" w:hAnsi="Calibri" w:cs="Calibri"/>
                <w:color w:val="000000"/>
                <w:sz w:val="22"/>
                <w:szCs w:val="22"/>
              </w:rPr>
              <w:t>1</w:t>
            </w:r>
            <w:r>
              <w:rPr>
                <w:rFonts w:ascii="Calibri" w:eastAsia="Times New Roman" w:hAnsi="Calibri" w:cs="Calibri"/>
                <w:color w:val="000000"/>
                <w:sz w:val="22"/>
                <w:szCs w:val="22"/>
              </w:rPr>
              <w:t>0</w:t>
            </w:r>
          </w:p>
        </w:tc>
      </w:tr>
    </w:tbl>
    <w:p w14:paraId="3D8E93BC" w14:textId="77777777" w:rsidR="008A79F1" w:rsidRDefault="008A79F1" w:rsidP="00170083">
      <w:pPr>
        <w:spacing w:line="480" w:lineRule="auto"/>
        <w:ind w:firstLine="720"/>
      </w:pPr>
    </w:p>
    <w:p w14:paraId="21C679CD" w14:textId="2E48D313" w:rsidR="008A79F1" w:rsidRDefault="008A79F1" w:rsidP="000C5086">
      <w:pPr>
        <w:spacing w:line="480" w:lineRule="auto"/>
        <w:ind w:firstLine="720"/>
        <w:jc w:val="both"/>
      </w:pPr>
      <w:r>
        <w:t xml:space="preserve">I note that the CAD swaps market is much smaller (both in dollar and ticket volume).  </w:t>
      </w:r>
      <w:r>
        <w:fldChar w:fldCharType="begin"/>
      </w:r>
      <w:r>
        <w:instrText xml:space="preserve"> REF _Ref92820314 \h </w:instrText>
      </w:r>
      <w:r w:rsidR="00BF6365">
        <w:instrText xml:space="preserve"> \* MERGEFORMAT </w:instrText>
      </w:r>
      <w:r>
        <w:fldChar w:fldCharType="separate"/>
      </w:r>
      <w:r>
        <w:t xml:space="preserve">Table </w:t>
      </w:r>
      <w:r>
        <w:rPr>
          <w:noProof/>
        </w:rPr>
        <w:t>2</w:t>
      </w:r>
      <w:r>
        <w:fldChar w:fldCharType="end"/>
      </w:r>
      <w:r>
        <w:t xml:space="preserve"> lists the notional values, floating leg index and average tenor of USD and CAD swaps in our dataset.</w:t>
      </w:r>
    </w:p>
    <w:p w14:paraId="563B7388" w14:textId="077A2DB3" w:rsidR="008A79F1" w:rsidRDefault="008A79F1" w:rsidP="00FF211F">
      <w:pPr>
        <w:pStyle w:val="Caption"/>
        <w:keepNext/>
        <w:jc w:val="center"/>
      </w:pPr>
      <w:bookmarkStart w:id="1" w:name="_Ref92820314"/>
      <w:r>
        <w:t xml:space="preserve">Table </w:t>
      </w:r>
      <w:fldSimple w:instr=" SEQ Table \* ARABIC ">
        <w:r w:rsidR="000C5086">
          <w:rPr>
            <w:noProof/>
          </w:rPr>
          <w:t>4</w:t>
        </w:r>
      </w:fldSimple>
      <w:bookmarkEnd w:id="1"/>
      <w:r>
        <w:rPr>
          <w:noProof/>
        </w:rPr>
        <w:t xml:space="preserve"> Some characteristics of USD and CAD swaps</w:t>
      </w:r>
    </w:p>
    <w:tbl>
      <w:tblPr>
        <w:tblW w:w="5483" w:type="dxa"/>
        <w:jc w:val="center"/>
        <w:tblLook w:val="04A0" w:firstRow="1" w:lastRow="0" w:firstColumn="1" w:lastColumn="0" w:noHBand="0" w:noVBand="1"/>
      </w:tblPr>
      <w:tblGrid>
        <w:gridCol w:w="2815"/>
        <w:gridCol w:w="1334"/>
        <w:gridCol w:w="1334"/>
      </w:tblGrid>
      <w:tr w:rsidR="008A79F1" w:rsidRPr="008B2435" w14:paraId="674AAAA1"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41CBFBE0"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c>
          <w:tcPr>
            <w:tcW w:w="2668" w:type="dxa"/>
            <w:gridSpan w:val="2"/>
            <w:tcBorders>
              <w:top w:val="nil"/>
              <w:left w:val="nil"/>
              <w:bottom w:val="single" w:sz="4" w:space="0" w:color="auto"/>
              <w:right w:val="nil"/>
            </w:tcBorders>
            <w:shd w:val="clear" w:color="000000" w:fill="FFFFFF"/>
            <w:noWrap/>
            <w:vAlign w:val="bottom"/>
            <w:hideMark/>
          </w:tcPr>
          <w:p w14:paraId="498AA78D" w14:textId="77777777" w:rsidR="008A79F1" w:rsidRPr="008B2435" w:rsidRDefault="008A79F1" w:rsidP="00FF211F">
            <w:pPr>
              <w:jc w:val="center"/>
              <w:rPr>
                <w:rFonts w:ascii="Calibri" w:eastAsia="Times New Roman" w:hAnsi="Calibri" w:cs="Calibri"/>
                <w:color w:val="000000"/>
                <w:sz w:val="22"/>
                <w:szCs w:val="22"/>
              </w:rPr>
            </w:pPr>
            <w:r w:rsidRPr="008B2435">
              <w:rPr>
                <w:rFonts w:ascii="Calibri" w:eastAsia="Times New Roman" w:hAnsi="Calibri" w:cs="Calibri"/>
                <w:color w:val="000000"/>
                <w:sz w:val="22"/>
                <w:szCs w:val="22"/>
              </w:rPr>
              <w:t>USD</w:t>
            </w:r>
          </w:p>
        </w:tc>
      </w:tr>
      <w:tr w:rsidR="008A79F1" w:rsidRPr="008B2435" w14:paraId="5B69A345"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3680DD99"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c>
          <w:tcPr>
            <w:tcW w:w="1334" w:type="dxa"/>
            <w:tcBorders>
              <w:top w:val="nil"/>
              <w:left w:val="nil"/>
              <w:bottom w:val="single" w:sz="4" w:space="0" w:color="auto"/>
              <w:right w:val="nil"/>
            </w:tcBorders>
            <w:shd w:val="clear" w:color="000000" w:fill="FFFFFF"/>
            <w:noWrap/>
            <w:vAlign w:val="bottom"/>
            <w:hideMark/>
          </w:tcPr>
          <w:p w14:paraId="08C1FAC5"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Pre</w:t>
            </w:r>
          </w:p>
        </w:tc>
        <w:tc>
          <w:tcPr>
            <w:tcW w:w="1334" w:type="dxa"/>
            <w:tcBorders>
              <w:top w:val="nil"/>
              <w:left w:val="nil"/>
              <w:bottom w:val="single" w:sz="4" w:space="0" w:color="auto"/>
              <w:right w:val="nil"/>
            </w:tcBorders>
            <w:shd w:val="clear" w:color="000000" w:fill="FFFFFF"/>
            <w:noWrap/>
            <w:vAlign w:val="bottom"/>
            <w:hideMark/>
          </w:tcPr>
          <w:p w14:paraId="14BE1649"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Post</w:t>
            </w:r>
          </w:p>
        </w:tc>
      </w:tr>
      <w:tr w:rsidR="008A79F1" w:rsidRPr="008B2435" w14:paraId="59D335E5"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7EA9631B"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Average Notional Value</w:t>
            </w:r>
          </w:p>
        </w:tc>
        <w:tc>
          <w:tcPr>
            <w:tcW w:w="1334" w:type="dxa"/>
            <w:tcBorders>
              <w:top w:val="nil"/>
              <w:left w:val="nil"/>
              <w:bottom w:val="nil"/>
              <w:right w:val="nil"/>
            </w:tcBorders>
            <w:shd w:val="clear" w:color="000000" w:fill="FFFFFF"/>
            <w:noWrap/>
            <w:vAlign w:val="bottom"/>
            <w:hideMark/>
          </w:tcPr>
          <w:p w14:paraId="434C093B"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USD 53.2M</w:t>
            </w:r>
          </w:p>
        </w:tc>
        <w:tc>
          <w:tcPr>
            <w:tcW w:w="1334" w:type="dxa"/>
            <w:tcBorders>
              <w:top w:val="nil"/>
              <w:left w:val="nil"/>
              <w:bottom w:val="nil"/>
              <w:right w:val="nil"/>
            </w:tcBorders>
            <w:shd w:val="clear" w:color="000000" w:fill="FFFFFF"/>
            <w:noWrap/>
            <w:vAlign w:val="bottom"/>
            <w:hideMark/>
          </w:tcPr>
          <w:p w14:paraId="570AF12D"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USD 54.6M</w:t>
            </w:r>
          </w:p>
        </w:tc>
      </w:tr>
      <w:tr w:rsidR="008A79F1" w:rsidRPr="008B2435" w14:paraId="6DC7963E"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16C77746" w14:textId="77777777" w:rsidR="008A79F1" w:rsidRPr="008B2435" w:rsidRDefault="008A79F1" w:rsidP="00FF211F">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Floating Leg </w:t>
            </w:r>
            <w:r w:rsidRPr="008B2435">
              <w:rPr>
                <w:rFonts w:ascii="Calibri" w:eastAsia="Times New Roman" w:hAnsi="Calibri" w:cs="Calibri"/>
                <w:color w:val="000000"/>
                <w:sz w:val="22"/>
                <w:szCs w:val="22"/>
              </w:rPr>
              <w:t>Reference Rate</w:t>
            </w:r>
          </w:p>
        </w:tc>
        <w:tc>
          <w:tcPr>
            <w:tcW w:w="1334" w:type="dxa"/>
            <w:tcBorders>
              <w:top w:val="nil"/>
              <w:left w:val="nil"/>
              <w:bottom w:val="nil"/>
              <w:right w:val="nil"/>
            </w:tcBorders>
            <w:shd w:val="clear" w:color="000000" w:fill="FFFFFF"/>
            <w:noWrap/>
            <w:vAlign w:val="bottom"/>
            <w:hideMark/>
          </w:tcPr>
          <w:p w14:paraId="7D376D2D"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c>
          <w:tcPr>
            <w:tcW w:w="1334" w:type="dxa"/>
            <w:tcBorders>
              <w:top w:val="nil"/>
              <w:left w:val="nil"/>
              <w:bottom w:val="nil"/>
              <w:right w:val="nil"/>
            </w:tcBorders>
            <w:shd w:val="clear" w:color="000000" w:fill="FFFFFF"/>
            <w:noWrap/>
            <w:vAlign w:val="bottom"/>
            <w:hideMark/>
          </w:tcPr>
          <w:p w14:paraId="526452C1"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r>
      <w:tr w:rsidR="008A79F1" w:rsidRPr="008B2435" w14:paraId="6CFF7FAD"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1CDBCA74" w14:textId="77777777" w:rsidR="008A79F1" w:rsidRPr="008B2435" w:rsidRDefault="008A79F1" w:rsidP="00FF211F">
            <w:pPr>
              <w:ind w:firstLineChars="100" w:firstLine="220"/>
              <w:rPr>
                <w:rFonts w:ascii="Calibri" w:eastAsia="Times New Roman" w:hAnsi="Calibri" w:cs="Calibri"/>
                <w:color w:val="000000"/>
                <w:sz w:val="22"/>
                <w:szCs w:val="22"/>
              </w:rPr>
            </w:pPr>
            <w:r w:rsidRPr="008B2435">
              <w:rPr>
                <w:rFonts w:ascii="Calibri" w:eastAsia="Times New Roman" w:hAnsi="Calibri" w:cs="Calibri"/>
                <w:color w:val="000000"/>
                <w:sz w:val="22"/>
                <w:szCs w:val="22"/>
              </w:rPr>
              <w:t>USD Libor BBA</w:t>
            </w:r>
          </w:p>
        </w:tc>
        <w:tc>
          <w:tcPr>
            <w:tcW w:w="1334" w:type="dxa"/>
            <w:tcBorders>
              <w:top w:val="nil"/>
              <w:left w:val="nil"/>
              <w:bottom w:val="nil"/>
              <w:right w:val="nil"/>
            </w:tcBorders>
            <w:shd w:val="clear" w:color="000000" w:fill="FFFFFF"/>
            <w:noWrap/>
            <w:vAlign w:val="bottom"/>
            <w:hideMark/>
          </w:tcPr>
          <w:p w14:paraId="36F2766B" w14:textId="77777777" w:rsidR="008A79F1" w:rsidRPr="008B2435" w:rsidRDefault="008A79F1" w:rsidP="00FF211F">
            <w:pPr>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98.00%</w:t>
            </w:r>
          </w:p>
        </w:tc>
        <w:tc>
          <w:tcPr>
            <w:tcW w:w="1334" w:type="dxa"/>
            <w:tcBorders>
              <w:top w:val="nil"/>
              <w:left w:val="nil"/>
              <w:bottom w:val="nil"/>
              <w:right w:val="nil"/>
            </w:tcBorders>
            <w:shd w:val="clear" w:color="000000" w:fill="FFFFFF"/>
            <w:noWrap/>
            <w:vAlign w:val="bottom"/>
            <w:hideMark/>
          </w:tcPr>
          <w:p w14:paraId="0EB5BC25" w14:textId="77777777" w:rsidR="008A79F1" w:rsidRPr="008B2435" w:rsidRDefault="008A79F1" w:rsidP="00FF211F">
            <w:pPr>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98.00%</w:t>
            </w:r>
          </w:p>
        </w:tc>
      </w:tr>
      <w:tr w:rsidR="008A79F1" w:rsidRPr="008B2435" w14:paraId="667B1434"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20D1FE72" w14:textId="77777777" w:rsidR="008A79F1" w:rsidRPr="008B2435" w:rsidRDefault="008A79F1" w:rsidP="00FF211F">
            <w:pPr>
              <w:ind w:firstLineChars="100" w:firstLine="220"/>
              <w:rPr>
                <w:rFonts w:ascii="Calibri" w:eastAsia="Times New Roman" w:hAnsi="Calibri" w:cs="Calibri"/>
                <w:color w:val="000000"/>
                <w:sz w:val="22"/>
                <w:szCs w:val="22"/>
              </w:rPr>
            </w:pPr>
            <w:r w:rsidRPr="008B2435">
              <w:rPr>
                <w:rFonts w:ascii="Calibri" w:eastAsia="Times New Roman" w:hAnsi="Calibri" w:cs="Calibri"/>
                <w:color w:val="000000"/>
                <w:sz w:val="22"/>
                <w:szCs w:val="22"/>
              </w:rPr>
              <w:t>Fed Funds</w:t>
            </w:r>
          </w:p>
        </w:tc>
        <w:tc>
          <w:tcPr>
            <w:tcW w:w="1334" w:type="dxa"/>
            <w:tcBorders>
              <w:top w:val="nil"/>
              <w:left w:val="nil"/>
              <w:bottom w:val="nil"/>
              <w:right w:val="nil"/>
            </w:tcBorders>
            <w:shd w:val="clear" w:color="000000" w:fill="FFFFFF"/>
            <w:noWrap/>
            <w:vAlign w:val="bottom"/>
            <w:hideMark/>
          </w:tcPr>
          <w:p w14:paraId="331B12CA" w14:textId="77777777" w:rsidR="008A79F1" w:rsidRPr="008B2435" w:rsidRDefault="008A79F1" w:rsidP="00FF211F">
            <w:pPr>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c>
          <w:tcPr>
            <w:tcW w:w="1334" w:type="dxa"/>
            <w:tcBorders>
              <w:top w:val="nil"/>
              <w:left w:val="nil"/>
              <w:bottom w:val="nil"/>
              <w:right w:val="nil"/>
            </w:tcBorders>
            <w:shd w:val="clear" w:color="000000" w:fill="FFFFFF"/>
            <w:noWrap/>
            <w:vAlign w:val="bottom"/>
            <w:hideMark/>
          </w:tcPr>
          <w:p w14:paraId="30AC8BC7" w14:textId="77777777" w:rsidR="008A79F1" w:rsidRPr="008B2435" w:rsidRDefault="008A79F1" w:rsidP="00FF211F">
            <w:pPr>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r>
      <w:tr w:rsidR="008A79F1" w:rsidRPr="008B2435" w14:paraId="123BC48C"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1AC2F09A" w14:textId="77777777" w:rsidR="008A79F1" w:rsidRPr="008B2435" w:rsidRDefault="008A79F1" w:rsidP="00FF211F">
            <w:pPr>
              <w:ind w:firstLineChars="100" w:firstLine="220"/>
              <w:rPr>
                <w:rFonts w:ascii="Calibri" w:eastAsia="Times New Roman" w:hAnsi="Calibri" w:cs="Calibri"/>
                <w:color w:val="000000"/>
                <w:sz w:val="22"/>
                <w:szCs w:val="22"/>
              </w:rPr>
            </w:pPr>
            <w:r w:rsidRPr="008B2435">
              <w:rPr>
                <w:rFonts w:ascii="Calibri" w:eastAsia="Times New Roman" w:hAnsi="Calibri" w:cs="Calibri"/>
                <w:color w:val="000000"/>
                <w:sz w:val="22"/>
                <w:szCs w:val="22"/>
              </w:rPr>
              <w:t>Other</w:t>
            </w:r>
          </w:p>
        </w:tc>
        <w:tc>
          <w:tcPr>
            <w:tcW w:w="1334" w:type="dxa"/>
            <w:tcBorders>
              <w:top w:val="nil"/>
              <w:left w:val="nil"/>
              <w:bottom w:val="nil"/>
              <w:right w:val="nil"/>
            </w:tcBorders>
            <w:shd w:val="clear" w:color="000000" w:fill="FFFFFF"/>
            <w:noWrap/>
            <w:vAlign w:val="bottom"/>
            <w:hideMark/>
          </w:tcPr>
          <w:p w14:paraId="4394F207" w14:textId="77777777" w:rsidR="008A79F1" w:rsidRPr="008B2435" w:rsidRDefault="008A79F1" w:rsidP="00FF211F">
            <w:pPr>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c>
          <w:tcPr>
            <w:tcW w:w="1334" w:type="dxa"/>
            <w:tcBorders>
              <w:top w:val="nil"/>
              <w:left w:val="nil"/>
              <w:bottom w:val="nil"/>
              <w:right w:val="nil"/>
            </w:tcBorders>
            <w:shd w:val="clear" w:color="000000" w:fill="FFFFFF"/>
            <w:noWrap/>
            <w:vAlign w:val="bottom"/>
            <w:hideMark/>
          </w:tcPr>
          <w:p w14:paraId="4415C538" w14:textId="77777777" w:rsidR="008A79F1" w:rsidRPr="008B2435" w:rsidRDefault="008A79F1" w:rsidP="00FF211F">
            <w:pPr>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r>
      <w:tr w:rsidR="008A79F1" w:rsidRPr="008B2435" w14:paraId="4995C22E"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431A2ACD"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c>
          <w:tcPr>
            <w:tcW w:w="2668" w:type="dxa"/>
            <w:gridSpan w:val="2"/>
            <w:tcBorders>
              <w:top w:val="nil"/>
              <w:left w:val="nil"/>
              <w:bottom w:val="single" w:sz="4" w:space="0" w:color="auto"/>
              <w:right w:val="nil"/>
            </w:tcBorders>
            <w:shd w:val="clear" w:color="000000" w:fill="FFFFFF"/>
            <w:noWrap/>
            <w:vAlign w:val="bottom"/>
            <w:hideMark/>
          </w:tcPr>
          <w:p w14:paraId="5DE8DDE7" w14:textId="77777777" w:rsidR="008A79F1" w:rsidRPr="008B2435" w:rsidRDefault="008A79F1" w:rsidP="00FF211F">
            <w:pPr>
              <w:jc w:val="center"/>
              <w:rPr>
                <w:rFonts w:ascii="Calibri" w:eastAsia="Times New Roman" w:hAnsi="Calibri" w:cs="Calibri"/>
                <w:color w:val="000000"/>
                <w:sz w:val="22"/>
                <w:szCs w:val="22"/>
              </w:rPr>
            </w:pPr>
            <w:r w:rsidRPr="008B2435">
              <w:rPr>
                <w:rFonts w:ascii="Calibri" w:eastAsia="Times New Roman" w:hAnsi="Calibri" w:cs="Calibri"/>
                <w:color w:val="000000"/>
                <w:sz w:val="22"/>
                <w:szCs w:val="22"/>
              </w:rPr>
              <w:t>CAD</w:t>
            </w:r>
          </w:p>
        </w:tc>
      </w:tr>
      <w:tr w:rsidR="008A79F1" w:rsidRPr="008B2435" w14:paraId="1B54B72B"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114741B2"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Average Notional Value</w:t>
            </w:r>
          </w:p>
        </w:tc>
        <w:tc>
          <w:tcPr>
            <w:tcW w:w="1334" w:type="dxa"/>
            <w:tcBorders>
              <w:top w:val="nil"/>
              <w:left w:val="nil"/>
              <w:bottom w:val="single" w:sz="4" w:space="0" w:color="auto"/>
              <w:right w:val="nil"/>
            </w:tcBorders>
            <w:shd w:val="clear" w:color="000000" w:fill="FFFFFF"/>
            <w:noWrap/>
            <w:vAlign w:val="bottom"/>
            <w:hideMark/>
          </w:tcPr>
          <w:p w14:paraId="75AFFB1D"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CAD 53.2M</w:t>
            </w:r>
          </w:p>
        </w:tc>
        <w:tc>
          <w:tcPr>
            <w:tcW w:w="1334" w:type="dxa"/>
            <w:tcBorders>
              <w:top w:val="nil"/>
              <w:left w:val="nil"/>
              <w:bottom w:val="single" w:sz="4" w:space="0" w:color="auto"/>
              <w:right w:val="nil"/>
            </w:tcBorders>
            <w:shd w:val="clear" w:color="000000" w:fill="FFFFFF"/>
            <w:noWrap/>
            <w:vAlign w:val="bottom"/>
            <w:hideMark/>
          </w:tcPr>
          <w:p w14:paraId="7B41833D"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CAD 54.6M</w:t>
            </w:r>
          </w:p>
        </w:tc>
      </w:tr>
      <w:tr w:rsidR="008A79F1" w:rsidRPr="008B2435" w14:paraId="6A20E429"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1C03B7C7"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Reference Rate</w:t>
            </w:r>
          </w:p>
        </w:tc>
        <w:tc>
          <w:tcPr>
            <w:tcW w:w="1334" w:type="dxa"/>
            <w:tcBorders>
              <w:top w:val="nil"/>
              <w:left w:val="nil"/>
              <w:bottom w:val="nil"/>
              <w:right w:val="nil"/>
            </w:tcBorders>
            <w:shd w:val="clear" w:color="000000" w:fill="FFFFFF"/>
            <w:noWrap/>
            <w:vAlign w:val="bottom"/>
            <w:hideMark/>
          </w:tcPr>
          <w:p w14:paraId="55AE07E3"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c>
          <w:tcPr>
            <w:tcW w:w="1334" w:type="dxa"/>
            <w:tcBorders>
              <w:top w:val="nil"/>
              <w:left w:val="nil"/>
              <w:bottom w:val="nil"/>
              <w:right w:val="nil"/>
            </w:tcBorders>
            <w:shd w:val="clear" w:color="000000" w:fill="FFFFFF"/>
            <w:noWrap/>
            <w:vAlign w:val="bottom"/>
            <w:hideMark/>
          </w:tcPr>
          <w:p w14:paraId="10716AF5" w14:textId="77777777" w:rsidR="008A79F1" w:rsidRPr="008B2435" w:rsidRDefault="008A79F1" w:rsidP="00FF211F">
            <w:pPr>
              <w:rPr>
                <w:rFonts w:ascii="Calibri" w:eastAsia="Times New Roman" w:hAnsi="Calibri" w:cs="Calibri"/>
                <w:color w:val="000000"/>
                <w:sz w:val="22"/>
                <w:szCs w:val="22"/>
              </w:rPr>
            </w:pPr>
            <w:r w:rsidRPr="008B2435">
              <w:rPr>
                <w:rFonts w:ascii="Calibri" w:eastAsia="Times New Roman" w:hAnsi="Calibri" w:cs="Calibri"/>
                <w:color w:val="000000"/>
                <w:sz w:val="22"/>
                <w:szCs w:val="22"/>
              </w:rPr>
              <w:t> </w:t>
            </w:r>
          </w:p>
        </w:tc>
      </w:tr>
      <w:tr w:rsidR="008A79F1" w:rsidRPr="008B2435" w14:paraId="797D7A3B"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0ADDEAB7" w14:textId="77777777" w:rsidR="008A79F1" w:rsidRPr="008B2435" w:rsidRDefault="008A79F1" w:rsidP="00FF211F">
            <w:pPr>
              <w:ind w:firstLineChars="100" w:firstLine="220"/>
              <w:rPr>
                <w:rFonts w:ascii="Calibri" w:eastAsia="Times New Roman" w:hAnsi="Calibri" w:cs="Calibri"/>
                <w:color w:val="000000"/>
                <w:sz w:val="22"/>
                <w:szCs w:val="22"/>
              </w:rPr>
            </w:pPr>
            <w:r w:rsidRPr="008B2435">
              <w:rPr>
                <w:rFonts w:ascii="Calibri" w:eastAsia="Times New Roman" w:hAnsi="Calibri" w:cs="Calibri"/>
                <w:color w:val="000000"/>
                <w:sz w:val="22"/>
                <w:szCs w:val="22"/>
              </w:rPr>
              <w:t>BA-CDOR</w:t>
            </w:r>
          </w:p>
        </w:tc>
        <w:tc>
          <w:tcPr>
            <w:tcW w:w="1334" w:type="dxa"/>
            <w:tcBorders>
              <w:top w:val="nil"/>
              <w:left w:val="nil"/>
              <w:bottom w:val="nil"/>
              <w:right w:val="nil"/>
            </w:tcBorders>
            <w:shd w:val="clear" w:color="000000" w:fill="FFFFFF"/>
            <w:noWrap/>
            <w:vAlign w:val="bottom"/>
            <w:hideMark/>
          </w:tcPr>
          <w:p w14:paraId="7E821E95" w14:textId="77777777" w:rsidR="008A79F1" w:rsidRPr="008B2435" w:rsidRDefault="008A79F1" w:rsidP="00FF211F">
            <w:pPr>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99.00%</w:t>
            </w:r>
          </w:p>
        </w:tc>
        <w:tc>
          <w:tcPr>
            <w:tcW w:w="1334" w:type="dxa"/>
            <w:tcBorders>
              <w:top w:val="nil"/>
              <w:left w:val="nil"/>
              <w:bottom w:val="nil"/>
              <w:right w:val="nil"/>
            </w:tcBorders>
            <w:shd w:val="clear" w:color="000000" w:fill="FFFFFF"/>
            <w:noWrap/>
            <w:vAlign w:val="bottom"/>
            <w:hideMark/>
          </w:tcPr>
          <w:p w14:paraId="60DC2B7E" w14:textId="77777777" w:rsidR="008A79F1" w:rsidRPr="008B2435" w:rsidRDefault="008A79F1" w:rsidP="00FF211F">
            <w:pPr>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99.00%</w:t>
            </w:r>
          </w:p>
        </w:tc>
      </w:tr>
      <w:tr w:rsidR="008A79F1" w:rsidRPr="008B2435" w14:paraId="06637998" w14:textId="77777777" w:rsidTr="004B772F">
        <w:trPr>
          <w:trHeight w:val="285"/>
          <w:jc w:val="center"/>
        </w:trPr>
        <w:tc>
          <w:tcPr>
            <w:tcW w:w="2815" w:type="dxa"/>
            <w:tcBorders>
              <w:top w:val="nil"/>
              <w:left w:val="nil"/>
              <w:bottom w:val="nil"/>
              <w:right w:val="single" w:sz="4" w:space="0" w:color="auto"/>
            </w:tcBorders>
            <w:shd w:val="clear" w:color="000000" w:fill="FFFFFF"/>
            <w:noWrap/>
            <w:vAlign w:val="bottom"/>
            <w:hideMark/>
          </w:tcPr>
          <w:p w14:paraId="5DC71421" w14:textId="77777777" w:rsidR="008A79F1" w:rsidRPr="008B2435" w:rsidRDefault="008A79F1" w:rsidP="00FF211F">
            <w:pPr>
              <w:ind w:firstLineChars="100" w:firstLine="220"/>
              <w:rPr>
                <w:rFonts w:ascii="Calibri" w:eastAsia="Times New Roman" w:hAnsi="Calibri" w:cs="Calibri"/>
                <w:color w:val="000000"/>
                <w:sz w:val="22"/>
                <w:szCs w:val="22"/>
              </w:rPr>
            </w:pPr>
            <w:r w:rsidRPr="008B2435">
              <w:rPr>
                <w:rFonts w:ascii="Calibri" w:eastAsia="Times New Roman" w:hAnsi="Calibri" w:cs="Calibri"/>
                <w:color w:val="000000"/>
                <w:sz w:val="22"/>
                <w:szCs w:val="22"/>
              </w:rPr>
              <w:lastRenderedPageBreak/>
              <w:t>Other</w:t>
            </w:r>
          </w:p>
        </w:tc>
        <w:tc>
          <w:tcPr>
            <w:tcW w:w="1334" w:type="dxa"/>
            <w:tcBorders>
              <w:top w:val="nil"/>
              <w:left w:val="nil"/>
              <w:bottom w:val="nil"/>
              <w:right w:val="nil"/>
            </w:tcBorders>
            <w:shd w:val="clear" w:color="000000" w:fill="FFFFFF"/>
            <w:noWrap/>
            <w:vAlign w:val="bottom"/>
            <w:hideMark/>
          </w:tcPr>
          <w:p w14:paraId="395C2901" w14:textId="77777777" w:rsidR="008A79F1" w:rsidRPr="008B2435" w:rsidRDefault="008A79F1" w:rsidP="00FF211F">
            <w:pPr>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c>
          <w:tcPr>
            <w:tcW w:w="1334" w:type="dxa"/>
            <w:tcBorders>
              <w:top w:val="nil"/>
              <w:left w:val="nil"/>
              <w:bottom w:val="nil"/>
              <w:right w:val="nil"/>
            </w:tcBorders>
            <w:shd w:val="clear" w:color="000000" w:fill="FFFFFF"/>
            <w:noWrap/>
            <w:vAlign w:val="bottom"/>
            <w:hideMark/>
          </w:tcPr>
          <w:p w14:paraId="1F9DDE3C" w14:textId="77777777" w:rsidR="008A79F1" w:rsidRPr="008B2435" w:rsidRDefault="008A79F1" w:rsidP="00FF211F">
            <w:pPr>
              <w:jc w:val="right"/>
              <w:rPr>
                <w:rFonts w:ascii="Calibri" w:eastAsia="Times New Roman" w:hAnsi="Calibri" w:cs="Calibri"/>
                <w:color w:val="000000"/>
                <w:sz w:val="22"/>
                <w:szCs w:val="22"/>
              </w:rPr>
            </w:pPr>
            <w:r w:rsidRPr="008B2435">
              <w:rPr>
                <w:rFonts w:ascii="Calibri" w:eastAsia="Times New Roman" w:hAnsi="Calibri" w:cs="Calibri"/>
                <w:color w:val="000000"/>
                <w:sz w:val="22"/>
                <w:szCs w:val="22"/>
              </w:rPr>
              <w:t>1.00%</w:t>
            </w:r>
          </w:p>
        </w:tc>
      </w:tr>
    </w:tbl>
    <w:p w14:paraId="390DDF6F" w14:textId="77777777" w:rsidR="00A96B98" w:rsidRDefault="00A96B98" w:rsidP="00170083">
      <w:pPr>
        <w:spacing w:line="480" w:lineRule="auto"/>
      </w:pPr>
    </w:p>
    <w:p w14:paraId="3C87E4A9" w14:textId="2DF31044" w:rsidR="00A96B98" w:rsidRDefault="00A96B98" w:rsidP="00170083">
      <w:pPr>
        <w:pStyle w:val="Heading1"/>
        <w:spacing w:line="480" w:lineRule="auto"/>
      </w:pPr>
      <w:r>
        <w:t>Results</w:t>
      </w:r>
    </w:p>
    <w:p w14:paraId="6324256F" w14:textId="77777777" w:rsidR="002F3376" w:rsidRDefault="002F3376" w:rsidP="00170083">
      <w:pPr>
        <w:pStyle w:val="Heading2"/>
        <w:spacing w:line="480" w:lineRule="auto"/>
      </w:pPr>
      <w:r>
        <w:t>Prices</w:t>
      </w:r>
    </w:p>
    <w:p w14:paraId="7CBCF94C" w14:textId="3AD64BA8" w:rsidR="002F3376" w:rsidRDefault="002F3376" w:rsidP="00170083">
      <w:pPr>
        <w:spacing w:line="480" w:lineRule="auto"/>
        <w:ind w:firstLine="720"/>
      </w:pPr>
      <w:r>
        <w:t xml:space="preserve">The GME regression results for the price premium is described in </w:t>
      </w:r>
      <w:r>
        <w:fldChar w:fldCharType="begin"/>
      </w:r>
      <w:r>
        <w:instrText xml:space="preserve"> REF _Ref93598805 \h </w:instrText>
      </w:r>
      <w:r w:rsidR="00BF6365">
        <w:instrText xml:space="preserve"> \* MERGEFORMAT </w:instrText>
      </w:r>
      <w:r>
        <w:fldChar w:fldCharType="separate"/>
      </w:r>
      <w:r>
        <w:t xml:space="preserve">Table </w:t>
      </w:r>
      <w:r>
        <w:rPr>
          <w:noProof/>
        </w:rPr>
        <w:t>3</w:t>
      </w:r>
      <w:r>
        <w:fldChar w:fldCharType="end"/>
      </w:r>
      <w:r>
        <w:t xml:space="preserve">.  We are chiefly interested in the coefficient of the interaction variable </w:t>
      </w:r>
      <m:oMath>
        <m:r>
          <w:rPr>
            <w:rFonts w:ascii="Cambria Math" w:hAnsi="Cambria Math"/>
          </w:rPr>
          <m:t>Currency*Period</m:t>
        </m:r>
      </m:oMath>
      <w:r>
        <w:t>, which takes on a value of 1 if the observation is in the regulated market (USD) after March 11, and zero otherwise.  In model 1, only the variables Currency (1 for USD, 0 for CAD), Period (1 for on or after, March 11 and 0 for before March 11) and the interaction variable Currency * Period are included.  In the full model, other controls such as the natural log of the underlying notional amount, the tenor, payment frequency, trade day, trade time and late effective indicators are also included.</w:t>
      </w:r>
    </w:p>
    <w:p w14:paraId="78B4E0FA" w14:textId="77777777" w:rsidR="002F3376" w:rsidRDefault="002F3376" w:rsidP="00170083">
      <w:pPr>
        <w:spacing w:line="480" w:lineRule="auto"/>
        <w:ind w:firstLine="720"/>
      </w:pPr>
      <w:r>
        <w:t xml:space="preserve">Regulation (the coefficient of the interaction variable) is associated with a 1.180 bps increase in the premium (1.176 bps in the full model).  The increase is statistically significant.  Among the control variables, payment frequency is the most important and associated with a 5 to 10 bps increase in the premium (compared to the baseline of a quarterly-semi-annual contract).  Contracts with a larger notional value is associated with a smaller premium (a 1% increase in the notional value is associated with a 0.04 bps reduction in the premium.  Trades completed after hours is associated with a 0.3 bps increase in the premium (compared to mid-day trading) and the trading day is associated with a 1 to 2 bps increase in the premium (baseline is Wednesday trading).  Contracts that become effective after March 31 is associated </w:t>
      </w:r>
      <w:r>
        <w:lastRenderedPageBreak/>
        <w:t>with a 0.3 bps increase in the premium (ordinarily, a contract becomes effective 2 days after the trade is executed in the USD market and on the day of the trade in the CAD market).</w:t>
      </w:r>
    </w:p>
    <w:p w14:paraId="4E27C723" w14:textId="77777777" w:rsidR="002F3376" w:rsidRPr="006B42E2" w:rsidRDefault="002F3376" w:rsidP="00170083">
      <w:pPr>
        <w:spacing w:line="480" w:lineRule="auto"/>
        <w:ind w:firstLine="720"/>
      </w:pPr>
    </w:p>
    <w:p w14:paraId="670F6E57" w14:textId="011AE129" w:rsidR="002F3376" w:rsidRDefault="002F3376" w:rsidP="00170083">
      <w:pPr>
        <w:pStyle w:val="Caption"/>
        <w:keepNext/>
        <w:spacing w:line="480" w:lineRule="auto"/>
      </w:pPr>
      <w:bookmarkStart w:id="2" w:name="_Ref93598805"/>
      <w:r>
        <w:t xml:space="preserve">Table </w:t>
      </w:r>
      <w:fldSimple w:instr=" SEQ Table \* ARABIC ">
        <w:r w:rsidR="000C5086">
          <w:rPr>
            <w:noProof/>
          </w:rPr>
          <w:t>5</w:t>
        </w:r>
      </w:fldSimple>
      <w:bookmarkEnd w:id="2"/>
      <w:r>
        <w:rPr>
          <w:noProof/>
        </w:rPr>
        <w:t xml:space="preserve"> Generalized Maximum Entropy Regression Results for Premium</w:t>
      </w:r>
    </w:p>
    <w:tbl>
      <w:tblPr>
        <w:tblStyle w:val="PlainTable2"/>
        <w:tblW w:w="0" w:type="auto"/>
        <w:tblLook w:val="0620" w:firstRow="1" w:lastRow="0" w:firstColumn="0" w:lastColumn="0" w:noHBand="1" w:noVBand="1"/>
      </w:tblPr>
      <w:tblGrid>
        <w:gridCol w:w="3614"/>
        <w:gridCol w:w="2337"/>
        <w:gridCol w:w="2338"/>
      </w:tblGrid>
      <w:tr w:rsidR="002F3376" w14:paraId="382BDCC4" w14:textId="77777777" w:rsidTr="004B772F">
        <w:trPr>
          <w:cnfStyle w:val="100000000000" w:firstRow="1" w:lastRow="0" w:firstColumn="0" w:lastColumn="0" w:oddVBand="0" w:evenVBand="0" w:oddHBand="0" w:evenHBand="0" w:firstRowFirstColumn="0" w:firstRowLastColumn="0" w:lastRowFirstColumn="0" w:lastRowLastColumn="0"/>
        </w:trPr>
        <w:tc>
          <w:tcPr>
            <w:tcW w:w="3614" w:type="dxa"/>
          </w:tcPr>
          <w:p w14:paraId="5608FDA2" w14:textId="77777777" w:rsidR="002F3376" w:rsidRDefault="002F3376" w:rsidP="00FF211F"/>
        </w:tc>
        <w:tc>
          <w:tcPr>
            <w:tcW w:w="2337" w:type="dxa"/>
          </w:tcPr>
          <w:p w14:paraId="31F71D9F" w14:textId="77777777" w:rsidR="002F3376" w:rsidRDefault="002F3376" w:rsidP="00FF211F">
            <w:r>
              <w:t>Model 1</w:t>
            </w:r>
          </w:p>
        </w:tc>
        <w:tc>
          <w:tcPr>
            <w:tcW w:w="2338" w:type="dxa"/>
          </w:tcPr>
          <w:p w14:paraId="70383A92" w14:textId="77777777" w:rsidR="002F3376" w:rsidRDefault="002F3376" w:rsidP="00FF211F">
            <w:r>
              <w:t>Model 2</w:t>
            </w:r>
          </w:p>
        </w:tc>
      </w:tr>
      <w:tr w:rsidR="002F3376" w14:paraId="40A3C3D2" w14:textId="77777777" w:rsidTr="004B772F">
        <w:tc>
          <w:tcPr>
            <w:tcW w:w="3614" w:type="dxa"/>
          </w:tcPr>
          <w:p w14:paraId="05C10A12" w14:textId="77777777" w:rsidR="002F3376" w:rsidRDefault="002F3376" w:rsidP="00FF211F">
            <w:r>
              <w:t>Currency: USD</w:t>
            </w:r>
          </w:p>
        </w:tc>
        <w:tc>
          <w:tcPr>
            <w:tcW w:w="2337" w:type="dxa"/>
          </w:tcPr>
          <w:p w14:paraId="59AC1739" w14:textId="77777777" w:rsidR="002F3376" w:rsidRDefault="002F3376" w:rsidP="00FF211F">
            <w:r>
              <w:t>1.07 (0.224) ***</w:t>
            </w:r>
          </w:p>
        </w:tc>
        <w:tc>
          <w:tcPr>
            <w:tcW w:w="2338" w:type="dxa"/>
          </w:tcPr>
          <w:p w14:paraId="3A03D8DF" w14:textId="77777777" w:rsidR="002F3376" w:rsidRDefault="002F3376" w:rsidP="00FF211F">
            <w:r>
              <w:t>1.111 (0.284) ***</w:t>
            </w:r>
          </w:p>
        </w:tc>
      </w:tr>
      <w:tr w:rsidR="002F3376" w14:paraId="27AB6FFE" w14:textId="77777777" w:rsidTr="004B772F">
        <w:tc>
          <w:tcPr>
            <w:tcW w:w="3614" w:type="dxa"/>
          </w:tcPr>
          <w:p w14:paraId="659C1CD6" w14:textId="77777777" w:rsidR="002F3376" w:rsidRDefault="002F3376" w:rsidP="00FF211F">
            <w:r>
              <w:t>Period: Post</w:t>
            </w:r>
          </w:p>
        </w:tc>
        <w:tc>
          <w:tcPr>
            <w:tcW w:w="2337" w:type="dxa"/>
          </w:tcPr>
          <w:p w14:paraId="310B3DDF" w14:textId="77777777" w:rsidR="002F3376" w:rsidRDefault="002F3376" w:rsidP="00FF211F">
            <w:r>
              <w:t>-0.239 (0.360)</w:t>
            </w:r>
          </w:p>
        </w:tc>
        <w:tc>
          <w:tcPr>
            <w:tcW w:w="2338" w:type="dxa"/>
          </w:tcPr>
          <w:p w14:paraId="17515EB8" w14:textId="77777777" w:rsidR="002F3376" w:rsidRDefault="002F3376" w:rsidP="00FF211F">
            <w:r>
              <w:t>-0.336 (0.303)</w:t>
            </w:r>
          </w:p>
        </w:tc>
      </w:tr>
      <w:tr w:rsidR="002F3376" w14:paraId="23EBB478" w14:textId="77777777" w:rsidTr="004B772F">
        <w:tc>
          <w:tcPr>
            <w:tcW w:w="3614" w:type="dxa"/>
          </w:tcPr>
          <w:p w14:paraId="76F4311F" w14:textId="77777777" w:rsidR="002F3376" w:rsidRDefault="002F3376" w:rsidP="00FF211F">
            <w:r>
              <w:t>Currency*Period</w:t>
            </w:r>
          </w:p>
        </w:tc>
        <w:tc>
          <w:tcPr>
            <w:tcW w:w="2337" w:type="dxa"/>
          </w:tcPr>
          <w:p w14:paraId="110D67E7" w14:textId="77777777" w:rsidR="002F3376" w:rsidRDefault="002F3376" w:rsidP="00FF211F">
            <w:r>
              <w:t>1.180 (0.370) ***</w:t>
            </w:r>
          </w:p>
        </w:tc>
        <w:tc>
          <w:tcPr>
            <w:tcW w:w="2338" w:type="dxa"/>
          </w:tcPr>
          <w:p w14:paraId="4A57C349" w14:textId="77777777" w:rsidR="002F3376" w:rsidRDefault="002F3376" w:rsidP="00FF211F">
            <w:r>
              <w:t>1.176 (0.307) ***</w:t>
            </w:r>
          </w:p>
        </w:tc>
      </w:tr>
      <w:tr w:rsidR="002F3376" w14:paraId="555595E6" w14:textId="77777777" w:rsidTr="004B772F">
        <w:tc>
          <w:tcPr>
            <w:tcW w:w="3614" w:type="dxa"/>
          </w:tcPr>
          <w:p w14:paraId="2477171E" w14:textId="77777777" w:rsidR="002F3376" w:rsidRDefault="002F3376" w:rsidP="00FF211F">
            <w:r>
              <w:t>Ln(notional)</w:t>
            </w:r>
          </w:p>
        </w:tc>
        <w:tc>
          <w:tcPr>
            <w:tcW w:w="2337" w:type="dxa"/>
          </w:tcPr>
          <w:p w14:paraId="07BEA43B" w14:textId="77777777" w:rsidR="002F3376" w:rsidRDefault="002F3376" w:rsidP="00FF211F"/>
        </w:tc>
        <w:tc>
          <w:tcPr>
            <w:tcW w:w="2338" w:type="dxa"/>
          </w:tcPr>
          <w:p w14:paraId="37AF261A" w14:textId="77777777" w:rsidR="002F3376" w:rsidRDefault="002F3376" w:rsidP="00FF211F">
            <w:r>
              <w:t>-0.046 (0.033)</w:t>
            </w:r>
          </w:p>
        </w:tc>
      </w:tr>
      <w:tr w:rsidR="002F3376" w14:paraId="56E5C5BB" w14:textId="77777777" w:rsidTr="004B772F">
        <w:tc>
          <w:tcPr>
            <w:tcW w:w="3614" w:type="dxa"/>
          </w:tcPr>
          <w:p w14:paraId="4F648C51" w14:textId="77777777" w:rsidR="002F3376" w:rsidRDefault="002F3376" w:rsidP="00FF211F">
            <w:r>
              <w:t>Tenor (months)</w:t>
            </w:r>
          </w:p>
        </w:tc>
        <w:tc>
          <w:tcPr>
            <w:tcW w:w="2337" w:type="dxa"/>
          </w:tcPr>
          <w:p w14:paraId="5F67F19D" w14:textId="77777777" w:rsidR="002F3376" w:rsidRDefault="002F3376" w:rsidP="00FF211F"/>
        </w:tc>
        <w:tc>
          <w:tcPr>
            <w:tcW w:w="2338" w:type="dxa"/>
          </w:tcPr>
          <w:p w14:paraId="31AD0D58" w14:textId="77777777" w:rsidR="002F3376" w:rsidRDefault="002F3376" w:rsidP="00FF211F">
            <w:r>
              <w:t>0.0157 (0.001) ***</w:t>
            </w:r>
          </w:p>
        </w:tc>
      </w:tr>
      <w:tr w:rsidR="002F3376" w14:paraId="318905EF" w14:textId="77777777" w:rsidTr="004B772F">
        <w:tc>
          <w:tcPr>
            <w:tcW w:w="3614" w:type="dxa"/>
          </w:tcPr>
          <w:p w14:paraId="47DF6BD4" w14:textId="77777777" w:rsidR="002F3376" w:rsidRDefault="002F3376" w:rsidP="00FF211F">
            <w:r>
              <w:t>Payment Frequency</w:t>
            </w:r>
            <w:r>
              <w:rPr>
                <w:rStyle w:val="FootnoteReference"/>
              </w:rPr>
              <w:footnoteReference w:id="2"/>
            </w:r>
          </w:p>
          <w:p w14:paraId="61387623" w14:textId="77777777" w:rsidR="002F3376" w:rsidRDefault="002F3376" w:rsidP="00FF211F">
            <w:r>
              <w:t xml:space="preserve">      1M-1M</w:t>
            </w:r>
          </w:p>
          <w:p w14:paraId="4E18F98D" w14:textId="77777777" w:rsidR="002F3376" w:rsidRDefault="002F3376" w:rsidP="00FF211F">
            <w:r>
              <w:t xml:space="preserve">      1M-6M</w:t>
            </w:r>
          </w:p>
          <w:p w14:paraId="2F2A7216" w14:textId="77777777" w:rsidR="002F3376" w:rsidRDefault="002F3376" w:rsidP="00FF211F">
            <w:r>
              <w:t xml:space="preserve">      3M-3M</w:t>
            </w:r>
          </w:p>
          <w:p w14:paraId="0A6783FF" w14:textId="77777777" w:rsidR="002F3376" w:rsidRDefault="002F3376" w:rsidP="00FF211F">
            <w:r>
              <w:t xml:space="preserve">      3M-6M</w:t>
            </w:r>
          </w:p>
          <w:p w14:paraId="403F847C" w14:textId="77777777" w:rsidR="002F3376" w:rsidRDefault="002F3376" w:rsidP="00FF211F">
            <w:r>
              <w:t xml:space="preserve">      3M-1Y</w:t>
            </w:r>
          </w:p>
          <w:p w14:paraId="5FCA6163" w14:textId="77777777" w:rsidR="002F3376" w:rsidRDefault="002F3376" w:rsidP="00FF211F">
            <w:r>
              <w:t xml:space="preserve">      6M-1M</w:t>
            </w:r>
          </w:p>
          <w:p w14:paraId="7206F2B8" w14:textId="77777777" w:rsidR="002F3376" w:rsidRDefault="002F3376" w:rsidP="00FF211F">
            <w:r>
              <w:t xml:space="preserve">      6M-3M</w:t>
            </w:r>
          </w:p>
          <w:p w14:paraId="0F9A824B" w14:textId="77777777" w:rsidR="002F3376" w:rsidRDefault="002F3376" w:rsidP="00FF211F">
            <w:r>
              <w:t xml:space="preserve">      6M-6M</w:t>
            </w:r>
          </w:p>
          <w:p w14:paraId="35853E0E" w14:textId="77777777" w:rsidR="002F3376" w:rsidRDefault="002F3376" w:rsidP="00FF211F">
            <w:r>
              <w:t xml:space="preserve">      6M-1Y</w:t>
            </w:r>
          </w:p>
          <w:p w14:paraId="53AA6B83" w14:textId="77777777" w:rsidR="002F3376" w:rsidRDefault="002F3376" w:rsidP="00FF211F">
            <w:r>
              <w:t xml:space="preserve">     12M-3M</w:t>
            </w:r>
          </w:p>
          <w:p w14:paraId="4BEB64EB" w14:textId="77777777" w:rsidR="002F3376" w:rsidRDefault="002F3376" w:rsidP="00FF211F">
            <w:r>
              <w:t xml:space="preserve">      1Y-3M</w:t>
            </w:r>
          </w:p>
          <w:p w14:paraId="208B6D88" w14:textId="77777777" w:rsidR="002F3376" w:rsidRDefault="002F3376" w:rsidP="00FF211F">
            <w:r>
              <w:t xml:space="preserve">      1Y-6M</w:t>
            </w:r>
          </w:p>
          <w:p w14:paraId="1FF5ABF0" w14:textId="77777777" w:rsidR="002F3376" w:rsidRDefault="002F3376" w:rsidP="00FF211F">
            <w:r>
              <w:t xml:space="preserve">      1Y-1Y</w:t>
            </w:r>
          </w:p>
        </w:tc>
        <w:tc>
          <w:tcPr>
            <w:tcW w:w="2337" w:type="dxa"/>
          </w:tcPr>
          <w:p w14:paraId="2ED1CC23" w14:textId="77777777" w:rsidR="002F3376" w:rsidRDefault="002F3376" w:rsidP="00FF211F"/>
        </w:tc>
        <w:tc>
          <w:tcPr>
            <w:tcW w:w="2338" w:type="dxa"/>
          </w:tcPr>
          <w:p w14:paraId="41912C2A" w14:textId="77777777" w:rsidR="002F3376" w:rsidRDefault="002F3376" w:rsidP="00FF211F"/>
          <w:p w14:paraId="79580BBD" w14:textId="77777777" w:rsidR="002F3376" w:rsidRDefault="002F3376" w:rsidP="00FF211F">
            <w:r>
              <w:t>7.354 (1.866) ***</w:t>
            </w:r>
          </w:p>
          <w:p w14:paraId="41C7529D" w14:textId="77777777" w:rsidR="002F3376" w:rsidRDefault="002F3376" w:rsidP="00FF211F">
            <w:r>
              <w:t>5.255 (2.069) **</w:t>
            </w:r>
          </w:p>
          <w:p w14:paraId="16B91BBE" w14:textId="77777777" w:rsidR="002F3376" w:rsidRDefault="002F3376" w:rsidP="00FF211F">
            <w:r>
              <w:t>9.353 (1.881) ***</w:t>
            </w:r>
          </w:p>
          <w:p w14:paraId="5669FF2B" w14:textId="77777777" w:rsidR="002F3376" w:rsidRDefault="002F3376" w:rsidP="00FF211F">
            <w:r>
              <w:t>8.796 (1.824) ***</w:t>
            </w:r>
          </w:p>
          <w:p w14:paraId="3B6F08D6" w14:textId="77777777" w:rsidR="002F3376" w:rsidRDefault="002F3376" w:rsidP="00FF211F">
            <w:r>
              <w:t>6.908 (1.834) ***</w:t>
            </w:r>
          </w:p>
          <w:p w14:paraId="2DB2C905" w14:textId="77777777" w:rsidR="002F3376" w:rsidRDefault="002F3376" w:rsidP="00FF211F">
            <w:r>
              <w:t>4.905 (1.936) **</w:t>
            </w:r>
          </w:p>
          <w:p w14:paraId="3ED67F09" w14:textId="77777777" w:rsidR="002F3376" w:rsidRDefault="002F3376" w:rsidP="00FF211F">
            <w:r>
              <w:t>8.550 (1.824) ***</w:t>
            </w:r>
          </w:p>
          <w:p w14:paraId="45D45B47" w14:textId="77777777" w:rsidR="002F3376" w:rsidRDefault="002F3376" w:rsidP="00FF211F">
            <w:r>
              <w:t>9.560 (1.840) ***</w:t>
            </w:r>
          </w:p>
          <w:p w14:paraId="7EBE98EB" w14:textId="77777777" w:rsidR="002F3376" w:rsidRDefault="002F3376" w:rsidP="00FF211F">
            <w:r>
              <w:t>7.569 (2.575) ***</w:t>
            </w:r>
          </w:p>
          <w:p w14:paraId="70FD5F50" w14:textId="77777777" w:rsidR="002F3376" w:rsidRDefault="002F3376" w:rsidP="00FF211F">
            <w:r>
              <w:t>7.483 (1.949) ***</w:t>
            </w:r>
          </w:p>
          <w:p w14:paraId="433E684A" w14:textId="77777777" w:rsidR="002F3376" w:rsidRDefault="002F3376" w:rsidP="00FF211F">
            <w:r>
              <w:t>6.796 (1.880) ***</w:t>
            </w:r>
          </w:p>
          <w:p w14:paraId="4C33ABD5" w14:textId="77777777" w:rsidR="002F3376" w:rsidRDefault="002F3376" w:rsidP="00FF211F">
            <w:r>
              <w:t>7.567 (2.351) ***</w:t>
            </w:r>
          </w:p>
          <w:p w14:paraId="7553F91F" w14:textId="77777777" w:rsidR="002F3376" w:rsidRDefault="002F3376" w:rsidP="00FF211F">
            <w:r>
              <w:t>5.624 (3.171) *</w:t>
            </w:r>
          </w:p>
        </w:tc>
      </w:tr>
      <w:tr w:rsidR="002F3376" w14:paraId="2176888D" w14:textId="77777777" w:rsidTr="004B772F">
        <w:tc>
          <w:tcPr>
            <w:tcW w:w="3614" w:type="dxa"/>
          </w:tcPr>
          <w:p w14:paraId="70B57C69" w14:textId="77777777" w:rsidR="002F3376" w:rsidRDefault="002F3376" w:rsidP="00FF211F">
            <w:r>
              <w:t>Trade Time</w:t>
            </w:r>
            <w:r>
              <w:rPr>
                <w:rStyle w:val="FootnoteReference"/>
              </w:rPr>
              <w:footnoteReference w:id="3"/>
            </w:r>
          </w:p>
          <w:p w14:paraId="7D72B922" w14:textId="77777777" w:rsidR="002F3376" w:rsidRDefault="002F3376" w:rsidP="00FF211F">
            <w:r>
              <w:t xml:space="preserve">    After Hours (After 5:00 PM)</w:t>
            </w:r>
          </w:p>
          <w:p w14:paraId="35354A42" w14:textId="77777777" w:rsidR="002F3376" w:rsidRDefault="002F3376" w:rsidP="00FF211F">
            <w:r>
              <w:t xml:space="preserve">    Afternoon (2:00 PM – 4:59 PM)</w:t>
            </w:r>
          </w:p>
          <w:p w14:paraId="586E9806" w14:textId="77777777" w:rsidR="002F3376" w:rsidRDefault="002F3376" w:rsidP="00FF211F">
            <w:r>
              <w:t xml:space="preserve">    Morning (8:00 AM – 10:59 AM)</w:t>
            </w:r>
          </w:p>
          <w:p w14:paraId="25CAF40D" w14:textId="77777777" w:rsidR="002F3376" w:rsidRDefault="002F3376" w:rsidP="00FF211F">
            <w:r>
              <w:t xml:space="preserve">    </w:t>
            </w:r>
          </w:p>
        </w:tc>
        <w:tc>
          <w:tcPr>
            <w:tcW w:w="2337" w:type="dxa"/>
          </w:tcPr>
          <w:p w14:paraId="76015057" w14:textId="77777777" w:rsidR="002F3376" w:rsidRDefault="002F3376" w:rsidP="00FF211F"/>
        </w:tc>
        <w:tc>
          <w:tcPr>
            <w:tcW w:w="2338" w:type="dxa"/>
          </w:tcPr>
          <w:p w14:paraId="2B740D99" w14:textId="77777777" w:rsidR="002F3376" w:rsidRDefault="002F3376" w:rsidP="00FF211F"/>
          <w:p w14:paraId="1E3A60F4" w14:textId="77777777" w:rsidR="002F3376" w:rsidRDefault="002F3376" w:rsidP="00FF211F">
            <w:r>
              <w:t>0.274 (0.117) **</w:t>
            </w:r>
          </w:p>
          <w:p w14:paraId="40A63739" w14:textId="77777777" w:rsidR="002F3376" w:rsidRDefault="002F3376" w:rsidP="00FF211F">
            <w:r>
              <w:t>0.201 (0.135)</w:t>
            </w:r>
          </w:p>
          <w:p w14:paraId="43A16398" w14:textId="77777777" w:rsidR="002F3376" w:rsidRDefault="002F3376" w:rsidP="00FF211F">
            <w:r>
              <w:t>0.079 (0.115)</w:t>
            </w:r>
          </w:p>
        </w:tc>
      </w:tr>
      <w:tr w:rsidR="002F3376" w14:paraId="183450B7" w14:textId="77777777" w:rsidTr="004B772F">
        <w:tc>
          <w:tcPr>
            <w:tcW w:w="3614" w:type="dxa"/>
          </w:tcPr>
          <w:p w14:paraId="5B6143E4" w14:textId="77777777" w:rsidR="002F3376" w:rsidRDefault="002F3376" w:rsidP="00FF211F">
            <w:r>
              <w:t>Trade Day</w:t>
            </w:r>
            <w:r>
              <w:rPr>
                <w:rStyle w:val="FootnoteReference"/>
              </w:rPr>
              <w:footnoteReference w:id="4"/>
            </w:r>
          </w:p>
          <w:p w14:paraId="3D766449" w14:textId="77777777" w:rsidR="002F3376" w:rsidRDefault="002F3376" w:rsidP="00FF211F">
            <w:r>
              <w:t xml:space="preserve">    Fri</w:t>
            </w:r>
          </w:p>
          <w:p w14:paraId="01F211ED" w14:textId="77777777" w:rsidR="002F3376" w:rsidRDefault="002F3376" w:rsidP="00FF211F">
            <w:r>
              <w:t xml:space="preserve">    Mon</w:t>
            </w:r>
          </w:p>
          <w:p w14:paraId="3EA65690" w14:textId="77777777" w:rsidR="002F3376" w:rsidRDefault="002F3376" w:rsidP="00FF211F">
            <w:r>
              <w:t xml:space="preserve">    Wed</w:t>
            </w:r>
          </w:p>
          <w:p w14:paraId="0E53A544" w14:textId="77777777" w:rsidR="002F3376" w:rsidRDefault="002F3376" w:rsidP="00FF211F">
            <w:r>
              <w:t xml:space="preserve">    Tue</w:t>
            </w:r>
          </w:p>
          <w:p w14:paraId="39F7C8BE" w14:textId="77777777" w:rsidR="002F3376" w:rsidRDefault="002F3376" w:rsidP="00FF211F">
            <w:r>
              <w:t xml:space="preserve">    Wed</w:t>
            </w:r>
          </w:p>
        </w:tc>
        <w:tc>
          <w:tcPr>
            <w:tcW w:w="2337" w:type="dxa"/>
          </w:tcPr>
          <w:p w14:paraId="71DCECD9" w14:textId="77777777" w:rsidR="002F3376" w:rsidRDefault="002F3376" w:rsidP="00FF211F"/>
        </w:tc>
        <w:tc>
          <w:tcPr>
            <w:tcW w:w="2338" w:type="dxa"/>
          </w:tcPr>
          <w:p w14:paraId="43773A24" w14:textId="77777777" w:rsidR="002F3376" w:rsidRDefault="002F3376" w:rsidP="00FF211F"/>
          <w:p w14:paraId="4FFE53EA" w14:textId="77777777" w:rsidR="002F3376" w:rsidRDefault="002F3376" w:rsidP="00FF211F">
            <w:r>
              <w:t>1.741 (0.110) ***</w:t>
            </w:r>
          </w:p>
          <w:p w14:paraId="6AE613DE" w14:textId="77777777" w:rsidR="002F3376" w:rsidRDefault="002F3376" w:rsidP="00FF211F">
            <w:r>
              <w:t>0.855 (0.110) ***</w:t>
            </w:r>
          </w:p>
          <w:p w14:paraId="17952004" w14:textId="77777777" w:rsidR="002F3376" w:rsidRDefault="002F3376" w:rsidP="00FF211F">
            <w:r>
              <w:t>1.467 (0.102) ***</w:t>
            </w:r>
          </w:p>
          <w:p w14:paraId="4EF9F060" w14:textId="77777777" w:rsidR="002F3376" w:rsidRDefault="002F3376" w:rsidP="00FF211F">
            <w:r>
              <w:t>0.862 (0.104) ***</w:t>
            </w:r>
          </w:p>
          <w:p w14:paraId="6587722F" w14:textId="77777777" w:rsidR="002F3376" w:rsidRDefault="002F3376" w:rsidP="00FF211F">
            <w:proofErr w:type="spellStart"/>
            <w:r>
              <w:t>x.xxx</w:t>
            </w:r>
            <w:proofErr w:type="spellEnd"/>
            <w:r>
              <w:t xml:space="preserve"> (</w:t>
            </w:r>
            <w:proofErr w:type="spellStart"/>
            <w:r>
              <w:t>y.yyy</w:t>
            </w:r>
            <w:proofErr w:type="spellEnd"/>
            <w:r>
              <w:t>)</w:t>
            </w:r>
          </w:p>
        </w:tc>
      </w:tr>
      <w:tr w:rsidR="002F3376" w14:paraId="501D1298" w14:textId="77777777" w:rsidTr="004B772F">
        <w:tc>
          <w:tcPr>
            <w:tcW w:w="3614" w:type="dxa"/>
          </w:tcPr>
          <w:p w14:paraId="2A093594" w14:textId="77777777" w:rsidR="002F3376" w:rsidRDefault="002F3376" w:rsidP="00FF211F">
            <w:r>
              <w:lastRenderedPageBreak/>
              <w:t>Late Effective</w:t>
            </w:r>
            <w:r>
              <w:rPr>
                <w:rStyle w:val="FootnoteReference"/>
              </w:rPr>
              <w:footnoteReference w:id="5"/>
            </w:r>
          </w:p>
        </w:tc>
        <w:tc>
          <w:tcPr>
            <w:tcW w:w="2337" w:type="dxa"/>
          </w:tcPr>
          <w:p w14:paraId="3E5931FA" w14:textId="77777777" w:rsidR="002F3376" w:rsidRDefault="002F3376" w:rsidP="00FF211F"/>
        </w:tc>
        <w:tc>
          <w:tcPr>
            <w:tcW w:w="2338" w:type="dxa"/>
          </w:tcPr>
          <w:p w14:paraId="7EDF1B09" w14:textId="77777777" w:rsidR="002F3376" w:rsidRDefault="002F3376" w:rsidP="00FF211F">
            <w:r>
              <w:t>0.277 (0.088) ***</w:t>
            </w:r>
          </w:p>
        </w:tc>
      </w:tr>
      <w:tr w:rsidR="002F3376" w14:paraId="5AE1B0F0" w14:textId="77777777" w:rsidTr="004B772F">
        <w:tc>
          <w:tcPr>
            <w:tcW w:w="3614" w:type="dxa"/>
          </w:tcPr>
          <w:p w14:paraId="065F2179" w14:textId="77777777" w:rsidR="002F3376" w:rsidRDefault="002F3376" w:rsidP="00FF211F">
            <w:r>
              <w:t>Constant</w:t>
            </w:r>
          </w:p>
        </w:tc>
        <w:tc>
          <w:tcPr>
            <w:tcW w:w="2337" w:type="dxa"/>
          </w:tcPr>
          <w:p w14:paraId="0A93C0AE" w14:textId="77777777" w:rsidR="002F3376" w:rsidRDefault="002F3376" w:rsidP="00FF211F"/>
        </w:tc>
        <w:tc>
          <w:tcPr>
            <w:tcW w:w="2338" w:type="dxa"/>
          </w:tcPr>
          <w:p w14:paraId="61537CA5" w14:textId="77777777" w:rsidR="002F3376" w:rsidRDefault="002F3376" w:rsidP="00FF211F">
            <w:r>
              <w:t>-9.399 (1.960) ***</w:t>
            </w:r>
          </w:p>
        </w:tc>
      </w:tr>
    </w:tbl>
    <w:p w14:paraId="548CD934" w14:textId="77777777" w:rsidR="00A96B98" w:rsidRDefault="00A96B98" w:rsidP="00170083">
      <w:pPr>
        <w:spacing w:line="480" w:lineRule="auto"/>
      </w:pPr>
    </w:p>
    <w:p w14:paraId="46EB96B1" w14:textId="14F41234" w:rsidR="00A96B98" w:rsidRPr="00A96B98" w:rsidRDefault="00A96B98" w:rsidP="00170083">
      <w:pPr>
        <w:pStyle w:val="Heading1"/>
        <w:spacing w:line="480" w:lineRule="auto"/>
      </w:pPr>
      <w:r>
        <w:t>Conclusion</w:t>
      </w:r>
    </w:p>
    <w:sectPr w:rsidR="00A96B98" w:rsidRPr="00A96B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C2716" w14:textId="77777777" w:rsidR="001F4D2E" w:rsidRDefault="001F4D2E" w:rsidP="00633D5C">
      <w:r>
        <w:separator/>
      </w:r>
    </w:p>
  </w:endnote>
  <w:endnote w:type="continuationSeparator" w:id="0">
    <w:p w14:paraId="6777148D" w14:textId="77777777" w:rsidR="001F4D2E" w:rsidRDefault="001F4D2E" w:rsidP="00633D5C">
      <w:r>
        <w:continuationSeparator/>
      </w:r>
    </w:p>
  </w:endnote>
  <w:endnote w:type="continuationNotice" w:id="1">
    <w:p w14:paraId="152E0C01" w14:textId="77777777" w:rsidR="001F4D2E" w:rsidRDefault="001F4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BD6AC" w14:textId="77777777" w:rsidR="001F4D2E" w:rsidRDefault="001F4D2E" w:rsidP="00633D5C">
      <w:r>
        <w:separator/>
      </w:r>
    </w:p>
  </w:footnote>
  <w:footnote w:type="continuationSeparator" w:id="0">
    <w:p w14:paraId="000A7E89" w14:textId="77777777" w:rsidR="001F4D2E" w:rsidRDefault="001F4D2E" w:rsidP="00633D5C">
      <w:r>
        <w:continuationSeparator/>
      </w:r>
    </w:p>
  </w:footnote>
  <w:footnote w:type="continuationNotice" w:id="1">
    <w:p w14:paraId="2AE64553" w14:textId="77777777" w:rsidR="001F4D2E" w:rsidRDefault="001F4D2E"/>
  </w:footnote>
  <w:footnote w:id="2">
    <w:p w14:paraId="1F4DCFB7" w14:textId="77777777" w:rsidR="002F3376" w:rsidRDefault="002F3376" w:rsidP="002F3376">
      <w:pPr>
        <w:pStyle w:val="FootnoteText"/>
      </w:pPr>
      <w:r>
        <w:rPr>
          <w:rStyle w:val="FootnoteReference"/>
        </w:rPr>
        <w:footnoteRef/>
      </w:r>
      <w:r>
        <w:t xml:space="preserve"> Base level is 3M – 6M, where the first number indicates payment frequency of the fixed leg, and the second number indicates the payment frequency of the floating leg</w:t>
      </w:r>
    </w:p>
  </w:footnote>
  <w:footnote w:id="3">
    <w:p w14:paraId="072661DF" w14:textId="77777777" w:rsidR="002F3376" w:rsidRDefault="002F3376" w:rsidP="002F3376">
      <w:pPr>
        <w:pStyle w:val="FootnoteText"/>
      </w:pPr>
      <w:r>
        <w:rPr>
          <w:rStyle w:val="FootnoteReference"/>
        </w:rPr>
        <w:footnoteRef/>
      </w:r>
      <w:r>
        <w:t xml:space="preserve"> Base level is Mid-Day (11:00 AM – 1:59 PM).  All times Eastern.</w:t>
      </w:r>
    </w:p>
  </w:footnote>
  <w:footnote w:id="4">
    <w:p w14:paraId="668558F0" w14:textId="77777777" w:rsidR="002F3376" w:rsidRDefault="002F3376" w:rsidP="002F3376">
      <w:pPr>
        <w:pStyle w:val="FootnoteText"/>
      </w:pPr>
      <w:r>
        <w:rPr>
          <w:rStyle w:val="FootnoteReference"/>
        </w:rPr>
        <w:footnoteRef/>
      </w:r>
      <w:r>
        <w:t xml:space="preserve"> Base level is Thursday</w:t>
      </w:r>
    </w:p>
  </w:footnote>
  <w:footnote w:id="5">
    <w:p w14:paraId="24B1E07B" w14:textId="77777777" w:rsidR="002F3376" w:rsidRDefault="002F3376" w:rsidP="002F3376">
      <w:pPr>
        <w:pStyle w:val="FootnoteText"/>
      </w:pPr>
      <w:r>
        <w:rPr>
          <w:rStyle w:val="FootnoteReference"/>
        </w:rPr>
        <w:footnoteRef/>
      </w:r>
      <w:r>
        <w:t xml:space="preserve"> If the effective date of the contract is more than 30 days after the trade date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3814"/>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257530">
    <w:abstractNumId w:val="1"/>
  </w:num>
  <w:num w:numId="2" w16cid:durableId="707800307">
    <w:abstractNumId w:val="3"/>
  </w:num>
  <w:num w:numId="3" w16cid:durableId="1322077080">
    <w:abstractNumId w:val="8"/>
  </w:num>
  <w:num w:numId="4" w16cid:durableId="1060834225">
    <w:abstractNumId w:val="2"/>
  </w:num>
  <w:num w:numId="5" w16cid:durableId="1677343865">
    <w:abstractNumId w:val="5"/>
  </w:num>
  <w:num w:numId="6" w16cid:durableId="2085032138">
    <w:abstractNumId w:val="7"/>
  </w:num>
  <w:num w:numId="7" w16cid:durableId="1248348664">
    <w:abstractNumId w:val="0"/>
  </w:num>
  <w:num w:numId="8" w16cid:durableId="2079209417">
    <w:abstractNumId w:val="6"/>
  </w:num>
  <w:num w:numId="9" w16cid:durableId="1911109467">
    <w:abstractNumId w:val="9"/>
  </w:num>
  <w:num w:numId="10" w16cid:durableId="832453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12529"/>
    <w:rsid w:val="00016AE6"/>
    <w:rsid w:val="000212F8"/>
    <w:rsid w:val="00022852"/>
    <w:rsid w:val="00025AA4"/>
    <w:rsid w:val="00033177"/>
    <w:rsid w:val="00034DC8"/>
    <w:rsid w:val="00035E4A"/>
    <w:rsid w:val="00044125"/>
    <w:rsid w:val="000510E8"/>
    <w:rsid w:val="00053C4A"/>
    <w:rsid w:val="000614F4"/>
    <w:rsid w:val="000712B2"/>
    <w:rsid w:val="00077879"/>
    <w:rsid w:val="0008027D"/>
    <w:rsid w:val="0008096F"/>
    <w:rsid w:val="000816B7"/>
    <w:rsid w:val="000939CA"/>
    <w:rsid w:val="00096D58"/>
    <w:rsid w:val="000A41CF"/>
    <w:rsid w:val="000A5607"/>
    <w:rsid w:val="000A7150"/>
    <w:rsid w:val="000B5142"/>
    <w:rsid w:val="000B7B5D"/>
    <w:rsid w:val="000C07B7"/>
    <w:rsid w:val="000C5086"/>
    <w:rsid w:val="000C584E"/>
    <w:rsid w:val="000D7CEC"/>
    <w:rsid w:val="000E2133"/>
    <w:rsid w:val="000E6933"/>
    <w:rsid w:val="000F0F21"/>
    <w:rsid w:val="001124E1"/>
    <w:rsid w:val="0012752B"/>
    <w:rsid w:val="001317B0"/>
    <w:rsid w:val="00131FCD"/>
    <w:rsid w:val="00147694"/>
    <w:rsid w:val="00161437"/>
    <w:rsid w:val="0016169B"/>
    <w:rsid w:val="00164132"/>
    <w:rsid w:val="001655FC"/>
    <w:rsid w:val="00166D41"/>
    <w:rsid w:val="00170083"/>
    <w:rsid w:val="00184052"/>
    <w:rsid w:val="00191190"/>
    <w:rsid w:val="00194EB9"/>
    <w:rsid w:val="001A25AE"/>
    <w:rsid w:val="001C1D1C"/>
    <w:rsid w:val="001C24F9"/>
    <w:rsid w:val="001C74A9"/>
    <w:rsid w:val="001D3062"/>
    <w:rsid w:val="001D57E1"/>
    <w:rsid w:val="001F4D2E"/>
    <w:rsid w:val="001F7299"/>
    <w:rsid w:val="00200D6D"/>
    <w:rsid w:val="002112FE"/>
    <w:rsid w:val="00232831"/>
    <w:rsid w:val="00233C90"/>
    <w:rsid w:val="002343F4"/>
    <w:rsid w:val="00246F90"/>
    <w:rsid w:val="0025043C"/>
    <w:rsid w:val="002718B1"/>
    <w:rsid w:val="00284488"/>
    <w:rsid w:val="00290667"/>
    <w:rsid w:val="00290E18"/>
    <w:rsid w:val="00293578"/>
    <w:rsid w:val="002938B2"/>
    <w:rsid w:val="002B63F1"/>
    <w:rsid w:val="002C726E"/>
    <w:rsid w:val="002D4411"/>
    <w:rsid w:val="002D4CD7"/>
    <w:rsid w:val="002E0CE1"/>
    <w:rsid w:val="002F3376"/>
    <w:rsid w:val="00301A1C"/>
    <w:rsid w:val="00305FCA"/>
    <w:rsid w:val="0031486E"/>
    <w:rsid w:val="00320206"/>
    <w:rsid w:val="003314C1"/>
    <w:rsid w:val="00343A08"/>
    <w:rsid w:val="003520EC"/>
    <w:rsid w:val="00357E12"/>
    <w:rsid w:val="00362ED7"/>
    <w:rsid w:val="00377D40"/>
    <w:rsid w:val="00380D21"/>
    <w:rsid w:val="0039332A"/>
    <w:rsid w:val="003936A2"/>
    <w:rsid w:val="0039392E"/>
    <w:rsid w:val="0039580A"/>
    <w:rsid w:val="003C3888"/>
    <w:rsid w:val="003E203E"/>
    <w:rsid w:val="003F0654"/>
    <w:rsid w:val="003F1AD8"/>
    <w:rsid w:val="003F2A46"/>
    <w:rsid w:val="003F3D33"/>
    <w:rsid w:val="003F7B5B"/>
    <w:rsid w:val="00404DC7"/>
    <w:rsid w:val="0040630A"/>
    <w:rsid w:val="00434FFE"/>
    <w:rsid w:val="00440DF6"/>
    <w:rsid w:val="00441C17"/>
    <w:rsid w:val="00446E24"/>
    <w:rsid w:val="004521B3"/>
    <w:rsid w:val="00455F39"/>
    <w:rsid w:val="004567C0"/>
    <w:rsid w:val="00456AFB"/>
    <w:rsid w:val="00475EE6"/>
    <w:rsid w:val="00482903"/>
    <w:rsid w:val="00487EF1"/>
    <w:rsid w:val="004D2D2D"/>
    <w:rsid w:val="004D458D"/>
    <w:rsid w:val="004F0BE2"/>
    <w:rsid w:val="00502B0A"/>
    <w:rsid w:val="00525BB3"/>
    <w:rsid w:val="005356E2"/>
    <w:rsid w:val="00550DA4"/>
    <w:rsid w:val="00552C5E"/>
    <w:rsid w:val="005534B7"/>
    <w:rsid w:val="005651C7"/>
    <w:rsid w:val="00577089"/>
    <w:rsid w:val="0057724B"/>
    <w:rsid w:val="005812DC"/>
    <w:rsid w:val="00581A36"/>
    <w:rsid w:val="00586A9D"/>
    <w:rsid w:val="00593184"/>
    <w:rsid w:val="005A0C96"/>
    <w:rsid w:val="005A6ADC"/>
    <w:rsid w:val="005A7D26"/>
    <w:rsid w:val="005F14CA"/>
    <w:rsid w:val="005F327C"/>
    <w:rsid w:val="005F6B4A"/>
    <w:rsid w:val="0060706F"/>
    <w:rsid w:val="00607456"/>
    <w:rsid w:val="00622956"/>
    <w:rsid w:val="00625ECF"/>
    <w:rsid w:val="00627579"/>
    <w:rsid w:val="00633D5C"/>
    <w:rsid w:val="0063560A"/>
    <w:rsid w:val="0063608A"/>
    <w:rsid w:val="00644114"/>
    <w:rsid w:val="006450BA"/>
    <w:rsid w:val="006722D1"/>
    <w:rsid w:val="006875A1"/>
    <w:rsid w:val="0069541B"/>
    <w:rsid w:val="006A345A"/>
    <w:rsid w:val="006B6124"/>
    <w:rsid w:val="006C0D52"/>
    <w:rsid w:val="006C395A"/>
    <w:rsid w:val="006E06F9"/>
    <w:rsid w:val="006E44BE"/>
    <w:rsid w:val="006F1F0C"/>
    <w:rsid w:val="0070689F"/>
    <w:rsid w:val="00715923"/>
    <w:rsid w:val="0072700E"/>
    <w:rsid w:val="00747315"/>
    <w:rsid w:val="007475B0"/>
    <w:rsid w:val="0075597E"/>
    <w:rsid w:val="00755BED"/>
    <w:rsid w:val="0076305C"/>
    <w:rsid w:val="00781C1A"/>
    <w:rsid w:val="007A0DBE"/>
    <w:rsid w:val="007A4E27"/>
    <w:rsid w:val="007C0619"/>
    <w:rsid w:val="007C099B"/>
    <w:rsid w:val="007D359F"/>
    <w:rsid w:val="007E1203"/>
    <w:rsid w:val="007E2F87"/>
    <w:rsid w:val="007E3CB7"/>
    <w:rsid w:val="007E6044"/>
    <w:rsid w:val="007F6DDE"/>
    <w:rsid w:val="00804046"/>
    <w:rsid w:val="008057C4"/>
    <w:rsid w:val="00810636"/>
    <w:rsid w:val="008138CB"/>
    <w:rsid w:val="00821AC5"/>
    <w:rsid w:val="00836236"/>
    <w:rsid w:val="0086025D"/>
    <w:rsid w:val="00864A3C"/>
    <w:rsid w:val="0086750E"/>
    <w:rsid w:val="00877DDF"/>
    <w:rsid w:val="0088504F"/>
    <w:rsid w:val="0089167A"/>
    <w:rsid w:val="0089422D"/>
    <w:rsid w:val="00896370"/>
    <w:rsid w:val="00896FE8"/>
    <w:rsid w:val="008A0C37"/>
    <w:rsid w:val="008A0DFD"/>
    <w:rsid w:val="008A5DF5"/>
    <w:rsid w:val="008A6B76"/>
    <w:rsid w:val="008A79F1"/>
    <w:rsid w:val="008C2ACA"/>
    <w:rsid w:val="008C32AF"/>
    <w:rsid w:val="008C6CD4"/>
    <w:rsid w:val="008E3043"/>
    <w:rsid w:val="00905428"/>
    <w:rsid w:val="00914E91"/>
    <w:rsid w:val="00935E65"/>
    <w:rsid w:val="00936FB0"/>
    <w:rsid w:val="00941B60"/>
    <w:rsid w:val="00956D41"/>
    <w:rsid w:val="00962018"/>
    <w:rsid w:val="00974463"/>
    <w:rsid w:val="00981EFF"/>
    <w:rsid w:val="00991610"/>
    <w:rsid w:val="009A69FA"/>
    <w:rsid w:val="009A7D6A"/>
    <w:rsid w:val="009B3B11"/>
    <w:rsid w:val="009C4761"/>
    <w:rsid w:val="009C7A56"/>
    <w:rsid w:val="009F7D7F"/>
    <w:rsid w:val="00A21F7B"/>
    <w:rsid w:val="00A271B6"/>
    <w:rsid w:val="00A41FF7"/>
    <w:rsid w:val="00A4495A"/>
    <w:rsid w:val="00A53B21"/>
    <w:rsid w:val="00A73855"/>
    <w:rsid w:val="00A8236C"/>
    <w:rsid w:val="00A930AB"/>
    <w:rsid w:val="00A96B98"/>
    <w:rsid w:val="00AA4B78"/>
    <w:rsid w:val="00AA717C"/>
    <w:rsid w:val="00AB38FA"/>
    <w:rsid w:val="00AE15AA"/>
    <w:rsid w:val="00AE5664"/>
    <w:rsid w:val="00AE5AFF"/>
    <w:rsid w:val="00AF1FA3"/>
    <w:rsid w:val="00B0289A"/>
    <w:rsid w:val="00B1262B"/>
    <w:rsid w:val="00B13BAB"/>
    <w:rsid w:val="00B44C24"/>
    <w:rsid w:val="00B54FB7"/>
    <w:rsid w:val="00B83199"/>
    <w:rsid w:val="00B92576"/>
    <w:rsid w:val="00B92B7B"/>
    <w:rsid w:val="00B9520A"/>
    <w:rsid w:val="00BA0B5F"/>
    <w:rsid w:val="00BA0BB3"/>
    <w:rsid w:val="00BB0ACE"/>
    <w:rsid w:val="00BB66F3"/>
    <w:rsid w:val="00BC008A"/>
    <w:rsid w:val="00BC5B75"/>
    <w:rsid w:val="00BD12A4"/>
    <w:rsid w:val="00BD52BB"/>
    <w:rsid w:val="00BF5982"/>
    <w:rsid w:val="00BF6365"/>
    <w:rsid w:val="00C06844"/>
    <w:rsid w:val="00C106ED"/>
    <w:rsid w:val="00C16C25"/>
    <w:rsid w:val="00C2255E"/>
    <w:rsid w:val="00C363CC"/>
    <w:rsid w:val="00C45CCE"/>
    <w:rsid w:val="00C527DB"/>
    <w:rsid w:val="00C57E03"/>
    <w:rsid w:val="00C63A02"/>
    <w:rsid w:val="00C651D2"/>
    <w:rsid w:val="00C758C6"/>
    <w:rsid w:val="00C87249"/>
    <w:rsid w:val="00CA40C2"/>
    <w:rsid w:val="00CB305A"/>
    <w:rsid w:val="00CC29A8"/>
    <w:rsid w:val="00CC31E9"/>
    <w:rsid w:val="00CC46F2"/>
    <w:rsid w:val="00CC69F0"/>
    <w:rsid w:val="00CD1B3E"/>
    <w:rsid w:val="00CD5006"/>
    <w:rsid w:val="00CE10FD"/>
    <w:rsid w:val="00D14F43"/>
    <w:rsid w:val="00D34404"/>
    <w:rsid w:val="00D41237"/>
    <w:rsid w:val="00D5154E"/>
    <w:rsid w:val="00D52B48"/>
    <w:rsid w:val="00D643C8"/>
    <w:rsid w:val="00D645CF"/>
    <w:rsid w:val="00D9234D"/>
    <w:rsid w:val="00DC42EB"/>
    <w:rsid w:val="00DC7AD2"/>
    <w:rsid w:val="00DE43A2"/>
    <w:rsid w:val="00DE6F94"/>
    <w:rsid w:val="00DE705F"/>
    <w:rsid w:val="00DF6C13"/>
    <w:rsid w:val="00DF7A69"/>
    <w:rsid w:val="00E02555"/>
    <w:rsid w:val="00E460D7"/>
    <w:rsid w:val="00E52B02"/>
    <w:rsid w:val="00E5597A"/>
    <w:rsid w:val="00E670C0"/>
    <w:rsid w:val="00E819EF"/>
    <w:rsid w:val="00E95A6F"/>
    <w:rsid w:val="00EB004A"/>
    <w:rsid w:val="00EB1407"/>
    <w:rsid w:val="00EB53A2"/>
    <w:rsid w:val="00EB5A7B"/>
    <w:rsid w:val="00EB7DDA"/>
    <w:rsid w:val="00EC01D7"/>
    <w:rsid w:val="00EC5C21"/>
    <w:rsid w:val="00ED4D27"/>
    <w:rsid w:val="00EF140B"/>
    <w:rsid w:val="00EF6757"/>
    <w:rsid w:val="00F040B1"/>
    <w:rsid w:val="00F15E32"/>
    <w:rsid w:val="00F57F30"/>
    <w:rsid w:val="00F6394F"/>
    <w:rsid w:val="00F71C54"/>
    <w:rsid w:val="00F872C2"/>
    <w:rsid w:val="00FB04CE"/>
    <w:rsid w:val="00FD62E9"/>
    <w:rsid w:val="00FF05D9"/>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17C"/>
    <w:rPr>
      <w:sz w:val="24"/>
      <w:szCs w:val="24"/>
    </w:rPr>
  </w:style>
  <w:style w:type="paragraph" w:styleId="Heading1">
    <w:name w:val="heading 1"/>
    <w:basedOn w:val="Normal"/>
    <w:next w:val="Normal"/>
    <w:link w:val="Heading1Char"/>
    <w:uiPriority w:val="9"/>
    <w:qFormat/>
    <w:rsid w:val="00AA717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A717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A717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A717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A717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spacing w:before="240" w:after="60"/>
      <w:outlineLvl w:val="6"/>
    </w:pPr>
  </w:style>
  <w:style w:type="paragraph" w:styleId="Heading8">
    <w:name w:val="heading 8"/>
    <w:basedOn w:val="Normal"/>
    <w:next w:val="Normal"/>
    <w:link w:val="Heading8Char"/>
    <w:uiPriority w:val="9"/>
    <w:semiHidden/>
    <w:unhideWhenUsed/>
    <w:qFormat/>
    <w:rsid w:val="00AA717C"/>
    <w:pPr>
      <w:spacing w:before="240" w:after="60"/>
      <w:outlineLvl w:val="7"/>
    </w:pPr>
    <w:rPr>
      <w:i/>
      <w:iCs/>
    </w:rPr>
  </w:style>
  <w:style w:type="paragraph" w:styleId="Heading9">
    <w:name w:val="heading 9"/>
    <w:basedOn w:val="Normal"/>
    <w:next w:val="Normal"/>
    <w:link w:val="Heading9Char"/>
    <w:uiPriority w:val="9"/>
    <w:semiHidden/>
    <w:unhideWhenUsed/>
    <w:qFormat/>
    <w:rsid w:val="00AA717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17C"/>
    <w:rPr>
      <w:rFonts w:asciiTheme="majorHAnsi" w:eastAsiaTheme="majorEastAsia" w:hAnsiTheme="majorHAnsi" w:cstheme="majorBidi"/>
      <w:b/>
      <w:bCs/>
      <w:i/>
      <w:iCs/>
      <w:sz w:val="28"/>
      <w:szCs w:val="28"/>
    </w:rPr>
  </w:style>
  <w:style w:type="paragraph" w:styleId="Title">
    <w:name w:val="Title"/>
    <w:basedOn w:val="Normal"/>
    <w:next w:val="Normal"/>
    <w:link w:val="TitleChar"/>
    <w:uiPriority w:val="10"/>
    <w:qFormat/>
    <w:rsid w:val="00AA717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A717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uiPriority w:val="9"/>
    <w:rsid w:val="00AA717C"/>
    <w:rPr>
      <w:rFonts w:asciiTheme="majorHAnsi" w:eastAsiaTheme="majorEastAsia" w:hAnsiTheme="majorHAnsi"/>
      <w:b/>
      <w:bCs/>
      <w:kern w:val="32"/>
      <w:sz w:val="32"/>
      <w:szCs w:val="32"/>
    </w:rPr>
  </w:style>
  <w:style w:type="character" w:customStyle="1" w:styleId="Heading3Char">
    <w:name w:val="Heading 3 Char"/>
    <w:basedOn w:val="DefaultParagraphFont"/>
    <w:link w:val="Heading3"/>
    <w:uiPriority w:val="9"/>
    <w:rsid w:val="00AA717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A717C"/>
    <w:rPr>
      <w:b/>
      <w:bCs/>
      <w:sz w:val="28"/>
      <w:szCs w:val="28"/>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uiPriority w:val="99"/>
    <w:semiHidden/>
    <w:unhideWhenUsed/>
    <w:rsid w:val="0057724B"/>
    <w:rPr>
      <w:sz w:val="20"/>
      <w:szCs w:val="25"/>
    </w:rPr>
  </w:style>
  <w:style w:type="character" w:customStyle="1" w:styleId="FootnoteTextChar">
    <w:name w:val="Footnote Text Char"/>
    <w:basedOn w:val="DefaultParagraphFont"/>
    <w:link w:val="FootnoteText"/>
    <w:uiPriority w:val="99"/>
    <w:semiHidden/>
    <w:rsid w:val="0057724B"/>
    <w:rPr>
      <w:sz w:val="20"/>
      <w:szCs w:val="25"/>
    </w:rPr>
  </w:style>
  <w:style w:type="character" w:styleId="FootnoteReference">
    <w:name w:val="footnote reference"/>
    <w:basedOn w:val="DefaultParagraphFont"/>
    <w:uiPriority w:val="99"/>
    <w:semiHidden/>
    <w:unhideWhenUsed/>
    <w:rsid w:val="0057724B"/>
    <w:rPr>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9839</TotalTime>
  <Pages>14</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285</cp:revision>
  <dcterms:created xsi:type="dcterms:W3CDTF">2022-04-15T15:52:00Z</dcterms:created>
  <dcterms:modified xsi:type="dcterms:W3CDTF">2023-04-20T19:38:00Z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id="EZ2nyO5c"/&gt;&lt;style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