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031822">
      <w:pPr>
        <w:pStyle w:val="Heading1"/>
      </w:pPr>
      <w:r>
        <w:t>Introduction</w:t>
      </w:r>
    </w:p>
    <w:p w14:paraId="797D49B7" w14:textId="267AC8D6"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A8BF9B"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 xml:space="preserve">market using event studies, which cannot isolate causal impacts due to potential confounding factors. This study addresses this gap 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identifies the causal impact of the regulation on pricing, </w:t>
      </w:r>
      <w:r w:rsidR="00A81AE5">
        <w:t xml:space="preserve">liquidity and </w:t>
      </w:r>
      <w:r w:rsidRPr="000A41CF">
        <w:t>price volatility in the IR swaps market.</w:t>
      </w:r>
    </w:p>
    <w:p w14:paraId="76BA511D" w14:textId="74EA917B" w:rsidR="005F6B4A" w:rsidRDefault="006875A1" w:rsidP="00031822">
      <w:r w:rsidRPr="006875A1">
        <w:t xml:space="preserve">The paper is organized as follows: Section </w:t>
      </w:r>
      <w:r w:rsidR="004776E9">
        <w:t>2</w:t>
      </w:r>
      <w:r w:rsidRPr="006875A1">
        <w:t xml:space="preserve"> provides background on the IR swaps market, the financial crisis, and the clearing mandate's role in post-crisis market reforms</w:t>
      </w:r>
      <w:r w:rsidR="004776E9">
        <w:t>; s</w:t>
      </w:r>
      <w:r w:rsidRPr="006875A1">
        <w:t xml:space="preserve">ection </w:t>
      </w:r>
      <w:r w:rsidR="004776E9">
        <w:t>3</w:t>
      </w:r>
      <w:r w:rsidRPr="006875A1">
        <w:t xml:space="preserve"> explains central</w:t>
      </w:r>
      <w:r>
        <w:t xml:space="preserve"> </w:t>
      </w:r>
      <w:r w:rsidR="008138CB">
        <w:t xml:space="preserve">clearing </w:t>
      </w:r>
      <w:r w:rsidR="00A930AB">
        <w:t xml:space="preserve">and discusses plausible </w:t>
      </w:r>
      <w:r w:rsidR="00DE705F">
        <w:t>impact of clearing on the market</w:t>
      </w:r>
      <w:r w:rsidR="004776E9">
        <w:t>; s</w:t>
      </w:r>
      <w:r w:rsidR="00DE705F">
        <w:t xml:space="preserve">ection </w:t>
      </w:r>
      <w:r w:rsidR="004776E9">
        <w:t>4</w:t>
      </w:r>
      <w:r w:rsidR="00DE705F">
        <w:t xml:space="preserve"> </w:t>
      </w:r>
      <w:r w:rsidR="00077879">
        <w:t xml:space="preserve">develops the theory of prices, price volatility and market size </w:t>
      </w:r>
      <w:r w:rsidR="00194EB9">
        <w:t>under a clearing mandate</w:t>
      </w:r>
      <w:r w:rsidR="004776E9">
        <w:t>; s</w:t>
      </w:r>
      <w:r w:rsidR="00194EB9">
        <w:t xml:space="preserve">ection </w:t>
      </w:r>
      <w:r w:rsidR="004776E9">
        <w:t>5</w:t>
      </w:r>
      <w:r w:rsidR="00194EB9">
        <w:t xml:space="preserve"> discusses </w:t>
      </w:r>
      <w:r w:rsidR="00974463">
        <w:t>the identification strategy</w:t>
      </w:r>
      <w:r w:rsidR="00BA0BB3">
        <w:t xml:space="preserve"> (including developing a </w:t>
      </w:r>
      <w:r w:rsidR="00C87249">
        <w:t>novel info-metrics difference-in-differences estimator)</w:t>
      </w:r>
      <w:r w:rsidR="004776E9">
        <w:t>; s</w:t>
      </w:r>
      <w:r w:rsidR="00C87249">
        <w:t xml:space="preserve">ection </w:t>
      </w:r>
      <w:r w:rsidR="004776E9">
        <w:t>6</w:t>
      </w:r>
      <w:r w:rsidR="00C87249">
        <w:t xml:space="preserve"> details </w:t>
      </w:r>
      <w:r w:rsidR="00191190">
        <w:t>our data</w:t>
      </w:r>
      <w:r w:rsidR="004776E9">
        <w:t>; s</w:t>
      </w:r>
      <w:r w:rsidR="00191190">
        <w:t xml:space="preserve">ection </w:t>
      </w:r>
      <w:r w:rsidR="004776E9">
        <w:t>7</w:t>
      </w:r>
      <w:r w:rsidR="00191190">
        <w:t xml:space="preserve"> discusses the results and section </w:t>
      </w:r>
      <w:r w:rsidR="004776E9">
        <w:t>8</w:t>
      </w:r>
      <w:r w:rsidR="00191190">
        <w:t xml:space="preserve"> concludes.</w:t>
      </w:r>
    </w:p>
    <w:p w14:paraId="1DDCD928" w14:textId="399647D6" w:rsidR="0012752B" w:rsidRDefault="0012752B" w:rsidP="00031822">
      <w:pPr>
        <w:pStyle w:val="Heading1"/>
        <w:numPr>
          <w:ilvl w:val="0"/>
          <w:numId w:val="1"/>
        </w:numPr>
      </w:pPr>
      <w:r>
        <w:lastRenderedPageBreak/>
        <w:t>Background</w:t>
      </w:r>
    </w:p>
    <w:p w14:paraId="48EFF618" w14:textId="10335675" w:rsidR="0012752B" w:rsidRDefault="00981EFF" w:rsidP="00031822">
      <w:pPr>
        <w:pStyle w:val="Heading2"/>
      </w:pPr>
      <w:r>
        <w:t>Interest Rate Swaps</w:t>
      </w:r>
    </w:p>
    <w:p w14:paraId="351EFEAC" w14:textId="7EEC555C"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the LIBOR rate 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 xml:space="preserve">floating-rate.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3A018C43" w14:textId="091CFD73" w:rsidR="00981EFF" w:rsidRDefault="00161437" w:rsidP="00031822">
      <w:r w:rsidRPr="00161437">
        <w:t>IR swaps are usually bespoke contracts, customizable to individual needs. As the largest over-the-counter swaps market, it accounted for $500 trillion of the $650 trillion global OTC swaps market in 2010 (BIS, 2011). Contracts are available in multiple currencies, with specific market conventions for each.</w:t>
      </w:r>
    </w:p>
    <w:p w14:paraId="16126F61" w14:textId="50DECA2D" w:rsidR="007E1203" w:rsidRDefault="007E6044" w:rsidP="00031822">
      <w:r w:rsidRPr="007E6044">
        <w:t xml:space="preserve">The IR swaps market is dealer-dominated, with dealer-customer and dealer-dealer trades accounting for 80% of notional value. Very few transactions occur bilaterally between customers. </w:t>
      </w:r>
      <w:proofErr w:type="spellStart"/>
      <w:r w:rsidRPr="007E6044">
        <w:t>Bolandnazar</w:t>
      </w:r>
      <w:proofErr w:type="spellEnd"/>
      <w:r w:rsidRPr="007E6044">
        <w:t xml:space="preserve"> (2020) found that 50% of trades (by notional value) are executed by the largest seven dealers, indicating market concentration among a few dealers. This concentration can impact pricing due to the market power of large dealers and affect market stability, as the failure of a large dealer or its counterparties can easily propagate through the system.</w:t>
      </w:r>
    </w:p>
    <w:p w14:paraId="4CDB6FA5" w14:textId="1A2BA8EC" w:rsidR="00DC42EB" w:rsidRDefault="00DC42EB" w:rsidP="00031822">
      <w:pPr>
        <w:pStyle w:val="Heading2"/>
      </w:pPr>
      <w:r>
        <w:lastRenderedPageBreak/>
        <w:t>Central Clearing</w:t>
      </w:r>
    </w:p>
    <w:p w14:paraId="0F4926E4" w14:textId="43084735" w:rsidR="0057724B" w:rsidRDefault="00377D40" w:rsidP="00031822">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Pr="00377D40">
        <w:t>Clearinghouses</w:t>
      </w:r>
      <w:r w:rsidR="007475B0">
        <w:t xml:space="preserve"> are</w:t>
      </w:r>
      <w:r w:rsidRPr="00377D40">
        <w:t xml:space="preserve"> large financial institutions </w:t>
      </w:r>
      <w:r w:rsidR="00C106ED">
        <w:t>that</w:t>
      </w:r>
      <w:r w:rsidR="007475B0">
        <w:t xml:space="preserve"> are supposed to exercise </w:t>
      </w:r>
      <w:r w:rsidRPr="00377D40">
        <w:t>prudent risk control measures</w:t>
      </w:r>
      <w:r w:rsidR="001C74A9">
        <w:t>,</w:t>
      </w:r>
      <w:r w:rsidR="007475B0">
        <w:t xml:space="preserve"> </w:t>
      </w:r>
      <w:r w:rsidR="00C106ED">
        <w:t xml:space="preserve">thereby </w:t>
      </w:r>
      <w:r w:rsidR="001C74A9">
        <w:t>lowering</w:t>
      </w:r>
      <w:r w:rsidR="00C758C6">
        <w:t xml:space="preserve"> risks</w:t>
      </w:r>
      <w:r w:rsidR="001C74A9">
        <w:t xml:space="preserve"> and mitigating consequences</w:t>
      </w:r>
      <w:r w:rsidR="00C758C6">
        <w:t xml:space="preserve"> if one party defaults</w:t>
      </w:r>
      <w:r w:rsidR="00C106ED">
        <w:t xml:space="preserve"> on their contractual obligations (counterparty risk)</w:t>
      </w:r>
      <w:r w:rsidRPr="00377D40">
        <w:t>. Clearing transforms trading by mutualizing counterparty risk, enabling netting to reduce collateral demand, and potentially reducing volatility caused by bank runs.</w:t>
      </w:r>
    </w:p>
    <w:p w14:paraId="0465A065" w14:textId="4ABD475B" w:rsidR="0057724B" w:rsidRDefault="0025043C" w:rsidP="00031822">
      <w:r w:rsidRPr="0025043C">
        <w:t xml:space="preserve">Originally created for </w:t>
      </w:r>
      <w:r w:rsidR="00E6619F">
        <w:t xml:space="preserve">members of </w:t>
      </w:r>
      <w:r w:rsidRPr="0025043C">
        <w:t xml:space="preserve">futures </w:t>
      </w:r>
      <w:r w:rsidR="00E6619F">
        <w:t xml:space="preserve">and equities </w:t>
      </w:r>
      <w:r w:rsidRPr="0025043C">
        <w:t>exchanges, clearinghouses became more significant with regulations like the Dodd-Frank Act and European Market Infrastructure Regulation (EMIR)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p>
    <w:p w14:paraId="3D23A101" w14:textId="4277121F" w:rsidR="00DC42EB" w:rsidRDefault="00B92576" w:rsidP="00031822">
      <w:r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031822">
      <w:pPr>
        <w:pStyle w:val="Heading2"/>
      </w:pPr>
      <w:r>
        <w:t>Regulatory Background</w:t>
      </w:r>
    </w:p>
    <w:p w14:paraId="4AD983A7" w14:textId="1E3DEDDA" w:rsidR="00BF6365" w:rsidRPr="00EA1749" w:rsidRDefault="00BF6365" w:rsidP="00031822">
      <w:pPr>
        <w:pStyle w:val="Heading3"/>
      </w:pPr>
      <w:r w:rsidRPr="00EA1749">
        <w:t xml:space="preserve">US </w:t>
      </w:r>
      <w:r w:rsidR="00EA1749">
        <w:t>C</w:t>
      </w:r>
      <w:r w:rsidRPr="00EA1749">
        <w:t>ontext</w:t>
      </w:r>
    </w:p>
    <w:p w14:paraId="40824E1A" w14:textId="7B4AB798" w:rsidR="00BF6365" w:rsidRDefault="0086750E" w:rsidP="00031822">
      <w:r w:rsidRPr="0086750E">
        <w:t>Following the financial crisis, Congress passed the DFA in 2010 to enhance the US financial system's reliability. Since OTC derivatives markets played a crucial role in the crisis, the Act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03E95A93" w14:textId="48DA17E2" w:rsidR="00715923" w:rsidRDefault="00715923" w:rsidP="00031822">
      <w:r w:rsidRPr="00715923">
        <w:lastRenderedPageBreak/>
        <w:t xml:space="preserve">To reduce default risk for large swaps dealers, the Act requires registration with the CFTC, adherence to internal business conduct standards, maintaining adequate capital and margin requirements, and encouraging trading in central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 xml:space="preserve">arkets (DCMs) to enhance liquidity and price discovery. Furthermore, the DFA mandates most contracts be centrally cleared and for uncleared contracts, requires parties to post margin to mitigate default effects.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EA1749" w:rsidRPr="00715923">
        <w:t>rulemaking</w:t>
      </w:r>
      <w:r w:rsidRPr="00715923">
        <w:t xml:space="preserve"> in these areas.</w:t>
      </w:r>
    </w:p>
    <w:p w14:paraId="49705BEC" w14:textId="1F4FDEDF" w:rsidR="000C5086" w:rsidRDefault="000C5086" w:rsidP="00031822">
      <w:pPr>
        <w:pStyle w:val="Caption"/>
        <w:keepNext/>
      </w:pPr>
      <w:bookmarkStart w:id="0" w:name="_Ref149505424"/>
      <w:r>
        <w:t xml:space="preserve">Table </w:t>
      </w:r>
      <w:fldSimple w:instr=" SEQ Table \* ARABIC ">
        <w:r w:rsidR="004050F2">
          <w:rPr>
            <w:noProof/>
          </w:rPr>
          <w:t>1</w:t>
        </w:r>
      </w:fldSimple>
      <w:bookmarkEnd w:id="0"/>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031822">
            <w:pPr>
              <w:spacing w:line="240" w:lineRule="auto"/>
            </w:pPr>
            <w:r>
              <w:t>Rulemaking Area</w:t>
            </w:r>
          </w:p>
        </w:tc>
        <w:tc>
          <w:tcPr>
            <w:tcW w:w="0" w:type="auto"/>
          </w:tcPr>
          <w:p w14:paraId="40B6BE9D" w14:textId="574B7AB7" w:rsidR="0072700E" w:rsidRDefault="0040630A" w:rsidP="00031822">
            <w:pPr>
              <w:spacing w:line="240" w:lineRule="auto"/>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4567C0" w14:paraId="153CEF2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74D4C798" w14:textId="76E601E8" w:rsidR="009A69FA" w:rsidRDefault="009A69FA" w:rsidP="00031822">
            <w:pPr>
              <w:spacing w:line="240" w:lineRule="auto"/>
            </w:pPr>
            <w:r>
              <w:t>Derivatives Products Affected</w:t>
            </w:r>
          </w:p>
        </w:tc>
        <w:tc>
          <w:tcPr>
            <w:tcW w:w="0" w:type="auto"/>
          </w:tcPr>
          <w:p w14:paraId="21FA0F5A"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Agricultural Swaps</w:t>
            </w:r>
          </w:p>
          <w:p w14:paraId="112BB05D" w14:textId="6CDF6F92"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Commodity</w:t>
            </w:r>
            <w:r w:rsidR="00F6394F">
              <w:t xml:space="preserve"> Swaps</w:t>
            </w:r>
          </w:p>
          <w:p w14:paraId="541989E5"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Commodity Options</w:t>
            </w:r>
          </w:p>
          <w:p w14:paraId="72CBF32D" w14:textId="77777777" w:rsidR="009A69FA" w:rsidRDefault="009A69FA" w:rsidP="00031822">
            <w:pPr>
              <w:pStyle w:val="ListParagraph"/>
              <w:numPr>
                <w:ilvl w:val="0"/>
                <w:numId w:val="7"/>
              </w:numPr>
              <w:spacing w:line="240" w:lineRule="auto"/>
              <w:cnfStyle w:val="000000000000" w:firstRow="0" w:lastRow="0" w:firstColumn="0" w:lastColumn="0" w:oddVBand="0" w:evenVBand="0" w:oddHBand="0" w:evenHBand="0" w:firstRowFirstColumn="0" w:firstRowLastColumn="0" w:lastRowFirstColumn="0" w:lastRowLastColumn="0"/>
            </w:pPr>
            <w:r>
              <w:t>Foreign Currency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031822">
            <w:pPr>
              <w:spacing w:line="240" w:lineRule="auto"/>
            </w:pPr>
            <w:r>
              <w:t>Data</w:t>
            </w:r>
            <w:r w:rsidR="009A69FA">
              <w:t xml:space="preserve"> Requirements</w:t>
            </w:r>
          </w:p>
        </w:tc>
        <w:tc>
          <w:tcPr>
            <w:tcW w:w="0" w:type="auto"/>
          </w:tcPr>
          <w:p w14:paraId="73448B7D" w14:textId="5BAD1CEA" w:rsidR="0072700E" w:rsidRDefault="0075597E"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031822">
            <w:pPr>
              <w:pStyle w:val="ListParagraph"/>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031822">
            <w:pPr>
              <w:spacing w:line="240" w:lineRule="auto"/>
            </w:pPr>
            <w:r>
              <w:t>Clearing</w:t>
            </w:r>
            <w:r w:rsidR="009A69FA">
              <w:t xml:space="preserve"> Requirements</w:t>
            </w:r>
          </w:p>
        </w:tc>
        <w:tc>
          <w:tcPr>
            <w:tcW w:w="0" w:type="auto"/>
          </w:tcPr>
          <w:p w14:paraId="4964965C" w14:textId="0D947119" w:rsidR="0072700E" w:rsidRDefault="007E3CB7"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031822">
            <w:pPr>
              <w:pStyle w:val="ListParagraph"/>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031822">
            <w:pPr>
              <w:spacing w:line="240" w:lineRule="auto"/>
            </w:pPr>
            <w:r>
              <w:t>Trading</w:t>
            </w:r>
            <w:r w:rsidR="009A69FA">
              <w:t xml:space="preserve"> Requirements</w:t>
            </w:r>
          </w:p>
        </w:tc>
        <w:tc>
          <w:tcPr>
            <w:tcW w:w="0" w:type="auto"/>
          </w:tcPr>
          <w:p w14:paraId="1E12FD34" w14:textId="4800AE27" w:rsidR="0072700E" w:rsidRDefault="00EB7DDA" w:rsidP="00031822">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031822">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5690BD9B"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77EBD7A9" w14:textId="7C19CF6D" w:rsidR="0072700E" w:rsidRDefault="002C726E" w:rsidP="00031822">
            <w:pPr>
              <w:spacing w:line="240" w:lineRule="auto"/>
            </w:pPr>
            <w:r>
              <w:t xml:space="preserve">Swaps Dealers and </w:t>
            </w:r>
            <w:r w:rsidR="000F0F21">
              <w:t xml:space="preserve">Major </w:t>
            </w:r>
            <w:r>
              <w:t>Swaps Participants</w:t>
            </w:r>
          </w:p>
        </w:tc>
        <w:tc>
          <w:tcPr>
            <w:tcW w:w="0" w:type="auto"/>
          </w:tcPr>
          <w:p w14:paraId="7CCA3CB2" w14:textId="77777777" w:rsidR="0072700E"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Registration</w:t>
            </w:r>
          </w:p>
          <w:p w14:paraId="01A81AD6" w14:textId="77777777" w:rsidR="00747315"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Internal Business Conduct Standards</w:t>
            </w:r>
          </w:p>
          <w:p w14:paraId="27B84EC9" w14:textId="77777777" w:rsidR="00747315" w:rsidRDefault="00747315"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Capital and Margin for non-banks</w:t>
            </w:r>
          </w:p>
          <w:p w14:paraId="2DBD69CE" w14:textId="33ABB024" w:rsidR="003E203E" w:rsidRDefault="003E203E" w:rsidP="00031822">
            <w:pPr>
              <w:pStyle w:val="ListParagraph"/>
              <w:numPr>
                <w:ilvl w:val="0"/>
                <w:numId w:val="5"/>
              </w:numPr>
              <w:spacing w:line="240" w:lineRule="auto"/>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031822">
            <w:pPr>
              <w:spacing w:line="240" w:lineRule="auto"/>
            </w:pPr>
            <w:r>
              <w:t>Position Limits</w:t>
            </w:r>
          </w:p>
        </w:tc>
        <w:tc>
          <w:tcPr>
            <w:tcW w:w="0" w:type="auto"/>
          </w:tcPr>
          <w:p w14:paraId="28954981" w14:textId="0C0ED67E" w:rsidR="0072700E"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031822">
            <w:pPr>
              <w:spacing w:line="240" w:lineRule="auto"/>
            </w:pPr>
            <w:r>
              <w:t>Enforcement</w:t>
            </w:r>
          </w:p>
        </w:tc>
        <w:tc>
          <w:tcPr>
            <w:tcW w:w="0" w:type="auto"/>
          </w:tcPr>
          <w:p w14:paraId="6C389A93" w14:textId="77777777" w:rsidR="0072700E"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031822">
            <w:pPr>
              <w:pStyle w:val="ListParagraph"/>
              <w:numPr>
                <w:ilvl w:val="0"/>
                <w:numId w:val="6"/>
              </w:numPr>
              <w:spacing w:line="240" w:lineRule="auto"/>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031822">
            <w:pPr>
              <w:spacing w:line="240" w:lineRule="auto"/>
            </w:pPr>
            <w:r>
              <w:t>Other</w:t>
            </w:r>
          </w:p>
        </w:tc>
        <w:tc>
          <w:tcPr>
            <w:tcW w:w="0" w:type="auto"/>
          </w:tcPr>
          <w:p w14:paraId="5DAF0B9E" w14:textId="77777777" w:rsidR="0072700E"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031822">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4373D367" w14:textId="50374FF7" w:rsidR="00475EE6" w:rsidRDefault="00FB04CE" w:rsidP="00031822">
      <w:r w:rsidRPr="00FB04CE">
        <w:lastRenderedPageBreak/>
        <w:t>Considering the global nature of the financial system, US regulators collaborated with international counterparts to harmonize regulatory requirements. In Europe, both the UK and EU enacted comprehensive reforms for their respective financial systems. The EU passed the European Market Infrastructure Regulation (EMIR), which shares similar aims with the Dodd-Frank Act, while the Bank of England issued regulations mandating clearing for most trades involving UK-based entities.</w:t>
      </w:r>
    </w:p>
    <w:p w14:paraId="7503937D" w14:textId="71D3084C" w:rsidR="00FB04CE" w:rsidRDefault="00821AC5" w:rsidP="00031822">
      <w:r w:rsidRPr="00821AC5">
        <w:t xml:space="preserve">In Asia, the Japanese Financial Services Authority (JFSA) required yen-denominated IR swaps and specific CD swaps contracts to be cleared by the end of 2012. Additionally, the Monetary Authority of Singapore and the Securities and Futures Commission 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Pr="00821AC5">
        <w:t xml:space="preserve"> summarizes the international context:</w:t>
      </w:r>
    </w:p>
    <w:p w14:paraId="2C2EEC2E" w14:textId="424910BC" w:rsidR="000C5086" w:rsidRDefault="000C5086" w:rsidP="00031822">
      <w:pPr>
        <w:pStyle w:val="Caption"/>
        <w:keepNext/>
      </w:pPr>
      <w:bookmarkStart w:id="1" w:name="_Ref149505461"/>
      <w:r>
        <w:t xml:space="preserve">Table </w:t>
      </w:r>
      <w:fldSimple w:instr=" SEQ Table \* ARABIC ">
        <w:r w:rsidR="004050F2">
          <w:rPr>
            <w:noProof/>
          </w:rPr>
          <w:t>2</w:t>
        </w:r>
      </w:fldSimple>
      <w:bookmarkEnd w:id="1"/>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031822">
            <w:pPr>
              <w:spacing w:line="240" w:lineRule="auto"/>
            </w:pPr>
            <w:r>
              <w:t>Jurisdiction</w:t>
            </w:r>
          </w:p>
        </w:tc>
        <w:tc>
          <w:tcPr>
            <w:tcW w:w="3629" w:type="pct"/>
          </w:tcPr>
          <w:p w14:paraId="29C692E2" w14:textId="3CCA1C98" w:rsidR="00577089" w:rsidRDefault="000F0F21" w:rsidP="00031822">
            <w:pPr>
              <w:spacing w:line="240" w:lineRule="auto"/>
              <w:cnfStyle w:val="100000000000" w:firstRow="1" w:lastRow="0" w:firstColumn="0" w:lastColumn="0" w:oddVBand="0" w:evenVBand="0" w:oddHBand="0" w:evenHBand="0" w:firstRowFirstColumn="0" w:firstRowLastColumn="0" w:lastRowFirstColumn="0" w:lastRowLastColumn="0"/>
            </w:pPr>
            <w:r>
              <w:t>Relevant 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031822">
            <w:pPr>
              <w:spacing w:line="240" w:lineRule="auto"/>
            </w:pPr>
            <w:r>
              <w:t>North America</w:t>
            </w:r>
          </w:p>
        </w:tc>
        <w:tc>
          <w:tcPr>
            <w:tcW w:w="3629" w:type="pct"/>
          </w:tcPr>
          <w:p w14:paraId="4F3D0F54" w14:textId="77BC504E" w:rsidR="00577089" w:rsidRDefault="003F1AD8"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Dodd-Frank Act and CFTC and SEC rulemaking</w:t>
            </w:r>
            <w:r w:rsidR="003314C1">
              <w:t xml:space="preserve"> requires mandatory</w:t>
            </w:r>
            <w:r w:rsidR="008C6CD4">
              <w:t xml:space="preserve"> clearing of IR swaps contracts by September 2013</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031822">
            <w:pPr>
              <w:spacing w:line="240" w:lineRule="auto"/>
            </w:pPr>
            <w:r>
              <w:t>Europe</w:t>
            </w:r>
          </w:p>
        </w:tc>
        <w:tc>
          <w:tcPr>
            <w:tcW w:w="3629" w:type="pct"/>
          </w:tcPr>
          <w:p w14:paraId="25F2959D" w14:textId="08EBA91F" w:rsidR="00577089" w:rsidRDefault="00622956"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European Market Infrastructure Regulation (EMIR) passed in 2012</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031822">
            <w:pPr>
              <w:spacing w:line="240" w:lineRule="auto"/>
            </w:pPr>
            <w:r>
              <w:t>Asia</w:t>
            </w:r>
          </w:p>
        </w:tc>
        <w:tc>
          <w:tcPr>
            <w:tcW w:w="3629" w:type="pct"/>
          </w:tcPr>
          <w:p w14:paraId="663D319C" w14:textId="77777777" w:rsidR="00577089" w:rsidRDefault="001655FC"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Japan Financial Services Authority requires yen denominated IR swaps referencing LIBOR to be cleared by end of 2012.</w:t>
            </w:r>
          </w:p>
          <w:p w14:paraId="431C6759" w14:textId="58D6BF89" w:rsidR="001655FC" w:rsidRDefault="000A7150"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 xml:space="preserve">Hong Kong Monetary Authority and the Securities and Futures Commission 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6857349A" w:rsidR="00502B0A" w:rsidRDefault="00502B0A" w:rsidP="00031822">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 xml:space="preserve">Monetary Authority of Singapore (MAS)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031822">
            <w:pPr>
              <w:spacing w:line="240" w:lineRule="auto"/>
            </w:pPr>
            <w:r>
              <w:t>Australia</w:t>
            </w:r>
          </w:p>
        </w:tc>
        <w:tc>
          <w:tcPr>
            <w:tcW w:w="3629" w:type="pct"/>
          </w:tcPr>
          <w:p w14:paraId="272F3547" w14:textId="25294191" w:rsidR="00577089" w:rsidRDefault="00BD12A4" w:rsidP="00031822">
            <w:pPr>
              <w:pStyle w:val="ListParagraph"/>
              <w:numPr>
                <w:ilvl w:val="0"/>
                <w:numId w:val="10"/>
              </w:numPr>
              <w:spacing w:line="240" w:lineRule="auto"/>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A21F7B">
              <w:t>in 2012 announcing plans to pass legislation requiring mandatory clearing of A</w:t>
            </w:r>
            <w:r w:rsidR="003F2A46">
              <w:t>ustralian Dollar denominated IR swaps by end of 2012.</w:t>
            </w:r>
          </w:p>
        </w:tc>
      </w:tr>
    </w:tbl>
    <w:p w14:paraId="75AA4155" w14:textId="77777777" w:rsidR="00475EE6" w:rsidRPr="000816B7" w:rsidRDefault="00475EE6" w:rsidP="00031822">
      <w:pPr>
        <w:ind w:firstLine="720"/>
      </w:pPr>
    </w:p>
    <w:p w14:paraId="5850AA5C" w14:textId="634DC182" w:rsidR="00B13BAB" w:rsidRDefault="00B13BAB" w:rsidP="00031822">
      <w:pPr>
        <w:pStyle w:val="Heading1"/>
        <w:numPr>
          <w:ilvl w:val="0"/>
          <w:numId w:val="1"/>
        </w:numPr>
      </w:pPr>
      <w:r w:rsidRPr="0027378C">
        <w:lastRenderedPageBreak/>
        <w:t>Theory</w:t>
      </w:r>
    </w:p>
    <w:p w14:paraId="7E205851" w14:textId="77777777" w:rsidR="0027378C" w:rsidRDefault="0027378C" w:rsidP="00031822">
      <w:pPr>
        <w:pStyle w:val="Heading2"/>
      </w:pPr>
      <w:r>
        <w:t>Pricing of Interest Rate Swaps without credit risks</w:t>
      </w:r>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77777777"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counterpart's value is given by a similar formula, but with the signs reversed on the right-hand side.</w:t>
      </w:r>
      <w:r w:rsidRPr="00B42996">
        <w:rPr>
          <w:rFonts w:eastAsiaTheme="minorEastAsia"/>
          <w:i/>
          <w:iCs/>
        </w:rPr>
        <w:t>)</w:t>
      </w:r>
    </w:p>
    <w:p w14:paraId="5688A8A3" w14:textId="141FAEBF" w:rsidR="0027378C" w:rsidRDefault="0027378C" w:rsidP="00031822">
      <w:r>
        <w:t>Floating rate payments are unknown in advance but are usually determined by a relevant yield curve. For instance, if the floating leg payment is based on LIBOR, the LIBOR curve, constructed by interpolating short-term deposit rates, medium-term Eurodollar futures, and long-term instruments like forward rate agreements and existing swaps, is used.</w:t>
      </w:r>
    </w:p>
    <w:p w14:paraId="53BA6994" w14:textId="77777777" w:rsidR="0027378C" w:rsidRDefault="0027378C" w:rsidP="00031822">
      <w:r>
        <w:t>At the outset of the contract, the contract's value is zero. This is achieved by determining the present value of the floating leg using the assumed payments, and then setting the fixed rate such that the present values of both legs align.</w:t>
      </w:r>
    </w:p>
    <w:p w14:paraId="31712FFA" w14:textId="77777777" w:rsidR="0027378C" w:rsidRDefault="0027378C" w:rsidP="00031822">
      <w:pPr>
        <w:pStyle w:val="Heading2"/>
      </w:pPr>
      <w:r>
        <w:lastRenderedPageBreak/>
        <w:t>Counterparty Risk and CVA/DVA</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1499AC6E" w:rsidR="0027378C" w:rsidRDefault="0027378C" w:rsidP="00031822">
      <w:r>
        <w:t xml:space="preserve">Dealers might engage in interdealer trading and bulk futures markets </w:t>
      </w:r>
      <w:r w:rsidR="00143C59">
        <w:t xml:space="preserve">trading </w:t>
      </w:r>
      <w:r>
        <w:t>for cash flow or risk management, customers might trade with multiple dealers or occasionally engage in bilateral trades amongst themselves. However, such bilateral trades typically have low volume. It is believed that the dealer-centric network structure lowers search costs compared to a direct customer-to-customer market.</w:t>
      </w:r>
    </w:p>
    <w:p w14:paraId="54674BC0" w14:textId="06D93D64" w:rsidR="0027378C" w:rsidRDefault="0027378C" w:rsidP="00031822">
      <w:r>
        <w:t xml:space="preserve">In practice, both customers and dealers must account for the risk associated with counterparties defaulting. The "risk-free" present values above need to be adjusted for counterparty default.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is:</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2637D74B" w14:textId="77777777" w:rsidR="0027378C" w:rsidRDefault="0027378C" w:rsidP="00031822">
      <w:r>
        <w:t>Note that a swap's value with counterparty risk requires two adjustments. A defaulting counterparty means missed expected payments but also fewer obligations. This requires a "credit value adjustment" to account for missed expected future payments and a "debit value adjustment" for reduced obligations.</w:t>
      </w:r>
    </w:p>
    <w:p w14:paraId="474B1A55" w14:textId="77777777" w:rsidR="0027378C" w:rsidRDefault="0027378C" w:rsidP="00031822">
      <w:pPr>
        <w:pStyle w:val="Heading2"/>
      </w:pPr>
      <w:r>
        <w:t>Central Clearing</w:t>
      </w:r>
    </w:p>
    <w:p w14:paraId="6FC9356A" w14:textId="26A75FB7" w:rsidR="004F43A3" w:rsidRDefault="0027378C" w:rsidP="00031822">
      <w:r>
        <w:t xml:space="preserve">The structure of a dealer-dominated market means that a dealer's failure, possibly due to inadequate risk management or customer defaults, could affect other dealers and potentially the </w:t>
      </w:r>
      <w:r>
        <w:lastRenderedPageBreak/>
        <w:t>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59821E17"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44599128" w14:textId="77777777" w:rsidR="004F43A3" w:rsidRDefault="004F43A3" w:rsidP="00031822">
      <w:pPr>
        <w:pStyle w:val="Heading2"/>
      </w:pPr>
      <w:r>
        <w:t xml:space="preserve">Model of Bid-Ask Prices </w:t>
      </w:r>
    </w:p>
    <w:p w14:paraId="3B2287C5" w14:textId="77777777" w:rsidR="004F43A3" w:rsidRPr="00834DE5" w:rsidRDefault="004F43A3" w:rsidP="00031822">
      <w:pPr>
        <w:pStyle w:val="Heading3"/>
      </w:pPr>
      <w:r w:rsidRPr="00834DE5">
        <w:t>With No Counterparty Risk</w:t>
      </w:r>
    </w:p>
    <w:p w14:paraId="36BF5B0C" w14:textId="77777777"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market sell order of 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of the game, the price of the risky asset is </w:t>
      </w:r>
      <w:proofErr w:type="gramStart"/>
      <w:r>
        <w:t>realized</w:t>
      </w:r>
      <w:proofErr w:type="gramEnd"/>
      <w:r>
        <w:t xml:space="preserve"> and players receive their utility.</w:t>
      </w:r>
    </w:p>
    <w:p w14:paraId="6614A3F7" w14:textId="77777777" w:rsidR="004F43A3" w:rsidRDefault="004F43A3" w:rsidP="00031822">
      <w:pPr>
        <w:rPr>
          <w:rFonts w:eastAsiaTheme="minorEastAsia"/>
        </w:rPr>
      </w:pPr>
      <w:r>
        <w:lastRenderedPageBreak/>
        <w:t xml:space="preserve">I assume that the two dealers are identical except for their inventory positions.  All market participants have constant relative risk aversion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-α⋅w</m:t>
            </m:r>
          </m:e>
        </m:func>
      </m:oMath>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40E314F2" w14:textId="77777777" w:rsidR="004F43A3" w:rsidRPr="00834DE5" w:rsidRDefault="004F43A3" w:rsidP="00031822">
      <w:pPr>
        <w:pStyle w:val="Heading4"/>
      </w:pPr>
      <w:r w:rsidRPr="00834DE5">
        <w:t>The optimal size of the market order</w:t>
      </w:r>
    </w:p>
    <w:p w14:paraId="62A75610" w14:textId="77777777"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77777777" w:rsidR="004F43A3" w:rsidRDefault="004F43A3" w:rsidP="00031822">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77777777" w:rsidR="004F43A3" w:rsidRPr="00D83385" w:rsidRDefault="004F43A3" w:rsidP="00031822">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71F86B46" w14:textId="77777777" w:rsidR="004F43A3" w:rsidRPr="00834DE5" w:rsidRDefault="004F43A3" w:rsidP="00031822">
      <w:pPr>
        <w:pStyle w:val="Heading4"/>
      </w:pPr>
      <w:r w:rsidRPr="00834DE5">
        <w:t xml:space="preserve">The optimal bid and ask quotes for the </w:t>
      </w:r>
      <w:proofErr w:type="gramStart"/>
      <w:r w:rsidRPr="00834DE5">
        <w:t>dealer</w:t>
      </w:r>
      <w:proofErr w:type="gramEnd"/>
    </w:p>
    <w:p w14:paraId="62384BFF" w14:textId="77777777" w:rsidR="004F43A3" w:rsidRDefault="004F43A3" w:rsidP="00031822">
      <w:r>
        <w:t>For simplicity, I analyze the case of 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777777" w:rsidR="004F43A3" w:rsidRDefault="004F43A3" w:rsidP="00031822">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56AEA93E" w14:textId="77777777" w:rsidR="004F43A3" w:rsidRPr="00834DE5" w:rsidRDefault="004F43A3" w:rsidP="00031822">
      <w:pPr>
        <w:pStyle w:val="Heading4"/>
      </w:pPr>
      <w:r w:rsidRPr="00834DE5">
        <w:t>Reservation Quotes</w:t>
      </w:r>
    </w:p>
    <w:p w14:paraId="059F8120" w14:textId="77777777" w:rsidR="004F43A3" w:rsidRDefault="004F43A3" w:rsidP="00031822">
      <w:r>
        <w:t xml:space="preserve">The dealer is indifferent between trading and not trading when the expected utility from both actions </w:t>
      </w:r>
      <w:proofErr w:type="gramStart"/>
      <w:r>
        <w:t>are</w:t>
      </w:r>
      <w:proofErr w:type="gramEnd"/>
      <w:r>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7777777" w:rsidR="004F43A3" w:rsidRDefault="004F43A3" w:rsidP="00031822">
      <w:r>
        <w:lastRenderedPageBreak/>
        <w:t xml:space="preserve">Where the price is subscripted with </w:t>
      </w:r>
      <m:oMath>
        <m:r>
          <w:rPr>
            <w:rFonts w:ascii="Cambria Math" w:hAnsi="Cambria Math"/>
          </w:rPr>
          <m:t>r</m:t>
        </m:r>
      </m:oMath>
      <w:r>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77777777" w:rsidR="004F43A3" w:rsidRDefault="004F43A3" w:rsidP="00031822">
      <w:r>
        <w:t xml:space="preserve">And in </w:t>
      </w:r>
      <w:proofErr w:type="gramStart"/>
      <w:r>
        <w:t>general</w:t>
      </w:r>
      <w:proofErr w:type="gramEnd"/>
      <w:r>
        <w:t xml:space="preserve"> for dealer </w:t>
      </w:r>
      <m:oMath>
        <m:r>
          <w:rPr>
            <w:rFonts w:ascii="Cambria Math" w:hAnsi="Cambria Math"/>
          </w:rPr>
          <m:t>i</m:t>
        </m:r>
      </m:oMath>
      <w:r>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5E2DD77E" w14:textId="77777777" w:rsidR="004F43A3" w:rsidRPr="00143C59" w:rsidRDefault="004F43A3" w:rsidP="00031822">
      <w:pPr>
        <w:pStyle w:val="Heading4"/>
      </w:pPr>
      <w:r w:rsidRPr="00143C59">
        <w:t>Optimal quotes</w:t>
      </w:r>
    </w:p>
    <w:p w14:paraId="1FB0E227" w14:textId="77777777" w:rsidR="004F43A3" w:rsidRDefault="004F43A3" w:rsidP="00031822">
      <w:pPr>
        <w:rPr>
          <w:rFonts w:eastAsiaTheme="minorEastAsia"/>
        </w:rPr>
      </w:pPr>
      <w:r>
        <w:t xml:space="preserve">Assume that the competing dealers do not observe each other’s inventory levels, but both assume that the others inventory is drawn uniformly from </w:t>
      </w:r>
      <m:oMath>
        <m:r>
          <w:rPr>
            <w:rFonts w:ascii="Cambria Math" w:hAnsi="Cambria Math"/>
          </w:rPr>
          <m:t>[-R,R]</m:t>
        </m:r>
      </m:oMath>
      <w:r>
        <w:rPr>
          <w:rFonts w:eastAsiaTheme="minorEastAsia"/>
        </w:rPr>
        <w:t>.  I analyze the case of the optimal bid quote for dealer 1.  By increasing his bid quote, he 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77777777" w:rsidR="004F43A3" w:rsidRDefault="004F43A3" w:rsidP="00031822">
      <w:r>
        <w:t xml:space="preserve">And in general, the optimal bid and ask quotes for dealer </w:t>
      </w:r>
      <m:oMath>
        <m:r>
          <w:rPr>
            <w:rFonts w:ascii="Cambria Math" w:hAnsi="Cambria Math"/>
          </w:rPr>
          <m:t>i</m:t>
        </m:r>
      </m:oMath>
      <w:r>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17AE0FE6" w:rsidR="004F43A3" w:rsidRPr="00143C59" w:rsidRDefault="004F43A3" w:rsidP="00031822">
      <w:pPr>
        <w:pStyle w:val="Heading3"/>
      </w:pPr>
      <w:r w:rsidRPr="00143C59">
        <w:t xml:space="preserve">Optimal quotes </w:t>
      </w:r>
      <w:r w:rsidR="00834DE5">
        <w:t xml:space="preserve">with </w:t>
      </w:r>
      <w:r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w:t>
      </w:r>
      <w:r>
        <w:lastRenderedPageBreak/>
        <w:t xml:space="preserve">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031822">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77777777" w:rsidR="004F43A3" w:rsidRDefault="004F43A3" w:rsidP="00031822">
      <w:r>
        <w:t xml:space="preserve">I develop an original model of price volatility.  In this section, I model a market with no counterparty risk.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w:t>
      </w:r>
    </w:p>
    <w:p w14:paraId="64E1FEA8" w14:textId="77777777"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77777777"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=α⋅σ</m:t>
          </m:r>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 xml:space="preserve">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w:t>
      </w:r>
      <w:r>
        <w:lastRenderedPageBreak/>
        <w:t>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031822">
      <w:pPr>
        <w:pStyle w:val="Heading1"/>
        <w:numPr>
          <w:ilvl w:val="0"/>
          <w:numId w:val="1"/>
        </w:numPr>
      </w:pPr>
      <w:r>
        <w:t>Identification Strategy</w:t>
      </w:r>
    </w:p>
    <w:p w14:paraId="0FBD61B0" w14:textId="129E3EB6" w:rsidR="00CD17A1" w:rsidRPr="00CD17A1" w:rsidRDefault="00CD17A1" w:rsidP="00031822">
      <w:pPr>
        <w:pStyle w:val="Heading2"/>
      </w:pPr>
      <w:r>
        <w:t>Pricing</w:t>
      </w:r>
    </w:p>
    <w:p w14:paraId="23FD4740" w14:textId="19C49578" w:rsidR="00EF140B" w:rsidRDefault="00EF140B" w:rsidP="00031822">
      <w:r>
        <w:t xml:space="preserve">I investigate the impact of the central clearing mandate on the interest rate swap prices by comparing the premium (the difference between the fair rate and the actual quoted fixed rate) on USD denominated swaps versus CAD denominated swaps before and after the mandate. To achieve this, </w:t>
      </w:r>
      <w:r w:rsidR="00625ECF">
        <w:t>I</w:t>
      </w:r>
      <w:r>
        <w:t xml:space="preserve"> employ a difference-in-differences (</w:t>
      </w:r>
      <w:proofErr w:type="spellStart"/>
      <w:r>
        <w:t>DiD</w:t>
      </w:r>
      <w:proofErr w:type="spellEnd"/>
      <w:r>
        <w:t xml:space="preserve">) identification strategy, which allows </w:t>
      </w:r>
      <w:r w:rsidR="00625ECF">
        <w:t>me</w:t>
      </w:r>
      <w:r>
        <w:t xml:space="preserve"> to isolate the causal effect of the mandate on the swap premiums by exploiting the variation in the timing of the policy implementation.</w:t>
      </w:r>
    </w:p>
    <w:p w14:paraId="60A87106" w14:textId="6AD97704" w:rsidR="00EF140B" w:rsidRDefault="00625ECF" w:rsidP="00031822">
      <w:r>
        <w:t xml:space="preserve">I </w:t>
      </w:r>
      <w:r w:rsidR="00EF140B">
        <w:t xml:space="preserve">begin by selecting a sample of interest rate swaps denominated in both USD and CAD with similar characteristics, such as contract maturity and credit quality, from the </w:t>
      </w:r>
      <w:r>
        <w:t xml:space="preserve">ten trading days </w:t>
      </w:r>
      <w:r w:rsidR="00EF140B">
        <w:t xml:space="preserve">before and after the central clearing mandate was implemented. </w:t>
      </w:r>
      <w:r>
        <w:t>My</w:t>
      </w:r>
      <w:r w:rsidR="00EF140B">
        <w:t xml:space="preserve"> main data source </w:t>
      </w:r>
      <w:r w:rsidR="00E6619F">
        <w:t>is transaction</w:t>
      </w:r>
      <w:r w:rsidR="00EF140B">
        <w:t xml:space="preserve">-level data from </w:t>
      </w:r>
      <w:r w:rsidR="00E6619F">
        <w:t xml:space="preserve">the Depository Trust &amp; Clearing Corp. </w:t>
      </w:r>
      <w:r w:rsidR="00057A12">
        <w:t>S</w:t>
      </w:r>
      <w:r w:rsidR="00EF140B">
        <w:t>wap</w:t>
      </w:r>
      <w:r w:rsidR="00057A12">
        <w:t>s</w:t>
      </w:r>
      <w:r w:rsidR="00EF140B">
        <w:t xml:space="preserve"> </w:t>
      </w:r>
      <w:r w:rsidR="00CD17A1">
        <w:t>D</w:t>
      </w:r>
      <w:r w:rsidR="00EF140B">
        <w:t xml:space="preserve">ata </w:t>
      </w:r>
      <w:r w:rsidR="00057A12">
        <w:t>R</w:t>
      </w:r>
      <w:r w:rsidR="00EF140B">
        <w:t>epositor</w:t>
      </w:r>
      <w:r w:rsidR="00E6619F">
        <w:t>y</w:t>
      </w:r>
      <w:r w:rsidR="00EF140B">
        <w:t xml:space="preserve"> (</w:t>
      </w:r>
      <w:r w:rsidR="00057A12">
        <w:t xml:space="preserve">DTCC </w:t>
      </w:r>
      <w:r w:rsidR="00EF140B">
        <w:t>SDR), and market data from financial information providers such as Bloomberg</w:t>
      </w:r>
      <w:r w:rsidR="00674BB7">
        <w:t xml:space="preserve"> (see data section)</w:t>
      </w:r>
      <w:r w:rsidR="00EF140B">
        <w:t xml:space="preserve">. Additionally, </w:t>
      </w:r>
      <w:r>
        <w:t xml:space="preserve">I </w:t>
      </w:r>
      <w:r w:rsidR="00EF140B">
        <w:t>collect data on macroeconomic indicators, central bank policies, and other relevant factors that could potentially affect swap premiums.</w:t>
      </w:r>
    </w:p>
    <w:p w14:paraId="6300DB0E" w14:textId="07863633" w:rsidR="00EF140B" w:rsidRDefault="00625ECF" w:rsidP="00031822">
      <w:r>
        <w:lastRenderedPageBreak/>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identify the causal effect of the policy on swap premiums </w:t>
      </w:r>
      <w:r w:rsidR="00E6619F">
        <w:t>if</w:t>
      </w:r>
      <w:r w:rsidR="00EF140B">
        <w:t xml:space="preserve"> both groups would have followed parallel trends in the absence of the policy intervention.</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031822">
      <w:pPr>
        <w:pStyle w:val="Heading2"/>
      </w:pPr>
      <w:r>
        <w:t>Liquidity</w:t>
      </w:r>
    </w:p>
    <w:p w14:paraId="2E09D527" w14:textId="239CD6BD" w:rsidR="00CF1F18" w:rsidRDefault="00CF1F18" w:rsidP="00031822">
      <w:r>
        <w:t>Identification of liquidity strategy goes here.</w:t>
      </w:r>
    </w:p>
    <w:p w14:paraId="6BB52863" w14:textId="760D00C0" w:rsidR="005A5A35" w:rsidRDefault="005A5A35" w:rsidP="00031822">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031822">
      <w:pPr>
        <w:pStyle w:val="Heading1"/>
        <w:numPr>
          <w:ilvl w:val="0"/>
          <w:numId w:val="1"/>
        </w:numPr>
      </w:pPr>
      <w:r>
        <w:t>Data</w:t>
      </w:r>
    </w:p>
    <w:p w14:paraId="02FB73A2" w14:textId="25DCCA0C" w:rsidR="008A79F1" w:rsidRDefault="00935E65" w:rsidP="00031822">
      <w:r w:rsidRPr="00935E65">
        <w:t xml:space="preserve">The Commodity Futures Trading Commission's (CFTC) clearing mandate on interest rate (IR) swaps became effective on March 11, 2013. The regulation was implemented in three phases. </w:t>
      </w:r>
      <w:r w:rsidRPr="00935E65">
        <w:lastRenderedPageBreak/>
        <w:t>Phase 1 mandated clearing for certain IR swaps involving swap dealers (SD), major swap participants (MSP), or 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3EE6EEBC"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xml:space="preserve">, May 27, 2013 – June 7, </w:t>
      </w:r>
      <w:proofErr w:type="gramStart"/>
      <w:r w:rsidR="00D024F1">
        <w:t>2013</w:t>
      </w:r>
      <w:proofErr w:type="gramEnd"/>
      <w:r w:rsidR="00D024F1">
        <w:t xml:space="preserve">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p>
    <w:p w14:paraId="3A40E47D" w14:textId="3FC1F2B0" w:rsidR="008A79F1" w:rsidRPr="0004387C" w:rsidRDefault="005356E2" w:rsidP="00031822">
      <w:r w:rsidRPr="0004387C">
        <w:t xml:space="preserve">To calculate the fair 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Pr="0004387C"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648FED74" w14:textId="77B55771" w:rsidR="008A79F1" w:rsidRDefault="008A79F1" w:rsidP="00031822">
      <w:pPr>
        <w:pStyle w:val="Caption"/>
        <w:keepNext/>
        <w:jc w:val="center"/>
        <w:rPr>
          <w:noProof/>
          <w:color w:val="000000" w:themeColor="text1"/>
        </w:rPr>
      </w:pPr>
      <w:bookmarkStart w:id="2"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2"/>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lastRenderedPageBreak/>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390DDF6F" w14:textId="7E7C403E"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031822">
      <w:pPr>
        <w:pStyle w:val="Heading1"/>
      </w:pPr>
      <w:r w:rsidRPr="00D024F1">
        <w:lastRenderedPageBreak/>
        <w:t>Results</w:t>
      </w:r>
    </w:p>
    <w:p w14:paraId="6324256F" w14:textId="77777777" w:rsidR="002F3376" w:rsidRPr="0004387C" w:rsidRDefault="002F3376" w:rsidP="00031822">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5424B9A7" w:rsidR="00A03CBF" w:rsidRDefault="00A03CBF" w:rsidP="00031822">
      <w:pPr>
        <w:pStyle w:val="Caption"/>
        <w:keepNext/>
      </w:pPr>
      <w:bookmarkStart w:id="3" w:name="_Ref149507984"/>
      <w:r>
        <w:lastRenderedPageBreak/>
        <w:t xml:space="preserve">Table </w:t>
      </w:r>
      <w:fldSimple w:instr=" SEQ Table \* ARABIC ">
        <w:r w:rsidR="004050F2">
          <w:rPr>
            <w:noProof/>
          </w:rPr>
          <w:t>4</w:t>
        </w:r>
      </w:fldSimple>
      <w:bookmarkEnd w:id="3"/>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4" w:name="_Ref149509644"/>
      <w:r>
        <w:lastRenderedPageBreak/>
        <w:t xml:space="preserve">Table </w:t>
      </w:r>
      <w:fldSimple w:instr=" SEQ Table \* ARABIC ">
        <w:r>
          <w:rPr>
            <w:noProof/>
          </w:rPr>
          <w:t>5</w:t>
        </w:r>
      </w:fldSimple>
      <w:bookmarkEnd w:id="4"/>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031822">
      <w:pPr>
        <w:pStyle w:val="Heading2"/>
      </w:pPr>
      <w:r>
        <w:t>Liquidity</w:t>
      </w:r>
    </w:p>
    <w:p w14:paraId="7390CEB8" w14:textId="224DA688" w:rsidR="002853F0" w:rsidRDefault="002853F0" w:rsidP="00031822">
      <w:r>
        <w:t>Liquidity Results Here</w:t>
      </w:r>
    </w:p>
    <w:p w14:paraId="7F78FE30" w14:textId="1BDED5DB" w:rsidR="002853F0" w:rsidRDefault="002853F0" w:rsidP="00031822">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031822">
      <w:pPr>
        <w:pStyle w:val="Heading1"/>
      </w:pPr>
      <w:r>
        <w:t>Conclusion</w:t>
      </w:r>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400EE" w14:textId="77777777" w:rsidR="0044741C" w:rsidRDefault="0044741C" w:rsidP="00633D5C">
      <w:r>
        <w:separator/>
      </w:r>
    </w:p>
  </w:endnote>
  <w:endnote w:type="continuationSeparator" w:id="0">
    <w:p w14:paraId="10E2B527" w14:textId="77777777" w:rsidR="0044741C" w:rsidRDefault="0044741C" w:rsidP="00633D5C">
      <w:r>
        <w:continuationSeparator/>
      </w:r>
    </w:p>
  </w:endnote>
  <w:endnote w:type="continuationNotice" w:id="1">
    <w:p w14:paraId="5EF41E4D" w14:textId="77777777" w:rsidR="0044741C" w:rsidRDefault="00447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60614" w14:textId="77777777" w:rsidR="0044741C" w:rsidRDefault="0044741C" w:rsidP="00633D5C">
      <w:r>
        <w:separator/>
      </w:r>
    </w:p>
  </w:footnote>
  <w:footnote w:type="continuationSeparator" w:id="0">
    <w:p w14:paraId="0A319A25" w14:textId="77777777" w:rsidR="0044741C" w:rsidRDefault="0044741C" w:rsidP="00633D5C">
      <w:r>
        <w:continuationSeparator/>
      </w:r>
    </w:p>
  </w:footnote>
  <w:footnote w:type="continuationNotice" w:id="1">
    <w:p w14:paraId="2D072944" w14:textId="77777777" w:rsidR="0044741C" w:rsidRDefault="004474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4"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27"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28"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0257530">
    <w:abstractNumId w:val="12"/>
  </w:num>
  <w:num w:numId="2" w16cid:durableId="707800307">
    <w:abstractNumId w:val="18"/>
  </w:num>
  <w:num w:numId="3" w16cid:durableId="1322077080">
    <w:abstractNumId w:val="28"/>
  </w:num>
  <w:num w:numId="4" w16cid:durableId="1060834225">
    <w:abstractNumId w:val="16"/>
  </w:num>
  <w:num w:numId="5" w16cid:durableId="1677343865">
    <w:abstractNumId w:val="21"/>
  </w:num>
  <w:num w:numId="6" w16cid:durableId="2085032138">
    <w:abstractNumId w:val="25"/>
  </w:num>
  <w:num w:numId="7" w16cid:durableId="1248348664">
    <w:abstractNumId w:val="11"/>
  </w:num>
  <w:num w:numId="8" w16cid:durableId="2079209417">
    <w:abstractNumId w:val="24"/>
  </w:num>
  <w:num w:numId="9" w16cid:durableId="1911109467">
    <w:abstractNumId w:val="31"/>
  </w:num>
  <w:num w:numId="10" w16cid:durableId="832453860">
    <w:abstractNumId w:val="20"/>
  </w:num>
  <w:num w:numId="11" w16cid:durableId="846746752">
    <w:abstractNumId w:val="30"/>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29"/>
  </w:num>
  <w:num w:numId="25" w16cid:durableId="640575445">
    <w:abstractNumId w:val="19"/>
  </w:num>
  <w:num w:numId="26" w16cid:durableId="906114339">
    <w:abstractNumId w:val="22"/>
  </w:num>
  <w:num w:numId="27" w16cid:durableId="792283900">
    <w:abstractNumId w:val="26"/>
  </w:num>
  <w:num w:numId="28" w16cid:durableId="1811096657">
    <w:abstractNumId w:val="23"/>
  </w:num>
  <w:num w:numId="29" w16cid:durableId="1874683835">
    <w:abstractNumId w:val="15"/>
  </w:num>
  <w:num w:numId="30" w16cid:durableId="958071259">
    <w:abstractNumId w:val="27"/>
  </w:num>
  <w:num w:numId="31" w16cid:durableId="484783320">
    <w:abstractNumId w:val="13"/>
  </w:num>
  <w:num w:numId="32" w16cid:durableId="20876520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8"/>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794D"/>
    <w:rsid w:val="000712B2"/>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124E1"/>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C1D1C"/>
    <w:rsid w:val="001C24F9"/>
    <w:rsid w:val="001C74A9"/>
    <w:rsid w:val="001D3062"/>
    <w:rsid w:val="001D57E1"/>
    <w:rsid w:val="001F4D2E"/>
    <w:rsid w:val="001F7299"/>
    <w:rsid w:val="00200D6D"/>
    <w:rsid w:val="002112FE"/>
    <w:rsid w:val="00220BDA"/>
    <w:rsid w:val="00232831"/>
    <w:rsid w:val="00233C90"/>
    <w:rsid w:val="002343F4"/>
    <w:rsid w:val="00243E6E"/>
    <w:rsid w:val="00246F90"/>
    <w:rsid w:val="0025043C"/>
    <w:rsid w:val="002718B1"/>
    <w:rsid w:val="0027378C"/>
    <w:rsid w:val="00284488"/>
    <w:rsid w:val="002853F0"/>
    <w:rsid w:val="00290667"/>
    <w:rsid w:val="00290E18"/>
    <w:rsid w:val="00293578"/>
    <w:rsid w:val="002938B2"/>
    <w:rsid w:val="002B63F1"/>
    <w:rsid w:val="002C726E"/>
    <w:rsid w:val="002D4411"/>
    <w:rsid w:val="002D4CD7"/>
    <w:rsid w:val="002E0CE1"/>
    <w:rsid w:val="002F3376"/>
    <w:rsid w:val="00301A1C"/>
    <w:rsid w:val="00305FCA"/>
    <w:rsid w:val="0031486E"/>
    <w:rsid w:val="00320206"/>
    <w:rsid w:val="003314C1"/>
    <w:rsid w:val="00343A08"/>
    <w:rsid w:val="003520EC"/>
    <w:rsid w:val="00357E12"/>
    <w:rsid w:val="00362ED7"/>
    <w:rsid w:val="00377D40"/>
    <w:rsid w:val="00380D21"/>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40DF6"/>
    <w:rsid w:val="00441C17"/>
    <w:rsid w:val="00446E24"/>
    <w:rsid w:val="0044741C"/>
    <w:rsid w:val="004521B3"/>
    <w:rsid w:val="00455F39"/>
    <w:rsid w:val="004567C0"/>
    <w:rsid w:val="00456AFB"/>
    <w:rsid w:val="0047037D"/>
    <w:rsid w:val="00470CAE"/>
    <w:rsid w:val="00475EE6"/>
    <w:rsid w:val="004776E9"/>
    <w:rsid w:val="00482903"/>
    <w:rsid w:val="00487EF1"/>
    <w:rsid w:val="004D2D2D"/>
    <w:rsid w:val="004D458D"/>
    <w:rsid w:val="004F0BE2"/>
    <w:rsid w:val="004F43A3"/>
    <w:rsid w:val="00502B0A"/>
    <w:rsid w:val="00525BB3"/>
    <w:rsid w:val="005356E2"/>
    <w:rsid w:val="00544B00"/>
    <w:rsid w:val="00550DA4"/>
    <w:rsid w:val="00552C5E"/>
    <w:rsid w:val="005534B7"/>
    <w:rsid w:val="005651C7"/>
    <w:rsid w:val="00566732"/>
    <w:rsid w:val="00577089"/>
    <w:rsid w:val="0057724B"/>
    <w:rsid w:val="005812DC"/>
    <w:rsid w:val="00581A36"/>
    <w:rsid w:val="00586A9D"/>
    <w:rsid w:val="00593184"/>
    <w:rsid w:val="005A0C96"/>
    <w:rsid w:val="005A5A35"/>
    <w:rsid w:val="005A6ADC"/>
    <w:rsid w:val="005A7D26"/>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4BB7"/>
    <w:rsid w:val="006875A1"/>
    <w:rsid w:val="0069541B"/>
    <w:rsid w:val="006A345A"/>
    <w:rsid w:val="006B6124"/>
    <w:rsid w:val="006C0D52"/>
    <w:rsid w:val="006C395A"/>
    <w:rsid w:val="006E06F9"/>
    <w:rsid w:val="006E44BE"/>
    <w:rsid w:val="006F1F0C"/>
    <w:rsid w:val="0070689F"/>
    <w:rsid w:val="00715923"/>
    <w:rsid w:val="0072700E"/>
    <w:rsid w:val="00747315"/>
    <w:rsid w:val="007475B0"/>
    <w:rsid w:val="0075597E"/>
    <w:rsid w:val="00755BED"/>
    <w:rsid w:val="0076305C"/>
    <w:rsid w:val="00781C1A"/>
    <w:rsid w:val="007A0DBE"/>
    <w:rsid w:val="007A4E27"/>
    <w:rsid w:val="007B2C40"/>
    <w:rsid w:val="007C0619"/>
    <w:rsid w:val="007C099B"/>
    <w:rsid w:val="007C0BF5"/>
    <w:rsid w:val="007D359F"/>
    <w:rsid w:val="007E1203"/>
    <w:rsid w:val="007E2F87"/>
    <w:rsid w:val="007E3CB7"/>
    <w:rsid w:val="007E6044"/>
    <w:rsid w:val="007F6DDE"/>
    <w:rsid w:val="00804046"/>
    <w:rsid w:val="008057C4"/>
    <w:rsid w:val="00810636"/>
    <w:rsid w:val="008138CB"/>
    <w:rsid w:val="00821AC5"/>
    <w:rsid w:val="00834DE5"/>
    <w:rsid w:val="00836236"/>
    <w:rsid w:val="0086025D"/>
    <w:rsid w:val="00864A3C"/>
    <w:rsid w:val="0086750E"/>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905428"/>
    <w:rsid w:val="00914E91"/>
    <w:rsid w:val="009150D9"/>
    <w:rsid w:val="0092248B"/>
    <w:rsid w:val="00935E65"/>
    <w:rsid w:val="00936FB0"/>
    <w:rsid w:val="00941B60"/>
    <w:rsid w:val="00956D41"/>
    <w:rsid w:val="00962018"/>
    <w:rsid w:val="00974463"/>
    <w:rsid w:val="00981EFF"/>
    <w:rsid w:val="00991610"/>
    <w:rsid w:val="009A69FA"/>
    <w:rsid w:val="009A7D6A"/>
    <w:rsid w:val="009B3B11"/>
    <w:rsid w:val="009C4761"/>
    <w:rsid w:val="009C7A56"/>
    <w:rsid w:val="009F1DA7"/>
    <w:rsid w:val="009F7D7F"/>
    <w:rsid w:val="00A000EF"/>
    <w:rsid w:val="00A03CBF"/>
    <w:rsid w:val="00A21F7B"/>
    <w:rsid w:val="00A271B6"/>
    <w:rsid w:val="00A41FF7"/>
    <w:rsid w:val="00A4495A"/>
    <w:rsid w:val="00A53B21"/>
    <w:rsid w:val="00A73855"/>
    <w:rsid w:val="00A74B49"/>
    <w:rsid w:val="00A81AE5"/>
    <w:rsid w:val="00A8236C"/>
    <w:rsid w:val="00A930AB"/>
    <w:rsid w:val="00A96B98"/>
    <w:rsid w:val="00AA4B78"/>
    <w:rsid w:val="00AA717C"/>
    <w:rsid w:val="00AB38FA"/>
    <w:rsid w:val="00AE15AA"/>
    <w:rsid w:val="00AE5664"/>
    <w:rsid w:val="00AE5AFF"/>
    <w:rsid w:val="00AF1FA3"/>
    <w:rsid w:val="00B0289A"/>
    <w:rsid w:val="00B1262B"/>
    <w:rsid w:val="00B13BAB"/>
    <w:rsid w:val="00B44C24"/>
    <w:rsid w:val="00B54FB7"/>
    <w:rsid w:val="00B83199"/>
    <w:rsid w:val="00B92576"/>
    <w:rsid w:val="00B92B7B"/>
    <w:rsid w:val="00B9520A"/>
    <w:rsid w:val="00BA0B5F"/>
    <w:rsid w:val="00BA0BB3"/>
    <w:rsid w:val="00BB0ACE"/>
    <w:rsid w:val="00BB66F3"/>
    <w:rsid w:val="00BC008A"/>
    <w:rsid w:val="00BC5B75"/>
    <w:rsid w:val="00BD12A4"/>
    <w:rsid w:val="00BD52BB"/>
    <w:rsid w:val="00BF5982"/>
    <w:rsid w:val="00BF6365"/>
    <w:rsid w:val="00C06844"/>
    <w:rsid w:val="00C106ED"/>
    <w:rsid w:val="00C16C25"/>
    <w:rsid w:val="00C20541"/>
    <w:rsid w:val="00C2255E"/>
    <w:rsid w:val="00C3286E"/>
    <w:rsid w:val="00C363CC"/>
    <w:rsid w:val="00C45CCE"/>
    <w:rsid w:val="00C527DB"/>
    <w:rsid w:val="00C57E03"/>
    <w:rsid w:val="00C63A02"/>
    <w:rsid w:val="00C651D2"/>
    <w:rsid w:val="00C758C6"/>
    <w:rsid w:val="00C87249"/>
    <w:rsid w:val="00CA40C2"/>
    <w:rsid w:val="00CB305A"/>
    <w:rsid w:val="00CC29A8"/>
    <w:rsid w:val="00CC31E9"/>
    <w:rsid w:val="00CC46F2"/>
    <w:rsid w:val="00CC69F0"/>
    <w:rsid w:val="00CD17A1"/>
    <w:rsid w:val="00CD1B3E"/>
    <w:rsid w:val="00CD4470"/>
    <w:rsid w:val="00CD5006"/>
    <w:rsid w:val="00CE10FD"/>
    <w:rsid w:val="00CF1F18"/>
    <w:rsid w:val="00D024F1"/>
    <w:rsid w:val="00D14F43"/>
    <w:rsid w:val="00D34404"/>
    <w:rsid w:val="00D41237"/>
    <w:rsid w:val="00D4375C"/>
    <w:rsid w:val="00D5154E"/>
    <w:rsid w:val="00D52B48"/>
    <w:rsid w:val="00D643C8"/>
    <w:rsid w:val="00D645CF"/>
    <w:rsid w:val="00D9234D"/>
    <w:rsid w:val="00DA4FC3"/>
    <w:rsid w:val="00DC42EB"/>
    <w:rsid w:val="00DC7AD2"/>
    <w:rsid w:val="00DE43A2"/>
    <w:rsid w:val="00DE6F94"/>
    <w:rsid w:val="00DE705F"/>
    <w:rsid w:val="00DF6C13"/>
    <w:rsid w:val="00DF7A69"/>
    <w:rsid w:val="00E02555"/>
    <w:rsid w:val="00E460D7"/>
    <w:rsid w:val="00E52B02"/>
    <w:rsid w:val="00E5597A"/>
    <w:rsid w:val="00E56F5E"/>
    <w:rsid w:val="00E6619F"/>
    <w:rsid w:val="00E66D23"/>
    <w:rsid w:val="00E670C0"/>
    <w:rsid w:val="00E819EF"/>
    <w:rsid w:val="00E95A6F"/>
    <w:rsid w:val="00EA1749"/>
    <w:rsid w:val="00EB004A"/>
    <w:rsid w:val="00EB1407"/>
    <w:rsid w:val="00EB53A2"/>
    <w:rsid w:val="00EB5A7B"/>
    <w:rsid w:val="00EB7DDA"/>
    <w:rsid w:val="00EC01D7"/>
    <w:rsid w:val="00EC5C21"/>
    <w:rsid w:val="00ED4D27"/>
    <w:rsid w:val="00EF140B"/>
    <w:rsid w:val="00EF6757"/>
    <w:rsid w:val="00F040B1"/>
    <w:rsid w:val="00F15E32"/>
    <w:rsid w:val="00F57F30"/>
    <w:rsid w:val="00F6394F"/>
    <w:rsid w:val="00F71C54"/>
    <w:rsid w:val="00F872C2"/>
    <w:rsid w:val="00FB04CE"/>
    <w:rsid w:val="00FC644E"/>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0EF"/>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A000EF"/>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A000EF"/>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A000EF"/>
    <w:pPr>
      <w:spacing w:before="260"/>
      <w:ind w:firstLine="0"/>
      <w:outlineLvl w:val="2"/>
    </w:pPr>
    <w:rPr>
      <w:rFonts w:eastAsia="Times New Roman"/>
      <w:bCs/>
    </w:rPr>
  </w:style>
  <w:style w:type="paragraph" w:styleId="Heading4">
    <w:name w:val="heading 4"/>
    <w:basedOn w:val="Normal"/>
    <w:next w:val="Normal"/>
    <w:link w:val="Heading4Char"/>
    <w:qFormat/>
    <w:rsid w:val="00A000EF"/>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spacing w:before="240" w:after="60"/>
      <w:outlineLvl w:val="6"/>
    </w:pPr>
  </w:style>
  <w:style w:type="paragraph" w:styleId="Heading8">
    <w:name w:val="heading 8"/>
    <w:basedOn w:val="Normal"/>
    <w:next w:val="Normal"/>
    <w:link w:val="Heading8Char"/>
    <w:uiPriority w:val="9"/>
    <w:semiHidden/>
    <w:unhideWhenUsed/>
    <w:qFormat/>
    <w:rsid w:val="00AA717C"/>
    <w:pPr>
      <w:spacing w:before="240" w:after="60"/>
      <w:outlineLvl w:val="7"/>
    </w:pPr>
    <w:rPr>
      <w:i/>
      <w:iCs/>
    </w:rPr>
  </w:style>
  <w:style w:type="paragraph" w:styleId="Heading9">
    <w:name w:val="heading 9"/>
    <w:basedOn w:val="Normal"/>
    <w:next w:val="Normal"/>
    <w:link w:val="Heading9Char"/>
    <w:uiPriority w:val="9"/>
    <w:semiHidden/>
    <w:unhideWhenUsed/>
    <w:qFormat/>
    <w:rsid w:val="00AA717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A000E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A000EF"/>
  </w:style>
  <w:style w:type="character" w:customStyle="1" w:styleId="Heading2Char">
    <w:name w:val="Heading 2 Char"/>
    <w:basedOn w:val="DefaultParagraphFont"/>
    <w:link w:val="Heading2"/>
    <w:rsid w:val="00A000EF"/>
    <w:rPr>
      <w:rFonts w:ascii="Times New Roman" w:eastAsia="Times New Roman" w:hAnsi="Times New Roman"/>
      <w:bCs/>
      <w:i/>
      <w:color w:val="000000"/>
      <w:sz w:val="24"/>
      <w:szCs w:val="26"/>
      <w:lang w:bidi="ar-SA"/>
    </w:rPr>
  </w:style>
  <w:style w:type="paragraph" w:styleId="Title">
    <w:name w:val="Title"/>
    <w:next w:val="Author"/>
    <w:link w:val="TitleChar"/>
    <w:qFormat/>
    <w:rsid w:val="00A000EF"/>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A000EF"/>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A000EF"/>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A000EF"/>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A000EF"/>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A000EF"/>
    <w:pPr>
      <w:spacing w:line="180" w:lineRule="atLeast"/>
    </w:pPr>
    <w:rPr>
      <w:sz w:val="16"/>
    </w:rPr>
  </w:style>
  <w:style w:type="character" w:customStyle="1" w:styleId="FootnoteTextChar">
    <w:name w:val="Footnote Text Char"/>
    <w:basedOn w:val="DefaultParagraphFont"/>
    <w:link w:val="FootnoteText"/>
    <w:semiHidden/>
    <w:rsid w:val="00A000EF"/>
    <w:rPr>
      <w:rFonts w:ascii="Times New Roman" w:eastAsia="Calisto MT" w:hAnsi="Times New Roman"/>
      <w:sz w:val="16"/>
      <w:szCs w:val="24"/>
      <w:lang w:bidi="ar-SA"/>
    </w:rPr>
  </w:style>
  <w:style w:type="character" w:styleId="FootnoteReference">
    <w:name w:val="footnote reference"/>
    <w:basedOn w:val="DefaultParagraphFont"/>
    <w:semiHidden/>
    <w:rsid w:val="00A000EF"/>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A000EF"/>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A000EF"/>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A000EF"/>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A000EF"/>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A000EF"/>
    <w:pPr>
      <w:ind w:firstLine="0"/>
    </w:pPr>
  </w:style>
  <w:style w:type="paragraph" w:customStyle="1" w:styleId="Contact">
    <w:name w:val="Contact"/>
    <w:next w:val="Normal"/>
    <w:rsid w:val="00A000EF"/>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A000EF"/>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A000EF"/>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A000EF"/>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A000EF"/>
    <w:pPr>
      <w:spacing w:after="120"/>
      <w:ind w:left="720" w:right="720" w:firstLine="0"/>
      <w:jc w:val="right"/>
    </w:pPr>
  </w:style>
  <w:style w:type="paragraph" w:customStyle="1" w:styleId="FigureTitle">
    <w:name w:val="Figure Title"/>
    <w:next w:val="Normal"/>
    <w:rsid w:val="00A000EF"/>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A000EF"/>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A000EF"/>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A000EF"/>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A000EF"/>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A000EF"/>
    <w:pPr>
      <w:numPr>
        <w:numId w:val="27"/>
      </w:numPr>
      <w:contextualSpacing/>
    </w:pPr>
  </w:style>
  <w:style w:type="paragraph" w:styleId="ListNumber">
    <w:name w:val="List Number"/>
    <w:basedOn w:val="Normal"/>
    <w:next w:val="Normal"/>
    <w:rsid w:val="00A000EF"/>
    <w:pPr>
      <w:numPr>
        <w:numId w:val="28"/>
      </w:numPr>
      <w:tabs>
        <w:tab w:val="clear" w:pos="1195"/>
      </w:tabs>
      <w:spacing w:after="260"/>
      <w:ind w:left="1555" w:hanging="720"/>
    </w:pPr>
  </w:style>
  <w:style w:type="paragraph" w:customStyle="1" w:styleId="FigurePlaceholder">
    <w:name w:val="Figure Placeholder"/>
    <w:basedOn w:val="Normal"/>
    <w:next w:val="Normal"/>
    <w:qFormat/>
    <w:rsid w:val="00A000EF"/>
    <w:pPr>
      <w:spacing w:before="260" w:after="260"/>
      <w:jc w:val="center"/>
    </w:pPr>
  </w:style>
  <w:style w:type="character" w:customStyle="1" w:styleId="TableFootLetter">
    <w:name w:val="Table FootLetter"/>
    <w:basedOn w:val="DefaultParagraphFont"/>
    <w:rsid w:val="00A000EF"/>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A000EF"/>
  </w:style>
  <w:style w:type="paragraph" w:customStyle="1" w:styleId="TablePlaceholder">
    <w:name w:val="Table Placeholder"/>
    <w:basedOn w:val="FigurePlaceholder"/>
    <w:next w:val="NoParagraphStyle"/>
    <w:qFormat/>
    <w:rsid w:val="00A000EF"/>
  </w:style>
  <w:style w:type="paragraph" w:styleId="DocumentMap">
    <w:name w:val="Document Map"/>
    <w:basedOn w:val="Normal"/>
    <w:link w:val="DocumentMapChar"/>
    <w:uiPriority w:val="99"/>
    <w:semiHidden/>
    <w:rsid w:val="00A000EF"/>
    <w:rPr>
      <w:rFonts w:ascii="Lucida Grande" w:hAnsi="Lucida Grande"/>
    </w:rPr>
  </w:style>
  <w:style w:type="character" w:customStyle="1" w:styleId="DocumentMapChar">
    <w:name w:val="Document Map Char"/>
    <w:basedOn w:val="DefaultParagraphFont"/>
    <w:link w:val="DocumentMap"/>
    <w:uiPriority w:val="99"/>
    <w:semiHidden/>
    <w:rsid w:val="00A000EF"/>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A000EF"/>
    <w:rPr>
      <w:sz w:val="18"/>
      <w:szCs w:val="18"/>
    </w:rPr>
  </w:style>
  <w:style w:type="paragraph" w:styleId="CommentText">
    <w:name w:val="annotation text"/>
    <w:basedOn w:val="Normal"/>
    <w:link w:val="CommentTextChar"/>
    <w:uiPriority w:val="99"/>
    <w:semiHidden/>
    <w:rsid w:val="00A000EF"/>
  </w:style>
  <w:style w:type="character" w:customStyle="1" w:styleId="CommentTextChar">
    <w:name w:val="Comment Text Char"/>
    <w:basedOn w:val="DefaultParagraphFont"/>
    <w:link w:val="CommentText"/>
    <w:uiPriority w:val="99"/>
    <w:semiHidden/>
    <w:rsid w:val="00A000EF"/>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A000EF"/>
    <w:rPr>
      <w:b/>
      <w:bCs/>
      <w:sz w:val="20"/>
      <w:szCs w:val="20"/>
    </w:rPr>
  </w:style>
  <w:style w:type="character" w:customStyle="1" w:styleId="CommentSubjectChar">
    <w:name w:val="Comment Subject Char"/>
    <w:basedOn w:val="CommentTextChar"/>
    <w:link w:val="CommentSubject"/>
    <w:uiPriority w:val="99"/>
    <w:semiHidden/>
    <w:rsid w:val="00A000EF"/>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A000E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000EF"/>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190</TotalTime>
  <Pages>20</Pages>
  <Words>4935</Words>
  <Characters>28132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23</cp:revision>
  <dcterms:created xsi:type="dcterms:W3CDTF">2023-10-28T17:41:00Z</dcterms:created>
  <dcterms:modified xsi:type="dcterms:W3CDTF">2023-11-22T17:57:00Z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id="EZ2nyO5c"/&gt;&lt;style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