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526A" w14:textId="387C2FA8" w:rsidR="00F033C8" w:rsidRDefault="00F033C8" w:rsidP="00F033C8">
      <w:pPr>
        <w:pStyle w:val="Title"/>
        <w:spacing w:line="480" w:lineRule="auto"/>
      </w:pPr>
      <w:r>
        <w:t>The Impact of Central Clearing on the Interest Rate Swaps Market</w:t>
      </w:r>
    </w:p>
    <w:p w14:paraId="46D64670" w14:textId="23D3E692" w:rsidR="00603476" w:rsidRDefault="00603476" w:rsidP="00F033C8">
      <w:pPr>
        <w:pStyle w:val="Heading1"/>
        <w:spacing w:line="240" w:lineRule="auto"/>
      </w:pPr>
      <w:r>
        <w:t>Introduction</w:t>
      </w:r>
    </w:p>
    <w:p w14:paraId="2594D601" w14:textId="41472B7B" w:rsidR="00603476" w:rsidRDefault="00603476" w:rsidP="00F033C8">
      <w:pPr>
        <w:pStyle w:val="Heading1"/>
        <w:spacing w:line="240" w:lineRule="auto"/>
      </w:pPr>
      <w:r>
        <w:t>Background</w:t>
      </w:r>
    </w:p>
    <w:p w14:paraId="2E5F0752" w14:textId="2CF35401" w:rsidR="00603476" w:rsidRDefault="00603476" w:rsidP="00F033C8">
      <w:pPr>
        <w:pStyle w:val="Heading2"/>
        <w:spacing w:line="240" w:lineRule="auto"/>
      </w:pPr>
      <w:r>
        <w:t>Interest Rate Swaps</w:t>
      </w:r>
    </w:p>
    <w:p w14:paraId="74A00172" w14:textId="021ADBF3" w:rsidR="00603476" w:rsidRDefault="00603476" w:rsidP="00F033C8">
      <w:pPr>
        <w:pStyle w:val="Heading2"/>
        <w:spacing w:line="240" w:lineRule="auto"/>
      </w:pPr>
      <w:r>
        <w:t>Clearing Houses</w:t>
      </w:r>
    </w:p>
    <w:p w14:paraId="267BB522" w14:textId="188FB5B8" w:rsidR="00603476" w:rsidRDefault="00603476" w:rsidP="00F033C8">
      <w:pPr>
        <w:pStyle w:val="Heading2"/>
        <w:spacing w:line="240" w:lineRule="auto"/>
      </w:pPr>
      <w:r>
        <w:t>Regulatory Background</w:t>
      </w:r>
    </w:p>
    <w:p w14:paraId="5FEDC273" w14:textId="514162C1" w:rsidR="00603476" w:rsidRDefault="00603476" w:rsidP="00F033C8">
      <w:pPr>
        <w:pStyle w:val="Heading3"/>
        <w:spacing w:line="240" w:lineRule="auto"/>
      </w:pPr>
      <w:r>
        <w:t>US Context</w:t>
      </w:r>
    </w:p>
    <w:p w14:paraId="45D4EA87" w14:textId="5C09C849" w:rsidR="00603476" w:rsidRPr="00603476" w:rsidRDefault="00603476" w:rsidP="00F033C8">
      <w:pPr>
        <w:pStyle w:val="Heading3"/>
        <w:spacing w:line="240" w:lineRule="auto"/>
      </w:pPr>
      <w:r>
        <w:t>International Context</w:t>
      </w:r>
    </w:p>
    <w:p w14:paraId="7CFE5821" w14:textId="0424B1D1" w:rsidR="00603476" w:rsidRDefault="00603476" w:rsidP="00F033C8">
      <w:pPr>
        <w:pStyle w:val="Heading1"/>
        <w:spacing w:line="240" w:lineRule="auto"/>
      </w:pPr>
      <w:r>
        <w:t>Theory</w:t>
      </w:r>
    </w:p>
    <w:p w14:paraId="31B486B4" w14:textId="2BD7F7D2" w:rsidR="00603476" w:rsidRDefault="00603476" w:rsidP="00F033C8">
      <w:pPr>
        <w:pStyle w:val="Heading2"/>
        <w:spacing w:line="240" w:lineRule="auto"/>
      </w:pPr>
      <w:r>
        <w:t>Pricing of derivatives under counterparty risk</w:t>
      </w:r>
    </w:p>
    <w:p w14:paraId="320A81C7" w14:textId="2F46EC65" w:rsidR="00603476" w:rsidRDefault="00603476" w:rsidP="00F033C8">
      <w:pPr>
        <w:pStyle w:val="Heading2"/>
        <w:spacing w:line="240" w:lineRule="auto"/>
      </w:pPr>
      <w:r>
        <w:t>Transmission of risk under bilateral settlement vs. central clearing</w:t>
      </w:r>
    </w:p>
    <w:p w14:paraId="2B4E6331" w14:textId="0520F660" w:rsidR="00603476" w:rsidRDefault="00603476" w:rsidP="00F033C8">
      <w:pPr>
        <w:pStyle w:val="Heading3"/>
        <w:spacing w:line="240" w:lineRule="auto"/>
      </w:pPr>
      <w:r>
        <w:t>Collateral demand and netting effects</w:t>
      </w:r>
    </w:p>
    <w:p w14:paraId="60276D31" w14:textId="1C44E671" w:rsidR="00603476" w:rsidRDefault="00603476" w:rsidP="00F033C8">
      <w:pPr>
        <w:pStyle w:val="Heading3"/>
        <w:spacing w:line="240" w:lineRule="auto"/>
      </w:pPr>
      <w:r>
        <w:t>Mutualization of risk</w:t>
      </w:r>
    </w:p>
    <w:p w14:paraId="074D0065" w14:textId="08160150" w:rsidR="00603476" w:rsidRDefault="00603476" w:rsidP="00F033C8">
      <w:pPr>
        <w:pStyle w:val="Heading3"/>
        <w:spacing w:line="240" w:lineRule="auto"/>
      </w:pPr>
      <w:r>
        <w:t>Other risk management practices</w:t>
      </w:r>
    </w:p>
    <w:p w14:paraId="71EFF350" w14:textId="5EB68B03" w:rsidR="00603476" w:rsidRDefault="00603476" w:rsidP="00F033C8">
      <w:pPr>
        <w:pStyle w:val="Heading2"/>
        <w:spacing w:line="240" w:lineRule="auto"/>
      </w:pPr>
      <w:r>
        <w:t>Price volatility</w:t>
      </w:r>
    </w:p>
    <w:p w14:paraId="7182FBB9" w14:textId="192D6EC1" w:rsidR="00603476" w:rsidRPr="00603476" w:rsidRDefault="00603476" w:rsidP="00F033C8">
      <w:pPr>
        <w:pStyle w:val="Heading3"/>
        <w:spacing w:line="240" w:lineRule="auto"/>
      </w:pPr>
      <w:r>
        <w:lastRenderedPageBreak/>
        <w:t xml:space="preserve">Bank-run type </w:t>
      </w:r>
      <w:proofErr w:type="gramStart"/>
      <w:r>
        <w:t>models?/</w:t>
      </w:r>
      <w:proofErr w:type="gramEnd"/>
      <w:r>
        <w:t>Fire-sale of assets?</w:t>
      </w:r>
    </w:p>
    <w:p w14:paraId="4167224D" w14:textId="385B7307" w:rsidR="00603476" w:rsidRDefault="00603476" w:rsidP="00F033C8">
      <w:pPr>
        <w:pStyle w:val="Heading2"/>
        <w:spacing w:line="240" w:lineRule="auto"/>
      </w:pPr>
      <w:r>
        <w:t>Liquidity</w:t>
      </w:r>
    </w:p>
    <w:p w14:paraId="10061A05" w14:textId="02889CF1" w:rsidR="00603476" w:rsidRPr="00603476" w:rsidRDefault="00603476" w:rsidP="00F033C8">
      <w:pPr>
        <w:pStyle w:val="Heading3"/>
        <w:spacing w:line="240" w:lineRule="auto"/>
      </w:pPr>
      <w:r>
        <w:t>Theories of derivatives demand and supply</w:t>
      </w:r>
    </w:p>
    <w:p w14:paraId="666B8C95" w14:textId="3407B19A" w:rsidR="00603476" w:rsidRDefault="00603476" w:rsidP="00F033C8">
      <w:pPr>
        <w:pStyle w:val="Heading1"/>
        <w:spacing w:line="240" w:lineRule="auto"/>
      </w:pPr>
      <w:r>
        <w:t>Identification Strategy</w:t>
      </w:r>
    </w:p>
    <w:p w14:paraId="08DE4FAD" w14:textId="05361ABC" w:rsidR="00F033C8" w:rsidRDefault="00F033C8" w:rsidP="00F033C8">
      <w:pPr>
        <w:pStyle w:val="Heading2"/>
        <w:spacing w:line="240" w:lineRule="auto"/>
      </w:pPr>
      <w:r>
        <w:t>Info-Metrics</w:t>
      </w:r>
    </w:p>
    <w:p w14:paraId="0827EEBF" w14:textId="059A3B37" w:rsidR="00603476" w:rsidRDefault="00603476" w:rsidP="00F033C8">
      <w:pPr>
        <w:pStyle w:val="Heading2"/>
        <w:spacing w:line="240" w:lineRule="auto"/>
      </w:pPr>
      <w:r>
        <w:t>Assumptions</w:t>
      </w:r>
    </w:p>
    <w:p w14:paraId="06D32A83" w14:textId="496170DA" w:rsidR="00603476" w:rsidRDefault="00603476" w:rsidP="00F033C8">
      <w:pPr>
        <w:pStyle w:val="Heading2"/>
        <w:spacing w:line="240" w:lineRule="auto"/>
      </w:pPr>
      <w:r>
        <w:t>Pre-trends</w:t>
      </w:r>
    </w:p>
    <w:p w14:paraId="5CAB47BB" w14:textId="4DBF2AB3" w:rsidR="00603476" w:rsidRDefault="00603476" w:rsidP="00F033C8">
      <w:pPr>
        <w:pStyle w:val="Heading2"/>
        <w:spacing w:line="240" w:lineRule="auto"/>
      </w:pPr>
      <w:r>
        <w:t>Placebo treatments</w:t>
      </w:r>
    </w:p>
    <w:p w14:paraId="3FFF8DC7" w14:textId="026DD550" w:rsidR="00F033C8" w:rsidRPr="00F033C8" w:rsidRDefault="00F033C8" w:rsidP="00F033C8">
      <w:pPr>
        <w:pStyle w:val="Heading2"/>
        <w:spacing w:line="240" w:lineRule="auto"/>
      </w:pPr>
      <w:r>
        <w:t>Behavior during times of financial stress</w:t>
      </w:r>
    </w:p>
    <w:p w14:paraId="60963FCA" w14:textId="097D1B25" w:rsidR="00603476" w:rsidRDefault="00603476" w:rsidP="00F033C8">
      <w:pPr>
        <w:pStyle w:val="Heading1"/>
        <w:spacing w:line="240" w:lineRule="auto"/>
      </w:pPr>
      <w:r>
        <w:t>Data</w:t>
      </w:r>
    </w:p>
    <w:p w14:paraId="3DF052A2" w14:textId="77777777" w:rsidR="00F033C8" w:rsidRDefault="00F033C8" w:rsidP="00F033C8">
      <w:pPr>
        <w:pStyle w:val="Heading2"/>
        <w:spacing w:line="240" w:lineRule="auto"/>
      </w:pPr>
      <w:r>
        <w:t xml:space="preserve">Source of data and time period </w:t>
      </w:r>
      <w:proofErr w:type="gramStart"/>
      <w:r>
        <w:t>studied</w:t>
      </w:r>
      <w:proofErr w:type="gramEnd"/>
    </w:p>
    <w:p w14:paraId="05357E24" w14:textId="63D5B694" w:rsidR="00F033C8" w:rsidRDefault="00F033C8" w:rsidP="00F033C8">
      <w:pPr>
        <w:pStyle w:val="Heading2"/>
        <w:spacing w:line="240" w:lineRule="auto"/>
      </w:pPr>
      <w:r>
        <w:t>Descriptive stats</w:t>
      </w:r>
    </w:p>
    <w:p w14:paraId="091B9E81" w14:textId="04301960" w:rsidR="00F033C8" w:rsidRPr="00F033C8" w:rsidRDefault="00F033C8" w:rsidP="00F033C8">
      <w:pPr>
        <w:pStyle w:val="Heading2"/>
        <w:spacing w:line="240" w:lineRule="auto"/>
      </w:pPr>
      <w:r>
        <w:t xml:space="preserve">Excluded/filtered </w:t>
      </w:r>
      <w:proofErr w:type="gramStart"/>
      <w:r>
        <w:t>data</w:t>
      </w:r>
      <w:proofErr w:type="gramEnd"/>
    </w:p>
    <w:p w14:paraId="1A368D2B" w14:textId="12890A92" w:rsidR="00603476" w:rsidRDefault="00603476" w:rsidP="00F033C8">
      <w:pPr>
        <w:pStyle w:val="Heading1"/>
        <w:spacing w:line="240" w:lineRule="auto"/>
      </w:pPr>
      <w:r>
        <w:t>Results</w:t>
      </w:r>
    </w:p>
    <w:p w14:paraId="6F2E2DAE" w14:textId="4E0F03AF" w:rsidR="00F033C8" w:rsidRDefault="00F033C8" w:rsidP="00F033C8">
      <w:pPr>
        <w:pStyle w:val="Heading2"/>
        <w:spacing w:line="240" w:lineRule="auto"/>
      </w:pPr>
      <w:r>
        <w:t>Prices</w:t>
      </w:r>
    </w:p>
    <w:p w14:paraId="630F5FEF" w14:textId="74565D09" w:rsidR="00F033C8" w:rsidRDefault="00F033C8" w:rsidP="00F033C8">
      <w:pPr>
        <w:pStyle w:val="Heading2"/>
        <w:spacing w:line="240" w:lineRule="auto"/>
      </w:pPr>
      <w:r>
        <w:t>Volatility</w:t>
      </w:r>
    </w:p>
    <w:p w14:paraId="09F59C78" w14:textId="78DB06A1" w:rsidR="00F033C8" w:rsidRPr="00F033C8" w:rsidRDefault="00F033C8" w:rsidP="00F033C8">
      <w:pPr>
        <w:pStyle w:val="Heading2"/>
        <w:spacing w:line="240" w:lineRule="auto"/>
      </w:pPr>
      <w:r>
        <w:t>Liquidity</w:t>
      </w:r>
    </w:p>
    <w:p w14:paraId="47A64301" w14:textId="23E853A5" w:rsidR="00603476" w:rsidRPr="00603476" w:rsidRDefault="00603476" w:rsidP="00F033C8">
      <w:pPr>
        <w:pStyle w:val="Heading1"/>
        <w:spacing w:line="240" w:lineRule="auto"/>
      </w:pPr>
      <w:r>
        <w:t>Conclusion</w:t>
      </w:r>
    </w:p>
    <w:p w14:paraId="475F9666" w14:textId="77777777" w:rsidR="00603476" w:rsidRPr="00603476" w:rsidRDefault="00603476" w:rsidP="00F033C8">
      <w:pPr>
        <w:spacing w:line="240" w:lineRule="auto"/>
      </w:pPr>
    </w:p>
    <w:sectPr w:rsidR="00603476" w:rsidRPr="0060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90D6C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7826145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899562191">
    <w:abstractNumId w:val="0"/>
  </w:num>
  <w:num w:numId="2" w16cid:durableId="921716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76"/>
    <w:rsid w:val="00391185"/>
    <w:rsid w:val="003D1958"/>
    <w:rsid w:val="00603476"/>
    <w:rsid w:val="009B1E57"/>
    <w:rsid w:val="00D50F5D"/>
    <w:rsid w:val="00F033C8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7FEA"/>
  <w15:chartTrackingRefBased/>
  <w15:docId w15:val="{CE1213EF-EDA7-4242-84A5-B2BB2EFC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3C8"/>
  </w:style>
  <w:style w:type="paragraph" w:styleId="Heading1">
    <w:name w:val="heading 1"/>
    <w:basedOn w:val="Normal"/>
    <w:next w:val="Normal"/>
    <w:link w:val="Heading1Char"/>
    <w:uiPriority w:val="9"/>
    <w:qFormat/>
    <w:rsid w:val="00F033C8"/>
    <w:pPr>
      <w:numPr>
        <w:numId w:val="2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3C8"/>
    <w:pPr>
      <w:numPr>
        <w:ilvl w:val="1"/>
        <w:numId w:val="2"/>
      </w:num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3C8"/>
    <w:pPr>
      <w:numPr>
        <w:ilvl w:val="2"/>
        <w:numId w:val="2"/>
      </w:num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3C8"/>
    <w:pPr>
      <w:numPr>
        <w:ilvl w:val="3"/>
        <w:numId w:val="2"/>
      </w:num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3C8"/>
    <w:pPr>
      <w:numPr>
        <w:ilvl w:val="4"/>
        <w:numId w:val="2"/>
      </w:num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3C8"/>
    <w:pPr>
      <w:numPr>
        <w:ilvl w:val="5"/>
        <w:numId w:val="2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3C8"/>
    <w:pPr>
      <w:numPr>
        <w:ilvl w:val="6"/>
        <w:numId w:val="2"/>
      </w:num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3C8"/>
    <w:pPr>
      <w:numPr>
        <w:ilvl w:val="7"/>
        <w:numId w:val="2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3C8"/>
    <w:pPr>
      <w:numPr>
        <w:ilvl w:val="8"/>
        <w:numId w:val="2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3C8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3C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33C8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3C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3C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3C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3C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3C8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3C8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F033C8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F033C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3C8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33C8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F033C8"/>
    <w:rPr>
      <w:b/>
      <w:bCs/>
      <w:spacing w:val="0"/>
    </w:rPr>
  </w:style>
  <w:style w:type="character" w:styleId="Emphasis">
    <w:name w:val="Emphasis"/>
    <w:uiPriority w:val="20"/>
    <w:qFormat/>
    <w:rsid w:val="00F033C8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F033C8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F033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33C8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033C8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3C8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3C8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F033C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033C8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F033C8"/>
    <w:rPr>
      <w:smallCaps/>
    </w:rPr>
  </w:style>
  <w:style w:type="character" w:styleId="IntenseReference">
    <w:name w:val="Intense Reference"/>
    <w:uiPriority w:val="32"/>
    <w:qFormat/>
    <w:rsid w:val="00F033C8"/>
    <w:rPr>
      <w:b/>
      <w:bCs/>
      <w:smallCaps/>
      <w:color w:val="auto"/>
    </w:rPr>
  </w:style>
  <w:style w:type="character" w:styleId="BookTitle">
    <w:name w:val="Book Title"/>
    <w:uiPriority w:val="33"/>
    <w:qFormat/>
    <w:rsid w:val="00F033C8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3C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033C8"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1</cp:revision>
  <cp:lastPrinted>2023-05-18T12:37:00Z</cp:lastPrinted>
  <dcterms:created xsi:type="dcterms:W3CDTF">2023-05-18T12:15:00Z</dcterms:created>
  <dcterms:modified xsi:type="dcterms:W3CDTF">2023-05-18T13:16:00Z</dcterms:modified>
</cp:coreProperties>
</file>