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79B5" w:rsidRPr="002F2808" w:rsidRDefault="009F683A" w:rsidP="005C5EB3">
      <w:pPr>
        <w:spacing w:after="0" w:line="240" w:lineRule="auto"/>
        <w:contextualSpacing/>
        <w:jc w:val="center"/>
        <w:rPr>
          <w:rFonts w:ascii="Times New Roman" w:hAnsi="Times New Roman" w:cs="Times New Roman"/>
          <w:b/>
        </w:rPr>
      </w:pPr>
      <w:r w:rsidRPr="002F2808">
        <w:rPr>
          <w:rFonts w:ascii="Times New Roman" w:hAnsi="Times New Roman" w:cs="Times New Roman"/>
          <w:b/>
        </w:rPr>
        <w:t xml:space="preserve">GUIA DEL MARCO FISCAL </w:t>
      </w:r>
      <w:r w:rsidR="00B6434C" w:rsidRPr="002F2808">
        <w:rPr>
          <w:rFonts w:ascii="Times New Roman" w:hAnsi="Times New Roman" w:cs="Times New Roman"/>
          <w:b/>
        </w:rPr>
        <w:t>DE MEDIANO PLAZO</w:t>
      </w:r>
    </w:p>
    <w:p w:rsidR="009F683A" w:rsidRPr="002F2808" w:rsidRDefault="009F683A" w:rsidP="005C5EB3">
      <w:pPr>
        <w:spacing w:after="0" w:line="240" w:lineRule="auto"/>
        <w:contextualSpacing/>
        <w:jc w:val="center"/>
        <w:rPr>
          <w:rFonts w:ascii="Times New Roman" w:hAnsi="Times New Roman" w:cs="Times New Roman"/>
          <w:b/>
        </w:rPr>
      </w:pPr>
      <w:r w:rsidRPr="002F2808">
        <w:rPr>
          <w:rFonts w:ascii="Times New Roman" w:hAnsi="Times New Roman" w:cs="Times New Roman"/>
          <w:b/>
        </w:rPr>
        <w:t xml:space="preserve">UNIDAD DE ANALISIS Y POLITICA FISCAL </w:t>
      </w:r>
    </w:p>
    <w:p w:rsidR="009F683A" w:rsidRPr="002F2808" w:rsidRDefault="009F683A" w:rsidP="005C5EB3">
      <w:pPr>
        <w:spacing w:after="0" w:line="240" w:lineRule="auto"/>
        <w:contextualSpacing/>
        <w:jc w:val="center"/>
        <w:rPr>
          <w:rFonts w:ascii="Times New Roman" w:hAnsi="Times New Roman" w:cs="Times New Roman"/>
          <w:b/>
        </w:rPr>
      </w:pPr>
      <w:r w:rsidRPr="002F2808">
        <w:rPr>
          <w:rFonts w:ascii="Times New Roman" w:hAnsi="Times New Roman" w:cs="Times New Roman"/>
          <w:b/>
        </w:rPr>
        <w:t>MINISTERIO DE HACIENDA</w:t>
      </w:r>
    </w:p>
    <w:p w:rsidR="009F683A" w:rsidRPr="002F2808" w:rsidRDefault="009F683A" w:rsidP="005C5EB3">
      <w:pPr>
        <w:spacing w:after="0" w:line="240" w:lineRule="auto"/>
        <w:contextualSpacing/>
        <w:jc w:val="center"/>
        <w:rPr>
          <w:rFonts w:ascii="Times New Roman" w:hAnsi="Times New Roman" w:cs="Times New Roman"/>
          <w:b/>
        </w:rPr>
      </w:pPr>
      <w:r w:rsidRPr="002F2808">
        <w:rPr>
          <w:rFonts w:ascii="Times New Roman" w:hAnsi="Times New Roman" w:cs="Times New Roman"/>
          <w:b/>
        </w:rPr>
        <w:t>REPUBLICA DOMINICANA</w:t>
      </w:r>
    </w:p>
    <w:p w:rsidR="00BC79B5" w:rsidRPr="002F2808" w:rsidRDefault="009F683A" w:rsidP="00211C82">
      <w:pPr>
        <w:spacing w:after="0" w:line="360" w:lineRule="auto"/>
        <w:contextualSpacing/>
        <w:rPr>
          <w:rFonts w:ascii="Times New Roman" w:hAnsi="Times New Roman" w:cs="Times New Roman"/>
          <w:b/>
        </w:rPr>
      </w:pPr>
      <w:r w:rsidRPr="002F2808">
        <w:rPr>
          <w:rFonts w:ascii="Times New Roman" w:hAnsi="Times New Roman" w:cs="Times New Roman"/>
          <w:b/>
        </w:rPr>
        <w:t>Septiembre 2014</w:t>
      </w:r>
    </w:p>
    <w:p w:rsidR="009F683A" w:rsidRPr="002F2808" w:rsidRDefault="009F683A" w:rsidP="009F683A">
      <w:pPr>
        <w:spacing w:after="0" w:line="360" w:lineRule="auto"/>
        <w:contextualSpacing/>
        <w:jc w:val="center"/>
        <w:rPr>
          <w:rFonts w:ascii="Times New Roman" w:hAnsi="Times New Roman" w:cs="Times New Roman"/>
          <w:b/>
        </w:rPr>
      </w:pPr>
      <w:r w:rsidRPr="002F2808">
        <w:rPr>
          <w:rFonts w:ascii="Times New Roman" w:hAnsi="Times New Roman" w:cs="Times New Roman"/>
          <w:b/>
        </w:rPr>
        <w:t>CONTEN</w:t>
      </w:r>
      <w:r w:rsidR="001C7FDE" w:rsidRPr="002F2808">
        <w:rPr>
          <w:rFonts w:ascii="Times New Roman" w:hAnsi="Times New Roman" w:cs="Times New Roman"/>
          <w:b/>
        </w:rPr>
        <w:t>ID</w:t>
      </w:r>
      <w:r w:rsidRPr="002F2808">
        <w:rPr>
          <w:rFonts w:ascii="Times New Roman" w:hAnsi="Times New Roman" w:cs="Times New Roman"/>
          <w:b/>
        </w:rPr>
        <w:t>O</w:t>
      </w:r>
    </w:p>
    <w:p w:rsidR="006E1F36" w:rsidRPr="002F2808" w:rsidRDefault="006E1F36" w:rsidP="009F683A">
      <w:pPr>
        <w:spacing w:after="0" w:line="360" w:lineRule="auto"/>
        <w:contextualSpacing/>
        <w:jc w:val="center"/>
        <w:rPr>
          <w:rFonts w:ascii="Times New Roman" w:hAnsi="Times New Roman" w:cs="Times New Roman"/>
          <w:b/>
        </w:rPr>
      </w:pPr>
    </w:p>
    <w:p w:rsidR="00FE551A" w:rsidRPr="002F2808" w:rsidRDefault="007D5346">
      <w:pPr>
        <w:pStyle w:val="TOC1"/>
        <w:tabs>
          <w:tab w:val="left" w:pos="440"/>
          <w:tab w:val="right" w:leader="dot" w:pos="9016"/>
        </w:tabs>
        <w:rPr>
          <w:rFonts w:ascii="Times New Roman" w:eastAsiaTheme="minorEastAsia" w:hAnsi="Times New Roman" w:cs="Times New Roman"/>
          <w:noProof/>
          <w:lang w:val="en-US"/>
        </w:rPr>
      </w:pPr>
      <w:r w:rsidRPr="007D5346">
        <w:rPr>
          <w:rFonts w:ascii="Times New Roman" w:hAnsi="Times New Roman" w:cs="Times New Roman"/>
          <w:b/>
        </w:rPr>
        <w:fldChar w:fldCharType="begin"/>
      </w:r>
      <w:r w:rsidR="006E1F36" w:rsidRPr="002F2808">
        <w:rPr>
          <w:rFonts w:ascii="Times New Roman" w:hAnsi="Times New Roman" w:cs="Times New Roman"/>
          <w:b/>
        </w:rPr>
        <w:instrText xml:space="preserve"> TOC \o "1-2" \h \z \u </w:instrText>
      </w:r>
      <w:r w:rsidRPr="007D5346">
        <w:rPr>
          <w:rFonts w:ascii="Times New Roman" w:hAnsi="Times New Roman" w:cs="Times New Roman"/>
          <w:b/>
        </w:rPr>
        <w:fldChar w:fldCharType="separate"/>
      </w:r>
      <w:hyperlink w:anchor="_Toc398801688" w:history="1">
        <w:r w:rsidR="00FE551A" w:rsidRPr="002F2808">
          <w:rPr>
            <w:rStyle w:val="Hyperlink"/>
            <w:rFonts w:ascii="Times New Roman" w:hAnsi="Times New Roman" w:cs="Times New Roman"/>
            <w:noProof/>
          </w:rPr>
          <w:t>I.</w:t>
        </w:r>
        <w:r w:rsidR="00FE551A" w:rsidRPr="002F2808">
          <w:rPr>
            <w:rFonts w:ascii="Times New Roman" w:eastAsiaTheme="minorEastAsia" w:hAnsi="Times New Roman" w:cs="Times New Roman"/>
            <w:noProof/>
            <w:lang w:val="en-US"/>
          </w:rPr>
          <w:tab/>
        </w:r>
        <w:r w:rsidR="00FE551A" w:rsidRPr="002F2808">
          <w:rPr>
            <w:rStyle w:val="Hyperlink"/>
            <w:rFonts w:ascii="Times New Roman" w:hAnsi="Times New Roman" w:cs="Times New Roman"/>
            <w:noProof/>
          </w:rPr>
          <w:t>Contexto de la Guía</w:t>
        </w:r>
        <w:r w:rsidR="00FE551A" w:rsidRPr="002F2808">
          <w:rPr>
            <w:rFonts w:ascii="Times New Roman" w:hAnsi="Times New Roman" w:cs="Times New Roman"/>
            <w:noProof/>
            <w:webHidden/>
          </w:rPr>
          <w:tab/>
        </w:r>
        <w:r w:rsidRPr="002F2808">
          <w:rPr>
            <w:rFonts w:ascii="Times New Roman" w:hAnsi="Times New Roman" w:cs="Times New Roman"/>
            <w:noProof/>
            <w:webHidden/>
          </w:rPr>
          <w:fldChar w:fldCharType="begin"/>
        </w:r>
        <w:r w:rsidR="00FE551A" w:rsidRPr="002F2808">
          <w:rPr>
            <w:rFonts w:ascii="Times New Roman" w:hAnsi="Times New Roman" w:cs="Times New Roman"/>
            <w:noProof/>
            <w:webHidden/>
          </w:rPr>
          <w:instrText xml:space="preserve"> PAGEREF _Toc398801688 \h </w:instrText>
        </w:r>
        <w:r w:rsidRPr="002F2808">
          <w:rPr>
            <w:rFonts w:ascii="Times New Roman" w:hAnsi="Times New Roman" w:cs="Times New Roman"/>
            <w:noProof/>
            <w:webHidden/>
          </w:rPr>
        </w:r>
        <w:r w:rsidRPr="002F2808">
          <w:rPr>
            <w:rFonts w:ascii="Times New Roman" w:hAnsi="Times New Roman" w:cs="Times New Roman"/>
            <w:noProof/>
            <w:webHidden/>
          </w:rPr>
          <w:fldChar w:fldCharType="separate"/>
        </w:r>
        <w:r w:rsidR="00FE551A" w:rsidRPr="002F2808">
          <w:rPr>
            <w:rFonts w:ascii="Times New Roman" w:hAnsi="Times New Roman" w:cs="Times New Roman"/>
            <w:noProof/>
            <w:webHidden/>
          </w:rPr>
          <w:t>3</w:t>
        </w:r>
        <w:r w:rsidRPr="002F2808">
          <w:rPr>
            <w:rFonts w:ascii="Times New Roman" w:hAnsi="Times New Roman" w:cs="Times New Roman"/>
            <w:noProof/>
            <w:webHidden/>
          </w:rPr>
          <w:fldChar w:fldCharType="end"/>
        </w:r>
      </w:hyperlink>
    </w:p>
    <w:p w:rsidR="00FE551A" w:rsidRPr="002F2808" w:rsidRDefault="007D5346">
      <w:pPr>
        <w:pStyle w:val="TOC1"/>
        <w:tabs>
          <w:tab w:val="left" w:pos="440"/>
          <w:tab w:val="right" w:leader="dot" w:pos="9016"/>
        </w:tabs>
        <w:rPr>
          <w:rFonts w:ascii="Times New Roman" w:eastAsiaTheme="minorEastAsia" w:hAnsi="Times New Roman" w:cs="Times New Roman"/>
          <w:noProof/>
          <w:lang w:val="en-US"/>
        </w:rPr>
      </w:pPr>
      <w:hyperlink w:anchor="_Toc398801689" w:history="1">
        <w:r w:rsidR="00FE551A" w:rsidRPr="002F2808">
          <w:rPr>
            <w:rStyle w:val="Hyperlink"/>
            <w:rFonts w:ascii="Times New Roman" w:hAnsi="Times New Roman" w:cs="Times New Roman"/>
            <w:noProof/>
          </w:rPr>
          <w:t>II.</w:t>
        </w:r>
        <w:r w:rsidR="00FE551A" w:rsidRPr="002F2808">
          <w:rPr>
            <w:rFonts w:ascii="Times New Roman" w:eastAsiaTheme="minorEastAsia" w:hAnsi="Times New Roman" w:cs="Times New Roman"/>
            <w:noProof/>
            <w:lang w:val="en-US"/>
          </w:rPr>
          <w:tab/>
        </w:r>
        <w:r w:rsidR="00FE551A" w:rsidRPr="002F2808">
          <w:rPr>
            <w:rStyle w:val="Hyperlink"/>
            <w:rFonts w:ascii="Times New Roman" w:hAnsi="Times New Roman" w:cs="Times New Roman"/>
            <w:noProof/>
          </w:rPr>
          <w:t>Estructura operativa del Marco Fiscal de Mediano Plazo</w:t>
        </w:r>
        <w:r w:rsidR="00FE551A" w:rsidRPr="002F2808">
          <w:rPr>
            <w:rFonts w:ascii="Times New Roman" w:hAnsi="Times New Roman" w:cs="Times New Roman"/>
            <w:noProof/>
            <w:webHidden/>
          </w:rPr>
          <w:tab/>
        </w:r>
        <w:r w:rsidRPr="002F2808">
          <w:rPr>
            <w:rFonts w:ascii="Times New Roman" w:hAnsi="Times New Roman" w:cs="Times New Roman"/>
            <w:noProof/>
            <w:webHidden/>
          </w:rPr>
          <w:fldChar w:fldCharType="begin"/>
        </w:r>
        <w:r w:rsidR="00FE551A" w:rsidRPr="002F2808">
          <w:rPr>
            <w:rFonts w:ascii="Times New Roman" w:hAnsi="Times New Roman" w:cs="Times New Roman"/>
            <w:noProof/>
            <w:webHidden/>
          </w:rPr>
          <w:instrText xml:space="preserve"> PAGEREF _Toc398801689 \h </w:instrText>
        </w:r>
        <w:r w:rsidRPr="002F2808">
          <w:rPr>
            <w:rFonts w:ascii="Times New Roman" w:hAnsi="Times New Roman" w:cs="Times New Roman"/>
            <w:noProof/>
            <w:webHidden/>
          </w:rPr>
        </w:r>
        <w:r w:rsidRPr="002F2808">
          <w:rPr>
            <w:rFonts w:ascii="Times New Roman" w:hAnsi="Times New Roman" w:cs="Times New Roman"/>
            <w:noProof/>
            <w:webHidden/>
          </w:rPr>
          <w:fldChar w:fldCharType="separate"/>
        </w:r>
        <w:r w:rsidR="00FE551A" w:rsidRPr="002F2808">
          <w:rPr>
            <w:rFonts w:ascii="Times New Roman" w:hAnsi="Times New Roman" w:cs="Times New Roman"/>
            <w:noProof/>
            <w:webHidden/>
          </w:rPr>
          <w:t>4</w:t>
        </w:r>
        <w:r w:rsidRPr="002F2808">
          <w:rPr>
            <w:rFonts w:ascii="Times New Roman" w:hAnsi="Times New Roman" w:cs="Times New Roman"/>
            <w:noProof/>
            <w:webHidden/>
          </w:rPr>
          <w:fldChar w:fldCharType="end"/>
        </w:r>
      </w:hyperlink>
    </w:p>
    <w:p w:rsidR="00FE551A" w:rsidRPr="002F2808" w:rsidRDefault="007D5346">
      <w:pPr>
        <w:pStyle w:val="TOC1"/>
        <w:tabs>
          <w:tab w:val="left" w:pos="660"/>
          <w:tab w:val="right" w:leader="dot" w:pos="9016"/>
        </w:tabs>
        <w:rPr>
          <w:rFonts w:ascii="Times New Roman" w:eastAsiaTheme="minorEastAsia" w:hAnsi="Times New Roman" w:cs="Times New Roman"/>
          <w:noProof/>
          <w:lang w:val="en-US"/>
        </w:rPr>
      </w:pPr>
      <w:hyperlink w:anchor="_Toc398801690" w:history="1">
        <w:r w:rsidR="00FE551A" w:rsidRPr="002F2808">
          <w:rPr>
            <w:rStyle w:val="Hyperlink"/>
            <w:rFonts w:ascii="Times New Roman" w:hAnsi="Times New Roman" w:cs="Times New Roman"/>
            <w:noProof/>
          </w:rPr>
          <w:t>III.</w:t>
        </w:r>
        <w:r w:rsidR="00FE551A" w:rsidRPr="002F2808">
          <w:rPr>
            <w:rFonts w:ascii="Times New Roman" w:eastAsiaTheme="minorEastAsia" w:hAnsi="Times New Roman" w:cs="Times New Roman"/>
            <w:noProof/>
            <w:lang w:val="en-US"/>
          </w:rPr>
          <w:tab/>
        </w:r>
        <w:r w:rsidR="00FE551A" w:rsidRPr="002F2808">
          <w:rPr>
            <w:rStyle w:val="Hyperlink"/>
            <w:rFonts w:ascii="Times New Roman" w:hAnsi="Times New Roman" w:cs="Times New Roman"/>
            <w:noProof/>
          </w:rPr>
          <w:t>Sector Real y Precios</w:t>
        </w:r>
        <w:r w:rsidR="00FE551A" w:rsidRPr="002F2808">
          <w:rPr>
            <w:rFonts w:ascii="Times New Roman" w:hAnsi="Times New Roman" w:cs="Times New Roman"/>
            <w:noProof/>
            <w:webHidden/>
          </w:rPr>
          <w:tab/>
        </w:r>
        <w:r w:rsidRPr="002F2808">
          <w:rPr>
            <w:rFonts w:ascii="Times New Roman" w:hAnsi="Times New Roman" w:cs="Times New Roman"/>
            <w:noProof/>
            <w:webHidden/>
          </w:rPr>
          <w:fldChar w:fldCharType="begin"/>
        </w:r>
        <w:r w:rsidR="00FE551A" w:rsidRPr="002F2808">
          <w:rPr>
            <w:rFonts w:ascii="Times New Roman" w:hAnsi="Times New Roman" w:cs="Times New Roman"/>
            <w:noProof/>
            <w:webHidden/>
          </w:rPr>
          <w:instrText xml:space="preserve"> PAGEREF _Toc398801690 \h </w:instrText>
        </w:r>
        <w:r w:rsidRPr="002F2808">
          <w:rPr>
            <w:rFonts w:ascii="Times New Roman" w:hAnsi="Times New Roman" w:cs="Times New Roman"/>
            <w:noProof/>
            <w:webHidden/>
          </w:rPr>
        </w:r>
        <w:r w:rsidRPr="002F2808">
          <w:rPr>
            <w:rFonts w:ascii="Times New Roman" w:hAnsi="Times New Roman" w:cs="Times New Roman"/>
            <w:noProof/>
            <w:webHidden/>
          </w:rPr>
          <w:fldChar w:fldCharType="separate"/>
        </w:r>
        <w:r w:rsidR="00FE551A" w:rsidRPr="002F2808">
          <w:rPr>
            <w:rFonts w:ascii="Times New Roman" w:hAnsi="Times New Roman" w:cs="Times New Roman"/>
            <w:noProof/>
            <w:webHidden/>
          </w:rPr>
          <w:t>5</w:t>
        </w:r>
        <w:r w:rsidRPr="002F2808">
          <w:rPr>
            <w:rFonts w:ascii="Times New Roman" w:hAnsi="Times New Roman" w:cs="Times New Roman"/>
            <w:noProof/>
            <w:webHidden/>
          </w:rPr>
          <w:fldChar w:fldCharType="end"/>
        </w:r>
      </w:hyperlink>
    </w:p>
    <w:p w:rsidR="00FE551A" w:rsidRPr="002F2808" w:rsidRDefault="007D5346">
      <w:pPr>
        <w:pStyle w:val="TOC2"/>
        <w:tabs>
          <w:tab w:val="right" w:leader="dot" w:pos="9016"/>
        </w:tabs>
        <w:rPr>
          <w:rFonts w:ascii="Times New Roman" w:eastAsiaTheme="minorEastAsia" w:hAnsi="Times New Roman" w:cs="Times New Roman"/>
          <w:noProof/>
          <w:lang w:val="en-US"/>
        </w:rPr>
      </w:pPr>
      <w:hyperlink w:anchor="_Toc398801691" w:history="1">
        <w:r w:rsidR="00FE551A" w:rsidRPr="002F2808">
          <w:rPr>
            <w:rStyle w:val="Hyperlink"/>
            <w:rFonts w:ascii="Times New Roman" w:hAnsi="Times New Roman" w:cs="Times New Roman"/>
            <w:noProof/>
          </w:rPr>
          <w:t>III.A. Descripción archivos</w:t>
        </w:r>
        <w:r w:rsidR="00FE551A" w:rsidRPr="002F2808">
          <w:rPr>
            <w:rFonts w:ascii="Times New Roman" w:hAnsi="Times New Roman" w:cs="Times New Roman"/>
            <w:noProof/>
            <w:webHidden/>
          </w:rPr>
          <w:tab/>
        </w:r>
        <w:r w:rsidRPr="002F2808">
          <w:rPr>
            <w:rFonts w:ascii="Times New Roman" w:hAnsi="Times New Roman" w:cs="Times New Roman"/>
            <w:noProof/>
            <w:webHidden/>
          </w:rPr>
          <w:fldChar w:fldCharType="begin"/>
        </w:r>
        <w:r w:rsidR="00FE551A" w:rsidRPr="002F2808">
          <w:rPr>
            <w:rFonts w:ascii="Times New Roman" w:hAnsi="Times New Roman" w:cs="Times New Roman"/>
            <w:noProof/>
            <w:webHidden/>
          </w:rPr>
          <w:instrText xml:space="preserve"> PAGEREF _Toc398801691 \h </w:instrText>
        </w:r>
        <w:r w:rsidRPr="002F2808">
          <w:rPr>
            <w:rFonts w:ascii="Times New Roman" w:hAnsi="Times New Roman" w:cs="Times New Roman"/>
            <w:noProof/>
            <w:webHidden/>
          </w:rPr>
        </w:r>
        <w:r w:rsidRPr="002F2808">
          <w:rPr>
            <w:rFonts w:ascii="Times New Roman" w:hAnsi="Times New Roman" w:cs="Times New Roman"/>
            <w:noProof/>
            <w:webHidden/>
          </w:rPr>
          <w:fldChar w:fldCharType="separate"/>
        </w:r>
        <w:r w:rsidR="00FE551A" w:rsidRPr="002F2808">
          <w:rPr>
            <w:rFonts w:ascii="Times New Roman" w:hAnsi="Times New Roman" w:cs="Times New Roman"/>
            <w:noProof/>
            <w:webHidden/>
          </w:rPr>
          <w:t>5</w:t>
        </w:r>
        <w:r w:rsidRPr="002F2808">
          <w:rPr>
            <w:rFonts w:ascii="Times New Roman" w:hAnsi="Times New Roman" w:cs="Times New Roman"/>
            <w:noProof/>
            <w:webHidden/>
          </w:rPr>
          <w:fldChar w:fldCharType="end"/>
        </w:r>
      </w:hyperlink>
    </w:p>
    <w:p w:rsidR="00FE551A" w:rsidRPr="002F2808" w:rsidRDefault="007D5346">
      <w:pPr>
        <w:pStyle w:val="TOC2"/>
        <w:tabs>
          <w:tab w:val="right" w:leader="dot" w:pos="9016"/>
        </w:tabs>
        <w:rPr>
          <w:rFonts w:ascii="Times New Roman" w:eastAsiaTheme="minorEastAsia" w:hAnsi="Times New Roman" w:cs="Times New Roman"/>
          <w:noProof/>
          <w:lang w:val="en-US"/>
        </w:rPr>
      </w:pPr>
      <w:hyperlink w:anchor="_Toc398801692" w:history="1">
        <w:r w:rsidR="00FE551A" w:rsidRPr="002F2808">
          <w:rPr>
            <w:rStyle w:val="Hyperlink"/>
            <w:rFonts w:ascii="Times New Roman" w:hAnsi="Times New Roman" w:cs="Times New Roman"/>
            <w:noProof/>
          </w:rPr>
          <w:t>III.B. Periodo comprendido</w:t>
        </w:r>
        <w:r w:rsidR="00FE551A" w:rsidRPr="002F2808">
          <w:rPr>
            <w:rFonts w:ascii="Times New Roman" w:hAnsi="Times New Roman" w:cs="Times New Roman"/>
            <w:noProof/>
            <w:webHidden/>
          </w:rPr>
          <w:tab/>
        </w:r>
        <w:r w:rsidRPr="002F2808">
          <w:rPr>
            <w:rFonts w:ascii="Times New Roman" w:hAnsi="Times New Roman" w:cs="Times New Roman"/>
            <w:noProof/>
            <w:webHidden/>
          </w:rPr>
          <w:fldChar w:fldCharType="begin"/>
        </w:r>
        <w:r w:rsidR="00FE551A" w:rsidRPr="002F2808">
          <w:rPr>
            <w:rFonts w:ascii="Times New Roman" w:hAnsi="Times New Roman" w:cs="Times New Roman"/>
            <w:noProof/>
            <w:webHidden/>
          </w:rPr>
          <w:instrText xml:space="preserve"> PAGEREF _Toc398801692 \h </w:instrText>
        </w:r>
        <w:r w:rsidRPr="002F2808">
          <w:rPr>
            <w:rFonts w:ascii="Times New Roman" w:hAnsi="Times New Roman" w:cs="Times New Roman"/>
            <w:noProof/>
            <w:webHidden/>
          </w:rPr>
        </w:r>
        <w:r w:rsidRPr="002F2808">
          <w:rPr>
            <w:rFonts w:ascii="Times New Roman" w:hAnsi="Times New Roman" w:cs="Times New Roman"/>
            <w:noProof/>
            <w:webHidden/>
          </w:rPr>
          <w:fldChar w:fldCharType="separate"/>
        </w:r>
        <w:r w:rsidR="00FE551A" w:rsidRPr="002F2808">
          <w:rPr>
            <w:rFonts w:ascii="Times New Roman" w:hAnsi="Times New Roman" w:cs="Times New Roman"/>
            <w:noProof/>
            <w:webHidden/>
          </w:rPr>
          <w:t>8</w:t>
        </w:r>
        <w:r w:rsidRPr="002F2808">
          <w:rPr>
            <w:rFonts w:ascii="Times New Roman" w:hAnsi="Times New Roman" w:cs="Times New Roman"/>
            <w:noProof/>
            <w:webHidden/>
          </w:rPr>
          <w:fldChar w:fldCharType="end"/>
        </w:r>
      </w:hyperlink>
    </w:p>
    <w:p w:rsidR="00FE551A" w:rsidRPr="002F2808" w:rsidRDefault="007D5346">
      <w:pPr>
        <w:pStyle w:val="TOC2"/>
        <w:tabs>
          <w:tab w:val="right" w:leader="dot" w:pos="9016"/>
        </w:tabs>
        <w:rPr>
          <w:rFonts w:ascii="Times New Roman" w:eastAsiaTheme="minorEastAsia" w:hAnsi="Times New Roman" w:cs="Times New Roman"/>
          <w:noProof/>
          <w:lang w:val="en-US"/>
        </w:rPr>
      </w:pPr>
      <w:hyperlink w:anchor="_Toc398801693" w:history="1">
        <w:r w:rsidR="00FE551A" w:rsidRPr="002F2808">
          <w:rPr>
            <w:rStyle w:val="Hyperlink"/>
            <w:rFonts w:ascii="Times New Roman" w:hAnsi="Times New Roman" w:cs="Times New Roman"/>
            <w:noProof/>
          </w:rPr>
          <w:t>III.C. Fuentes de datos</w:t>
        </w:r>
        <w:r w:rsidR="00FE551A" w:rsidRPr="002F2808">
          <w:rPr>
            <w:rFonts w:ascii="Times New Roman" w:hAnsi="Times New Roman" w:cs="Times New Roman"/>
            <w:noProof/>
            <w:webHidden/>
          </w:rPr>
          <w:tab/>
        </w:r>
        <w:r w:rsidRPr="002F2808">
          <w:rPr>
            <w:rFonts w:ascii="Times New Roman" w:hAnsi="Times New Roman" w:cs="Times New Roman"/>
            <w:noProof/>
            <w:webHidden/>
          </w:rPr>
          <w:fldChar w:fldCharType="begin"/>
        </w:r>
        <w:r w:rsidR="00FE551A" w:rsidRPr="002F2808">
          <w:rPr>
            <w:rFonts w:ascii="Times New Roman" w:hAnsi="Times New Roman" w:cs="Times New Roman"/>
            <w:noProof/>
            <w:webHidden/>
          </w:rPr>
          <w:instrText xml:space="preserve"> PAGEREF _Toc398801693 \h </w:instrText>
        </w:r>
        <w:r w:rsidRPr="002F2808">
          <w:rPr>
            <w:rFonts w:ascii="Times New Roman" w:hAnsi="Times New Roman" w:cs="Times New Roman"/>
            <w:noProof/>
            <w:webHidden/>
          </w:rPr>
        </w:r>
        <w:r w:rsidRPr="002F2808">
          <w:rPr>
            <w:rFonts w:ascii="Times New Roman" w:hAnsi="Times New Roman" w:cs="Times New Roman"/>
            <w:noProof/>
            <w:webHidden/>
          </w:rPr>
          <w:fldChar w:fldCharType="separate"/>
        </w:r>
        <w:r w:rsidR="00FE551A" w:rsidRPr="002F2808">
          <w:rPr>
            <w:rFonts w:ascii="Times New Roman" w:hAnsi="Times New Roman" w:cs="Times New Roman"/>
            <w:noProof/>
            <w:webHidden/>
          </w:rPr>
          <w:t>8</w:t>
        </w:r>
        <w:r w:rsidRPr="002F2808">
          <w:rPr>
            <w:rFonts w:ascii="Times New Roman" w:hAnsi="Times New Roman" w:cs="Times New Roman"/>
            <w:noProof/>
            <w:webHidden/>
          </w:rPr>
          <w:fldChar w:fldCharType="end"/>
        </w:r>
      </w:hyperlink>
    </w:p>
    <w:p w:rsidR="00FE551A" w:rsidRPr="002F2808" w:rsidRDefault="007D5346">
      <w:pPr>
        <w:pStyle w:val="TOC2"/>
        <w:tabs>
          <w:tab w:val="right" w:leader="dot" w:pos="9016"/>
        </w:tabs>
        <w:rPr>
          <w:rFonts w:ascii="Times New Roman" w:eastAsiaTheme="minorEastAsia" w:hAnsi="Times New Roman" w:cs="Times New Roman"/>
          <w:noProof/>
          <w:lang w:val="en-US"/>
        </w:rPr>
      </w:pPr>
      <w:hyperlink w:anchor="_Toc398801694" w:history="1">
        <w:r w:rsidR="00FE551A" w:rsidRPr="002F2808">
          <w:rPr>
            <w:rStyle w:val="Hyperlink"/>
            <w:rFonts w:ascii="Times New Roman" w:hAnsi="Times New Roman" w:cs="Times New Roman"/>
            <w:noProof/>
          </w:rPr>
          <w:t>III.D. Obtención de datos</w:t>
        </w:r>
        <w:r w:rsidR="00FE551A" w:rsidRPr="002F2808">
          <w:rPr>
            <w:rFonts w:ascii="Times New Roman" w:hAnsi="Times New Roman" w:cs="Times New Roman"/>
            <w:noProof/>
            <w:webHidden/>
          </w:rPr>
          <w:tab/>
        </w:r>
        <w:r w:rsidRPr="002F2808">
          <w:rPr>
            <w:rFonts w:ascii="Times New Roman" w:hAnsi="Times New Roman" w:cs="Times New Roman"/>
            <w:noProof/>
            <w:webHidden/>
          </w:rPr>
          <w:fldChar w:fldCharType="begin"/>
        </w:r>
        <w:r w:rsidR="00FE551A" w:rsidRPr="002F2808">
          <w:rPr>
            <w:rFonts w:ascii="Times New Roman" w:hAnsi="Times New Roman" w:cs="Times New Roman"/>
            <w:noProof/>
            <w:webHidden/>
          </w:rPr>
          <w:instrText xml:space="preserve"> PAGEREF _Toc398801694 \h </w:instrText>
        </w:r>
        <w:r w:rsidRPr="002F2808">
          <w:rPr>
            <w:rFonts w:ascii="Times New Roman" w:hAnsi="Times New Roman" w:cs="Times New Roman"/>
            <w:noProof/>
            <w:webHidden/>
          </w:rPr>
        </w:r>
        <w:r w:rsidRPr="002F2808">
          <w:rPr>
            <w:rFonts w:ascii="Times New Roman" w:hAnsi="Times New Roman" w:cs="Times New Roman"/>
            <w:noProof/>
            <w:webHidden/>
          </w:rPr>
          <w:fldChar w:fldCharType="separate"/>
        </w:r>
        <w:r w:rsidR="00FE551A" w:rsidRPr="002F2808">
          <w:rPr>
            <w:rFonts w:ascii="Times New Roman" w:hAnsi="Times New Roman" w:cs="Times New Roman"/>
            <w:noProof/>
            <w:webHidden/>
          </w:rPr>
          <w:t>8</w:t>
        </w:r>
        <w:r w:rsidRPr="002F2808">
          <w:rPr>
            <w:rFonts w:ascii="Times New Roman" w:hAnsi="Times New Roman" w:cs="Times New Roman"/>
            <w:noProof/>
            <w:webHidden/>
          </w:rPr>
          <w:fldChar w:fldCharType="end"/>
        </w:r>
      </w:hyperlink>
    </w:p>
    <w:p w:rsidR="00FE551A" w:rsidRPr="002F2808" w:rsidRDefault="007D5346">
      <w:pPr>
        <w:pStyle w:val="TOC2"/>
        <w:tabs>
          <w:tab w:val="right" w:leader="dot" w:pos="9016"/>
        </w:tabs>
        <w:rPr>
          <w:rFonts w:ascii="Times New Roman" w:eastAsiaTheme="minorEastAsia" w:hAnsi="Times New Roman" w:cs="Times New Roman"/>
          <w:noProof/>
          <w:lang w:val="en-US"/>
        </w:rPr>
      </w:pPr>
      <w:hyperlink w:anchor="_Toc398801695" w:history="1">
        <w:r w:rsidR="00FE551A" w:rsidRPr="002F2808">
          <w:rPr>
            <w:rStyle w:val="Hyperlink"/>
            <w:rFonts w:ascii="Times New Roman" w:hAnsi="Times New Roman" w:cs="Times New Roman"/>
            <w:noProof/>
          </w:rPr>
          <w:t>III.E. Frecuencia de producción de datos</w:t>
        </w:r>
        <w:r w:rsidR="00FE551A" w:rsidRPr="002F2808">
          <w:rPr>
            <w:rFonts w:ascii="Times New Roman" w:hAnsi="Times New Roman" w:cs="Times New Roman"/>
            <w:noProof/>
            <w:webHidden/>
          </w:rPr>
          <w:tab/>
        </w:r>
        <w:r w:rsidRPr="002F2808">
          <w:rPr>
            <w:rFonts w:ascii="Times New Roman" w:hAnsi="Times New Roman" w:cs="Times New Roman"/>
            <w:noProof/>
            <w:webHidden/>
          </w:rPr>
          <w:fldChar w:fldCharType="begin"/>
        </w:r>
        <w:r w:rsidR="00FE551A" w:rsidRPr="002F2808">
          <w:rPr>
            <w:rFonts w:ascii="Times New Roman" w:hAnsi="Times New Roman" w:cs="Times New Roman"/>
            <w:noProof/>
            <w:webHidden/>
          </w:rPr>
          <w:instrText xml:space="preserve"> PAGEREF _Toc398801695 \h </w:instrText>
        </w:r>
        <w:r w:rsidRPr="002F2808">
          <w:rPr>
            <w:rFonts w:ascii="Times New Roman" w:hAnsi="Times New Roman" w:cs="Times New Roman"/>
            <w:noProof/>
            <w:webHidden/>
          </w:rPr>
        </w:r>
        <w:r w:rsidRPr="002F2808">
          <w:rPr>
            <w:rFonts w:ascii="Times New Roman" w:hAnsi="Times New Roman" w:cs="Times New Roman"/>
            <w:noProof/>
            <w:webHidden/>
          </w:rPr>
          <w:fldChar w:fldCharType="separate"/>
        </w:r>
        <w:r w:rsidR="00FE551A" w:rsidRPr="002F2808">
          <w:rPr>
            <w:rFonts w:ascii="Times New Roman" w:hAnsi="Times New Roman" w:cs="Times New Roman"/>
            <w:noProof/>
            <w:webHidden/>
          </w:rPr>
          <w:t>8</w:t>
        </w:r>
        <w:r w:rsidRPr="002F2808">
          <w:rPr>
            <w:rFonts w:ascii="Times New Roman" w:hAnsi="Times New Roman" w:cs="Times New Roman"/>
            <w:noProof/>
            <w:webHidden/>
          </w:rPr>
          <w:fldChar w:fldCharType="end"/>
        </w:r>
      </w:hyperlink>
    </w:p>
    <w:p w:rsidR="00FE551A" w:rsidRPr="002F2808" w:rsidRDefault="007D5346">
      <w:pPr>
        <w:pStyle w:val="TOC2"/>
        <w:tabs>
          <w:tab w:val="right" w:leader="dot" w:pos="9016"/>
        </w:tabs>
        <w:rPr>
          <w:rFonts w:ascii="Times New Roman" w:eastAsiaTheme="minorEastAsia" w:hAnsi="Times New Roman" w:cs="Times New Roman"/>
          <w:noProof/>
          <w:lang w:val="en-US"/>
        </w:rPr>
      </w:pPr>
      <w:hyperlink w:anchor="_Toc398801696" w:history="1">
        <w:r w:rsidR="00FE551A" w:rsidRPr="002F2808">
          <w:rPr>
            <w:rStyle w:val="Hyperlink"/>
            <w:rFonts w:ascii="Times New Roman" w:hAnsi="Times New Roman" w:cs="Times New Roman"/>
            <w:noProof/>
          </w:rPr>
          <w:t>III.F. Proyecciones</w:t>
        </w:r>
        <w:r w:rsidR="00FE551A" w:rsidRPr="002F2808">
          <w:rPr>
            <w:rFonts w:ascii="Times New Roman" w:hAnsi="Times New Roman" w:cs="Times New Roman"/>
            <w:noProof/>
            <w:webHidden/>
          </w:rPr>
          <w:tab/>
        </w:r>
        <w:r w:rsidRPr="002F2808">
          <w:rPr>
            <w:rFonts w:ascii="Times New Roman" w:hAnsi="Times New Roman" w:cs="Times New Roman"/>
            <w:noProof/>
            <w:webHidden/>
          </w:rPr>
          <w:fldChar w:fldCharType="begin"/>
        </w:r>
        <w:r w:rsidR="00FE551A" w:rsidRPr="002F2808">
          <w:rPr>
            <w:rFonts w:ascii="Times New Roman" w:hAnsi="Times New Roman" w:cs="Times New Roman"/>
            <w:noProof/>
            <w:webHidden/>
          </w:rPr>
          <w:instrText xml:space="preserve"> PAGEREF _Toc398801696 \h </w:instrText>
        </w:r>
        <w:r w:rsidRPr="002F2808">
          <w:rPr>
            <w:rFonts w:ascii="Times New Roman" w:hAnsi="Times New Roman" w:cs="Times New Roman"/>
            <w:noProof/>
            <w:webHidden/>
          </w:rPr>
        </w:r>
        <w:r w:rsidRPr="002F2808">
          <w:rPr>
            <w:rFonts w:ascii="Times New Roman" w:hAnsi="Times New Roman" w:cs="Times New Roman"/>
            <w:noProof/>
            <w:webHidden/>
          </w:rPr>
          <w:fldChar w:fldCharType="separate"/>
        </w:r>
        <w:r w:rsidR="00FE551A" w:rsidRPr="002F2808">
          <w:rPr>
            <w:rFonts w:ascii="Times New Roman" w:hAnsi="Times New Roman" w:cs="Times New Roman"/>
            <w:noProof/>
            <w:webHidden/>
          </w:rPr>
          <w:t>9</w:t>
        </w:r>
        <w:r w:rsidRPr="002F2808">
          <w:rPr>
            <w:rFonts w:ascii="Times New Roman" w:hAnsi="Times New Roman" w:cs="Times New Roman"/>
            <w:noProof/>
            <w:webHidden/>
          </w:rPr>
          <w:fldChar w:fldCharType="end"/>
        </w:r>
      </w:hyperlink>
    </w:p>
    <w:p w:rsidR="00FE551A" w:rsidRPr="002F2808" w:rsidRDefault="007D5346">
      <w:pPr>
        <w:pStyle w:val="TOC1"/>
        <w:tabs>
          <w:tab w:val="left" w:pos="660"/>
          <w:tab w:val="right" w:leader="dot" w:pos="9016"/>
        </w:tabs>
        <w:rPr>
          <w:rFonts w:ascii="Times New Roman" w:eastAsiaTheme="minorEastAsia" w:hAnsi="Times New Roman" w:cs="Times New Roman"/>
          <w:noProof/>
          <w:lang w:val="en-US"/>
        </w:rPr>
      </w:pPr>
      <w:hyperlink w:anchor="_Toc398801697" w:history="1">
        <w:r w:rsidR="00FE551A" w:rsidRPr="002F2808">
          <w:rPr>
            <w:rStyle w:val="Hyperlink"/>
            <w:rFonts w:ascii="Times New Roman" w:hAnsi="Times New Roman" w:cs="Times New Roman"/>
            <w:noProof/>
          </w:rPr>
          <w:t>IV.</w:t>
        </w:r>
        <w:r w:rsidR="00FE551A" w:rsidRPr="002F2808">
          <w:rPr>
            <w:rFonts w:ascii="Times New Roman" w:eastAsiaTheme="minorEastAsia" w:hAnsi="Times New Roman" w:cs="Times New Roman"/>
            <w:noProof/>
            <w:lang w:val="en-US"/>
          </w:rPr>
          <w:tab/>
        </w:r>
        <w:r w:rsidR="00FE551A" w:rsidRPr="002F2808">
          <w:rPr>
            <w:rStyle w:val="Hyperlink"/>
            <w:rFonts w:ascii="Times New Roman" w:hAnsi="Times New Roman" w:cs="Times New Roman"/>
            <w:noProof/>
          </w:rPr>
          <w:t>Sector Externo</w:t>
        </w:r>
        <w:r w:rsidR="00FE551A" w:rsidRPr="002F2808">
          <w:rPr>
            <w:rFonts w:ascii="Times New Roman" w:hAnsi="Times New Roman" w:cs="Times New Roman"/>
            <w:noProof/>
            <w:webHidden/>
          </w:rPr>
          <w:tab/>
        </w:r>
        <w:r w:rsidRPr="002F2808">
          <w:rPr>
            <w:rFonts w:ascii="Times New Roman" w:hAnsi="Times New Roman" w:cs="Times New Roman"/>
            <w:noProof/>
            <w:webHidden/>
          </w:rPr>
          <w:fldChar w:fldCharType="begin"/>
        </w:r>
        <w:r w:rsidR="00FE551A" w:rsidRPr="002F2808">
          <w:rPr>
            <w:rFonts w:ascii="Times New Roman" w:hAnsi="Times New Roman" w:cs="Times New Roman"/>
            <w:noProof/>
            <w:webHidden/>
          </w:rPr>
          <w:instrText xml:space="preserve"> PAGEREF _Toc398801697 \h </w:instrText>
        </w:r>
        <w:r w:rsidRPr="002F2808">
          <w:rPr>
            <w:rFonts w:ascii="Times New Roman" w:hAnsi="Times New Roman" w:cs="Times New Roman"/>
            <w:noProof/>
            <w:webHidden/>
          </w:rPr>
        </w:r>
        <w:r w:rsidRPr="002F2808">
          <w:rPr>
            <w:rFonts w:ascii="Times New Roman" w:hAnsi="Times New Roman" w:cs="Times New Roman"/>
            <w:noProof/>
            <w:webHidden/>
          </w:rPr>
          <w:fldChar w:fldCharType="separate"/>
        </w:r>
        <w:r w:rsidR="00FE551A" w:rsidRPr="002F2808">
          <w:rPr>
            <w:rFonts w:ascii="Times New Roman" w:hAnsi="Times New Roman" w:cs="Times New Roman"/>
            <w:noProof/>
            <w:webHidden/>
          </w:rPr>
          <w:t>10</w:t>
        </w:r>
        <w:r w:rsidRPr="002F2808">
          <w:rPr>
            <w:rFonts w:ascii="Times New Roman" w:hAnsi="Times New Roman" w:cs="Times New Roman"/>
            <w:noProof/>
            <w:webHidden/>
          </w:rPr>
          <w:fldChar w:fldCharType="end"/>
        </w:r>
      </w:hyperlink>
    </w:p>
    <w:p w:rsidR="00FE551A" w:rsidRPr="002F2808" w:rsidRDefault="007D5346">
      <w:pPr>
        <w:pStyle w:val="TOC2"/>
        <w:tabs>
          <w:tab w:val="right" w:leader="dot" w:pos="9016"/>
        </w:tabs>
        <w:rPr>
          <w:rFonts w:ascii="Times New Roman" w:eastAsiaTheme="minorEastAsia" w:hAnsi="Times New Roman" w:cs="Times New Roman"/>
          <w:noProof/>
          <w:lang w:val="en-US"/>
        </w:rPr>
      </w:pPr>
      <w:hyperlink w:anchor="_Toc398801698" w:history="1">
        <w:r w:rsidR="00FE551A" w:rsidRPr="002F2808">
          <w:rPr>
            <w:rStyle w:val="Hyperlink"/>
            <w:rFonts w:ascii="Times New Roman" w:hAnsi="Times New Roman" w:cs="Times New Roman"/>
            <w:noProof/>
          </w:rPr>
          <w:t>IV.A. Descripción de Archivos del Sector</w:t>
        </w:r>
        <w:r w:rsidR="00FE551A" w:rsidRPr="002F2808">
          <w:rPr>
            <w:rFonts w:ascii="Times New Roman" w:hAnsi="Times New Roman" w:cs="Times New Roman"/>
            <w:noProof/>
            <w:webHidden/>
          </w:rPr>
          <w:tab/>
        </w:r>
        <w:r w:rsidRPr="002F2808">
          <w:rPr>
            <w:rFonts w:ascii="Times New Roman" w:hAnsi="Times New Roman" w:cs="Times New Roman"/>
            <w:noProof/>
            <w:webHidden/>
          </w:rPr>
          <w:fldChar w:fldCharType="begin"/>
        </w:r>
        <w:r w:rsidR="00FE551A" w:rsidRPr="002F2808">
          <w:rPr>
            <w:rFonts w:ascii="Times New Roman" w:hAnsi="Times New Roman" w:cs="Times New Roman"/>
            <w:noProof/>
            <w:webHidden/>
          </w:rPr>
          <w:instrText xml:space="preserve"> PAGEREF _Toc398801698 \h </w:instrText>
        </w:r>
        <w:r w:rsidRPr="002F2808">
          <w:rPr>
            <w:rFonts w:ascii="Times New Roman" w:hAnsi="Times New Roman" w:cs="Times New Roman"/>
            <w:noProof/>
            <w:webHidden/>
          </w:rPr>
        </w:r>
        <w:r w:rsidRPr="002F2808">
          <w:rPr>
            <w:rFonts w:ascii="Times New Roman" w:hAnsi="Times New Roman" w:cs="Times New Roman"/>
            <w:noProof/>
            <w:webHidden/>
          </w:rPr>
          <w:fldChar w:fldCharType="separate"/>
        </w:r>
        <w:r w:rsidR="00FE551A" w:rsidRPr="002F2808">
          <w:rPr>
            <w:rFonts w:ascii="Times New Roman" w:hAnsi="Times New Roman" w:cs="Times New Roman"/>
            <w:noProof/>
            <w:webHidden/>
          </w:rPr>
          <w:t>10</w:t>
        </w:r>
        <w:r w:rsidRPr="002F2808">
          <w:rPr>
            <w:rFonts w:ascii="Times New Roman" w:hAnsi="Times New Roman" w:cs="Times New Roman"/>
            <w:noProof/>
            <w:webHidden/>
          </w:rPr>
          <w:fldChar w:fldCharType="end"/>
        </w:r>
      </w:hyperlink>
    </w:p>
    <w:p w:rsidR="00FE551A" w:rsidRPr="002F2808" w:rsidRDefault="007D5346">
      <w:pPr>
        <w:pStyle w:val="TOC2"/>
        <w:tabs>
          <w:tab w:val="right" w:leader="dot" w:pos="9016"/>
        </w:tabs>
        <w:rPr>
          <w:rFonts w:ascii="Times New Roman" w:eastAsiaTheme="minorEastAsia" w:hAnsi="Times New Roman" w:cs="Times New Roman"/>
          <w:noProof/>
          <w:lang w:val="en-US"/>
        </w:rPr>
      </w:pPr>
      <w:hyperlink w:anchor="_Toc398801699" w:history="1">
        <w:r w:rsidR="00FE551A" w:rsidRPr="002F2808">
          <w:rPr>
            <w:rStyle w:val="Hyperlink"/>
            <w:rFonts w:ascii="Times New Roman" w:hAnsi="Times New Roman" w:cs="Times New Roman"/>
            <w:noProof/>
          </w:rPr>
          <w:t>IV.B. Periodo Comprendido</w:t>
        </w:r>
        <w:r w:rsidR="00FE551A" w:rsidRPr="002F2808">
          <w:rPr>
            <w:rFonts w:ascii="Times New Roman" w:hAnsi="Times New Roman" w:cs="Times New Roman"/>
            <w:noProof/>
            <w:webHidden/>
          </w:rPr>
          <w:tab/>
        </w:r>
        <w:r w:rsidRPr="002F2808">
          <w:rPr>
            <w:rFonts w:ascii="Times New Roman" w:hAnsi="Times New Roman" w:cs="Times New Roman"/>
            <w:noProof/>
            <w:webHidden/>
          </w:rPr>
          <w:fldChar w:fldCharType="begin"/>
        </w:r>
        <w:r w:rsidR="00FE551A" w:rsidRPr="002F2808">
          <w:rPr>
            <w:rFonts w:ascii="Times New Roman" w:hAnsi="Times New Roman" w:cs="Times New Roman"/>
            <w:noProof/>
            <w:webHidden/>
          </w:rPr>
          <w:instrText xml:space="preserve"> PAGEREF _Toc398801699 \h </w:instrText>
        </w:r>
        <w:r w:rsidRPr="002F2808">
          <w:rPr>
            <w:rFonts w:ascii="Times New Roman" w:hAnsi="Times New Roman" w:cs="Times New Roman"/>
            <w:noProof/>
            <w:webHidden/>
          </w:rPr>
        </w:r>
        <w:r w:rsidRPr="002F2808">
          <w:rPr>
            <w:rFonts w:ascii="Times New Roman" w:hAnsi="Times New Roman" w:cs="Times New Roman"/>
            <w:noProof/>
            <w:webHidden/>
          </w:rPr>
          <w:fldChar w:fldCharType="separate"/>
        </w:r>
        <w:r w:rsidR="00FE551A" w:rsidRPr="002F2808">
          <w:rPr>
            <w:rFonts w:ascii="Times New Roman" w:hAnsi="Times New Roman" w:cs="Times New Roman"/>
            <w:noProof/>
            <w:webHidden/>
          </w:rPr>
          <w:t>12</w:t>
        </w:r>
        <w:r w:rsidRPr="002F2808">
          <w:rPr>
            <w:rFonts w:ascii="Times New Roman" w:hAnsi="Times New Roman" w:cs="Times New Roman"/>
            <w:noProof/>
            <w:webHidden/>
          </w:rPr>
          <w:fldChar w:fldCharType="end"/>
        </w:r>
      </w:hyperlink>
    </w:p>
    <w:p w:rsidR="00FE551A" w:rsidRPr="002F2808" w:rsidRDefault="007D5346">
      <w:pPr>
        <w:pStyle w:val="TOC2"/>
        <w:tabs>
          <w:tab w:val="right" w:leader="dot" w:pos="9016"/>
        </w:tabs>
        <w:rPr>
          <w:rFonts w:ascii="Times New Roman" w:eastAsiaTheme="minorEastAsia" w:hAnsi="Times New Roman" w:cs="Times New Roman"/>
          <w:noProof/>
          <w:lang w:val="en-US"/>
        </w:rPr>
      </w:pPr>
      <w:hyperlink w:anchor="_Toc398801700" w:history="1">
        <w:r w:rsidR="00FE551A" w:rsidRPr="002F2808">
          <w:rPr>
            <w:rStyle w:val="Hyperlink"/>
            <w:rFonts w:ascii="Times New Roman" w:hAnsi="Times New Roman" w:cs="Times New Roman"/>
            <w:noProof/>
          </w:rPr>
          <w:t>IV.C. Fuentes de datos</w:t>
        </w:r>
        <w:r w:rsidR="00FE551A" w:rsidRPr="002F2808">
          <w:rPr>
            <w:rFonts w:ascii="Times New Roman" w:hAnsi="Times New Roman" w:cs="Times New Roman"/>
            <w:noProof/>
            <w:webHidden/>
          </w:rPr>
          <w:tab/>
        </w:r>
        <w:r w:rsidRPr="002F2808">
          <w:rPr>
            <w:rFonts w:ascii="Times New Roman" w:hAnsi="Times New Roman" w:cs="Times New Roman"/>
            <w:noProof/>
            <w:webHidden/>
          </w:rPr>
          <w:fldChar w:fldCharType="begin"/>
        </w:r>
        <w:r w:rsidR="00FE551A" w:rsidRPr="002F2808">
          <w:rPr>
            <w:rFonts w:ascii="Times New Roman" w:hAnsi="Times New Roman" w:cs="Times New Roman"/>
            <w:noProof/>
            <w:webHidden/>
          </w:rPr>
          <w:instrText xml:space="preserve"> PAGEREF _Toc398801700 \h </w:instrText>
        </w:r>
        <w:r w:rsidRPr="002F2808">
          <w:rPr>
            <w:rFonts w:ascii="Times New Roman" w:hAnsi="Times New Roman" w:cs="Times New Roman"/>
            <w:noProof/>
            <w:webHidden/>
          </w:rPr>
        </w:r>
        <w:r w:rsidRPr="002F2808">
          <w:rPr>
            <w:rFonts w:ascii="Times New Roman" w:hAnsi="Times New Roman" w:cs="Times New Roman"/>
            <w:noProof/>
            <w:webHidden/>
          </w:rPr>
          <w:fldChar w:fldCharType="separate"/>
        </w:r>
        <w:r w:rsidR="00FE551A" w:rsidRPr="002F2808">
          <w:rPr>
            <w:rFonts w:ascii="Times New Roman" w:hAnsi="Times New Roman" w:cs="Times New Roman"/>
            <w:noProof/>
            <w:webHidden/>
          </w:rPr>
          <w:t>12</w:t>
        </w:r>
        <w:r w:rsidRPr="002F2808">
          <w:rPr>
            <w:rFonts w:ascii="Times New Roman" w:hAnsi="Times New Roman" w:cs="Times New Roman"/>
            <w:noProof/>
            <w:webHidden/>
          </w:rPr>
          <w:fldChar w:fldCharType="end"/>
        </w:r>
      </w:hyperlink>
    </w:p>
    <w:p w:rsidR="00FE551A" w:rsidRPr="002F2808" w:rsidRDefault="007D5346">
      <w:pPr>
        <w:pStyle w:val="TOC2"/>
        <w:tabs>
          <w:tab w:val="right" w:leader="dot" w:pos="9016"/>
        </w:tabs>
        <w:rPr>
          <w:rFonts w:ascii="Times New Roman" w:eastAsiaTheme="minorEastAsia" w:hAnsi="Times New Roman" w:cs="Times New Roman"/>
          <w:noProof/>
          <w:lang w:val="en-US"/>
        </w:rPr>
      </w:pPr>
      <w:hyperlink w:anchor="_Toc398801701" w:history="1">
        <w:r w:rsidR="00FE551A" w:rsidRPr="002F2808">
          <w:rPr>
            <w:rStyle w:val="Hyperlink"/>
            <w:rFonts w:ascii="Times New Roman" w:hAnsi="Times New Roman" w:cs="Times New Roman"/>
            <w:noProof/>
          </w:rPr>
          <w:t>IV.D. Obtención de datos</w:t>
        </w:r>
        <w:r w:rsidR="00FE551A" w:rsidRPr="002F2808">
          <w:rPr>
            <w:rFonts w:ascii="Times New Roman" w:hAnsi="Times New Roman" w:cs="Times New Roman"/>
            <w:noProof/>
            <w:webHidden/>
          </w:rPr>
          <w:tab/>
        </w:r>
        <w:r w:rsidRPr="002F2808">
          <w:rPr>
            <w:rFonts w:ascii="Times New Roman" w:hAnsi="Times New Roman" w:cs="Times New Roman"/>
            <w:noProof/>
            <w:webHidden/>
          </w:rPr>
          <w:fldChar w:fldCharType="begin"/>
        </w:r>
        <w:r w:rsidR="00FE551A" w:rsidRPr="002F2808">
          <w:rPr>
            <w:rFonts w:ascii="Times New Roman" w:hAnsi="Times New Roman" w:cs="Times New Roman"/>
            <w:noProof/>
            <w:webHidden/>
          </w:rPr>
          <w:instrText xml:space="preserve"> PAGEREF _Toc398801701 \h </w:instrText>
        </w:r>
        <w:r w:rsidRPr="002F2808">
          <w:rPr>
            <w:rFonts w:ascii="Times New Roman" w:hAnsi="Times New Roman" w:cs="Times New Roman"/>
            <w:noProof/>
            <w:webHidden/>
          </w:rPr>
        </w:r>
        <w:r w:rsidRPr="002F2808">
          <w:rPr>
            <w:rFonts w:ascii="Times New Roman" w:hAnsi="Times New Roman" w:cs="Times New Roman"/>
            <w:noProof/>
            <w:webHidden/>
          </w:rPr>
          <w:fldChar w:fldCharType="separate"/>
        </w:r>
        <w:r w:rsidR="00FE551A" w:rsidRPr="002F2808">
          <w:rPr>
            <w:rFonts w:ascii="Times New Roman" w:hAnsi="Times New Roman" w:cs="Times New Roman"/>
            <w:noProof/>
            <w:webHidden/>
          </w:rPr>
          <w:t>12</w:t>
        </w:r>
        <w:r w:rsidRPr="002F2808">
          <w:rPr>
            <w:rFonts w:ascii="Times New Roman" w:hAnsi="Times New Roman" w:cs="Times New Roman"/>
            <w:noProof/>
            <w:webHidden/>
          </w:rPr>
          <w:fldChar w:fldCharType="end"/>
        </w:r>
      </w:hyperlink>
    </w:p>
    <w:p w:rsidR="00FE551A" w:rsidRPr="002F2808" w:rsidRDefault="007D5346">
      <w:pPr>
        <w:pStyle w:val="TOC2"/>
        <w:tabs>
          <w:tab w:val="right" w:leader="dot" w:pos="9016"/>
        </w:tabs>
        <w:rPr>
          <w:rFonts w:ascii="Times New Roman" w:eastAsiaTheme="minorEastAsia" w:hAnsi="Times New Roman" w:cs="Times New Roman"/>
          <w:noProof/>
          <w:lang w:val="en-US"/>
        </w:rPr>
      </w:pPr>
      <w:hyperlink w:anchor="_Toc398801702" w:history="1">
        <w:r w:rsidR="00FE551A" w:rsidRPr="002F2808">
          <w:rPr>
            <w:rStyle w:val="Hyperlink"/>
            <w:rFonts w:ascii="Times New Roman" w:hAnsi="Times New Roman" w:cs="Times New Roman"/>
            <w:noProof/>
          </w:rPr>
          <w:t>IV.E. Frecuencia de producción de datos</w:t>
        </w:r>
        <w:r w:rsidR="00FE551A" w:rsidRPr="002F2808">
          <w:rPr>
            <w:rFonts w:ascii="Times New Roman" w:hAnsi="Times New Roman" w:cs="Times New Roman"/>
            <w:noProof/>
            <w:webHidden/>
          </w:rPr>
          <w:tab/>
        </w:r>
        <w:r w:rsidRPr="002F2808">
          <w:rPr>
            <w:rFonts w:ascii="Times New Roman" w:hAnsi="Times New Roman" w:cs="Times New Roman"/>
            <w:noProof/>
            <w:webHidden/>
          </w:rPr>
          <w:fldChar w:fldCharType="begin"/>
        </w:r>
        <w:r w:rsidR="00FE551A" w:rsidRPr="002F2808">
          <w:rPr>
            <w:rFonts w:ascii="Times New Roman" w:hAnsi="Times New Roman" w:cs="Times New Roman"/>
            <w:noProof/>
            <w:webHidden/>
          </w:rPr>
          <w:instrText xml:space="preserve"> PAGEREF _Toc398801702 \h </w:instrText>
        </w:r>
        <w:r w:rsidRPr="002F2808">
          <w:rPr>
            <w:rFonts w:ascii="Times New Roman" w:hAnsi="Times New Roman" w:cs="Times New Roman"/>
            <w:noProof/>
            <w:webHidden/>
          </w:rPr>
        </w:r>
        <w:r w:rsidRPr="002F2808">
          <w:rPr>
            <w:rFonts w:ascii="Times New Roman" w:hAnsi="Times New Roman" w:cs="Times New Roman"/>
            <w:noProof/>
            <w:webHidden/>
          </w:rPr>
          <w:fldChar w:fldCharType="separate"/>
        </w:r>
        <w:r w:rsidR="00FE551A" w:rsidRPr="002F2808">
          <w:rPr>
            <w:rFonts w:ascii="Times New Roman" w:hAnsi="Times New Roman" w:cs="Times New Roman"/>
            <w:noProof/>
            <w:webHidden/>
          </w:rPr>
          <w:t>12</w:t>
        </w:r>
        <w:r w:rsidRPr="002F2808">
          <w:rPr>
            <w:rFonts w:ascii="Times New Roman" w:hAnsi="Times New Roman" w:cs="Times New Roman"/>
            <w:noProof/>
            <w:webHidden/>
          </w:rPr>
          <w:fldChar w:fldCharType="end"/>
        </w:r>
      </w:hyperlink>
    </w:p>
    <w:p w:rsidR="00FE551A" w:rsidRPr="002F2808" w:rsidRDefault="007D5346">
      <w:pPr>
        <w:pStyle w:val="TOC2"/>
        <w:tabs>
          <w:tab w:val="right" w:leader="dot" w:pos="9016"/>
        </w:tabs>
        <w:rPr>
          <w:rFonts w:ascii="Times New Roman" w:eastAsiaTheme="minorEastAsia" w:hAnsi="Times New Roman" w:cs="Times New Roman"/>
          <w:noProof/>
          <w:lang w:val="en-US"/>
        </w:rPr>
      </w:pPr>
      <w:hyperlink w:anchor="_Toc398801703" w:history="1">
        <w:r w:rsidR="00FE551A" w:rsidRPr="002F2808">
          <w:rPr>
            <w:rStyle w:val="Hyperlink"/>
            <w:rFonts w:ascii="Times New Roman" w:hAnsi="Times New Roman" w:cs="Times New Roman"/>
            <w:noProof/>
          </w:rPr>
          <w:t>IV.F. Proyecciones</w:t>
        </w:r>
        <w:r w:rsidR="00FE551A" w:rsidRPr="002F2808">
          <w:rPr>
            <w:rFonts w:ascii="Times New Roman" w:hAnsi="Times New Roman" w:cs="Times New Roman"/>
            <w:noProof/>
            <w:webHidden/>
          </w:rPr>
          <w:tab/>
        </w:r>
        <w:r w:rsidRPr="002F2808">
          <w:rPr>
            <w:rFonts w:ascii="Times New Roman" w:hAnsi="Times New Roman" w:cs="Times New Roman"/>
            <w:noProof/>
            <w:webHidden/>
          </w:rPr>
          <w:fldChar w:fldCharType="begin"/>
        </w:r>
        <w:r w:rsidR="00FE551A" w:rsidRPr="002F2808">
          <w:rPr>
            <w:rFonts w:ascii="Times New Roman" w:hAnsi="Times New Roman" w:cs="Times New Roman"/>
            <w:noProof/>
            <w:webHidden/>
          </w:rPr>
          <w:instrText xml:space="preserve"> PAGEREF _Toc398801703 \h </w:instrText>
        </w:r>
        <w:r w:rsidRPr="002F2808">
          <w:rPr>
            <w:rFonts w:ascii="Times New Roman" w:hAnsi="Times New Roman" w:cs="Times New Roman"/>
            <w:noProof/>
            <w:webHidden/>
          </w:rPr>
        </w:r>
        <w:r w:rsidRPr="002F2808">
          <w:rPr>
            <w:rFonts w:ascii="Times New Roman" w:hAnsi="Times New Roman" w:cs="Times New Roman"/>
            <w:noProof/>
            <w:webHidden/>
          </w:rPr>
          <w:fldChar w:fldCharType="separate"/>
        </w:r>
        <w:r w:rsidR="00FE551A" w:rsidRPr="002F2808">
          <w:rPr>
            <w:rFonts w:ascii="Times New Roman" w:hAnsi="Times New Roman" w:cs="Times New Roman"/>
            <w:noProof/>
            <w:webHidden/>
          </w:rPr>
          <w:t>13</w:t>
        </w:r>
        <w:r w:rsidRPr="002F2808">
          <w:rPr>
            <w:rFonts w:ascii="Times New Roman" w:hAnsi="Times New Roman" w:cs="Times New Roman"/>
            <w:noProof/>
            <w:webHidden/>
          </w:rPr>
          <w:fldChar w:fldCharType="end"/>
        </w:r>
      </w:hyperlink>
    </w:p>
    <w:p w:rsidR="00FE551A" w:rsidRPr="002F2808" w:rsidRDefault="007D5346">
      <w:pPr>
        <w:pStyle w:val="TOC1"/>
        <w:tabs>
          <w:tab w:val="left" w:pos="440"/>
          <w:tab w:val="right" w:leader="dot" w:pos="9016"/>
        </w:tabs>
        <w:rPr>
          <w:rFonts w:ascii="Times New Roman" w:eastAsiaTheme="minorEastAsia" w:hAnsi="Times New Roman" w:cs="Times New Roman"/>
          <w:noProof/>
          <w:lang w:val="en-US"/>
        </w:rPr>
      </w:pPr>
      <w:hyperlink w:anchor="_Toc398801704" w:history="1">
        <w:r w:rsidR="00FE551A" w:rsidRPr="002F2808">
          <w:rPr>
            <w:rStyle w:val="Hyperlink"/>
            <w:rFonts w:ascii="Times New Roman" w:hAnsi="Times New Roman" w:cs="Times New Roman"/>
            <w:noProof/>
          </w:rPr>
          <w:t>V.</w:t>
        </w:r>
        <w:r w:rsidR="00FE551A" w:rsidRPr="002F2808">
          <w:rPr>
            <w:rFonts w:ascii="Times New Roman" w:eastAsiaTheme="minorEastAsia" w:hAnsi="Times New Roman" w:cs="Times New Roman"/>
            <w:noProof/>
            <w:lang w:val="en-US"/>
          </w:rPr>
          <w:tab/>
        </w:r>
        <w:r w:rsidR="00FE551A" w:rsidRPr="002F2808">
          <w:rPr>
            <w:rStyle w:val="Hyperlink"/>
            <w:rFonts w:ascii="Times New Roman" w:hAnsi="Times New Roman" w:cs="Times New Roman"/>
            <w:noProof/>
          </w:rPr>
          <w:t>Sector Fiscal</w:t>
        </w:r>
        <w:r w:rsidR="00FE551A" w:rsidRPr="002F2808">
          <w:rPr>
            <w:rFonts w:ascii="Times New Roman" w:hAnsi="Times New Roman" w:cs="Times New Roman"/>
            <w:noProof/>
            <w:webHidden/>
          </w:rPr>
          <w:tab/>
        </w:r>
        <w:r w:rsidRPr="002F2808">
          <w:rPr>
            <w:rFonts w:ascii="Times New Roman" w:hAnsi="Times New Roman" w:cs="Times New Roman"/>
            <w:noProof/>
            <w:webHidden/>
          </w:rPr>
          <w:fldChar w:fldCharType="begin"/>
        </w:r>
        <w:r w:rsidR="00FE551A" w:rsidRPr="002F2808">
          <w:rPr>
            <w:rFonts w:ascii="Times New Roman" w:hAnsi="Times New Roman" w:cs="Times New Roman"/>
            <w:noProof/>
            <w:webHidden/>
          </w:rPr>
          <w:instrText xml:space="preserve"> PAGEREF _Toc398801704 \h </w:instrText>
        </w:r>
        <w:r w:rsidRPr="002F2808">
          <w:rPr>
            <w:rFonts w:ascii="Times New Roman" w:hAnsi="Times New Roman" w:cs="Times New Roman"/>
            <w:noProof/>
            <w:webHidden/>
          </w:rPr>
        </w:r>
        <w:r w:rsidRPr="002F2808">
          <w:rPr>
            <w:rFonts w:ascii="Times New Roman" w:hAnsi="Times New Roman" w:cs="Times New Roman"/>
            <w:noProof/>
            <w:webHidden/>
          </w:rPr>
          <w:fldChar w:fldCharType="separate"/>
        </w:r>
        <w:r w:rsidR="00FE551A" w:rsidRPr="002F2808">
          <w:rPr>
            <w:rFonts w:ascii="Times New Roman" w:hAnsi="Times New Roman" w:cs="Times New Roman"/>
            <w:noProof/>
            <w:webHidden/>
          </w:rPr>
          <w:t>14</w:t>
        </w:r>
        <w:r w:rsidRPr="002F2808">
          <w:rPr>
            <w:rFonts w:ascii="Times New Roman" w:hAnsi="Times New Roman" w:cs="Times New Roman"/>
            <w:noProof/>
            <w:webHidden/>
          </w:rPr>
          <w:fldChar w:fldCharType="end"/>
        </w:r>
      </w:hyperlink>
    </w:p>
    <w:p w:rsidR="00FE551A" w:rsidRPr="002F2808" w:rsidRDefault="007D5346">
      <w:pPr>
        <w:pStyle w:val="TOC2"/>
        <w:tabs>
          <w:tab w:val="right" w:leader="dot" w:pos="9016"/>
        </w:tabs>
        <w:rPr>
          <w:rFonts w:ascii="Times New Roman" w:eastAsiaTheme="minorEastAsia" w:hAnsi="Times New Roman" w:cs="Times New Roman"/>
          <w:noProof/>
          <w:lang w:val="en-US"/>
        </w:rPr>
      </w:pPr>
      <w:hyperlink w:anchor="_Toc398801705" w:history="1">
        <w:r w:rsidR="00FE551A" w:rsidRPr="002F2808">
          <w:rPr>
            <w:rStyle w:val="Hyperlink"/>
            <w:rFonts w:ascii="Times New Roman" w:hAnsi="Times New Roman" w:cs="Times New Roman"/>
            <w:noProof/>
            <w:lang w:val="es-DO"/>
          </w:rPr>
          <w:t>V.A. Descripción archivos por sector</w:t>
        </w:r>
        <w:r w:rsidR="00FE551A" w:rsidRPr="002F2808">
          <w:rPr>
            <w:rFonts w:ascii="Times New Roman" w:hAnsi="Times New Roman" w:cs="Times New Roman"/>
            <w:noProof/>
            <w:webHidden/>
          </w:rPr>
          <w:tab/>
        </w:r>
        <w:r w:rsidRPr="002F2808">
          <w:rPr>
            <w:rFonts w:ascii="Times New Roman" w:hAnsi="Times New Roman" w:cs="Times New Roman"/>
            <w:noProof/>
            <w:webHidden/>
          </w:rPr>
          <w:fldChar w:fldCharType="begin"/>
        </w:r>
        <w:r w:rsidR="00FE551A" w:rsidRPr="002F2808">
          <w:rPr>
            <w:rFonts w:ascii="Times New Roman" w:hAnsi="Times New Roman" w:cs="Times New Roman"/>
            <w:noProof/>
            <w:webHidden/>
          </w:rPr>
          <w:instrText xml:space="preserve"> PAGEREF _Toc398801705 \h </w:instrText>
        </w:r>
        <w:r w:rsidRPr="002F2808">
          <w:rPr>
            <w:rFonts w:ascii="Times New Roman" w:hAnsi="Times New Roman" w:cs="Times New Roman"/>
            <w:noProof/>
            <w:webHidden/>
          </w:rPr>
        </w:r>
        <w:r w:rsidRPr="002F2808">
          <w:rPr>
            <w:rFonts w:ascii="Times New Roman" w:hAnsi="Times New Roman" w:cs="Times New Roman"/>
            <w:noProof/>
            <w:webHidden/>
          </w:rPr>
          <w:fldChar w:fldCharType="separate"/>
        </w:r>
        <w:r w:rsidR="00FE551A" w:rsidRPr="002F2808">
          <w:rPr>
            <w:rFonts w:ascii="Times New Roman" w:hAnsi="Times New Roman" w:cs="Times New Roman"/>
            <w:noProof/>
            <w:webHidden/>
          </w:rPr>
          <w:t>14</w:t>
        </w:r>
        <w:r w:rsidRPr="002F2808">
          <w:rPr>
            <w:rFonts w:ascii="Times New Roman" w:hAnsi="Times New Roman" w:cs="Times New Roman"/>
            <w:noProof/>
            <w:webHidden/>
          </w:rPr>
          <w:fldChar w:fldCharType="end"/>
        </w:r>
      </w:hyperlink>
    </w:p>
    <w:p w:rsidR="00FE551A" w:rsidRPr="002F2808" w:rsidRDefault="007D5346">
      <w:pPr>
        <w:pStyle w:val="TOC2"/>
        <w:tabs>
          <w:tab w:val="right" w:leader="dot" w:pos="9016"/>
        </w:tabs>
        <w:rPr>
          <w:rFonts w:ascii="Times New Roman" w:eastAsiaTheme="minorEastAsia" w:hAnsi="Times New Roman" w:cs="Times New Roman"/>
          <w:noProof/>
          <w:lang w:val="en-US"/>
        </w:rPr>
      </w:pPr>
      <w:hyperlink w:anchor="_Toc398801706" w:history="1">
        <w:r w:rsidR="00FE551A" w:rsidRPr="002F2808">
          <w:rPr>
            <w:rStyle w:val="Hyperlink"/>
            <w:rFonts w:ascii="Times New Roman" w:hAnsi="Times New Roman" w:cs="Times New Roman"/>
            <w:noProof/>
            <w:lang w:val="es-DO"/>
          </w:rPr>
          <w:t>V.B. Período comprendido</w:t>
        </w:r>
        <w:r w:rsidR="00FE551A" w:rsidRPr="002F2808">
          <w:rPr>
            <w:rFonts w:ascii="Times New Roman" w:hAnsi="Times New Roman" w:cs="Times New Roman"/>
            <w:noProof/>
            <w:webHidden/>
          </w:rPr>
          <w:tab/>
        </w:r>
        <w:r w:rsidRPr="002F2808">
          <w:rPr>
            <w:rFonts w:ascii="Times New Roman" w:hAnsi="Times New Roman" w:cs="Times New Roman"/>
            <w:noProof/>
            <w:webHidden/>
          </w:rPr>
          <w:fldChar w:fldCharType="begin"/>
        </w:r>
        <w:r w:rsidR="00FE551A" w:rsidRPr="002F2808">
          <w:rPr>
            <w:rFonts w:ascii="Times New Roman" w:hAnsi="Times New Roman" w:cs="Times New Roman"/>
            <w:noProof/>
            <w:webHidden/>
          </w:rPr>
          <w:instrText xml:space="preserve"> PAGEREF _Toc398801706 \h </w:instrText>
        </w:r>
        <w:r w:rsidRPr="002F2808">
          <w:rPr>
            <w:rFonts w:ascii="Times New Roman" w:hAnsi="Times New Roman" w:cs="Times New Roman"/>
            <w:noProof/>
            <w:webHidden/>
          </w:rPr>
        </w:r>
        <w:r w:rsidRPr="002F2808">
          <w:rPr>
            <w:rFonts w:ascii="Times New Roman" w:hAnsi="Times New Roman" w:cs="Times New Roman"/>
            <w:noProof/>
            <w:webHidden/>
          </w:rPr>
          <w:fldChar w:fldCharType="separate"/>
        </w:r>
        <w:r w:rsidR="00FE551A" w:rsidRPr="002F2808">
          <w:rPr>
            <w:rFonts w:ascii="Times New Roman" w:hAnsi="Times New Roman" w:cs="Times New Roman"/>
            <w:noProof/>
            <w:webHidden/>
          </w:rPr>
          <w:t>17</w:t>
        </w:r>
        <w:r w:rsidRPr="002F2808">
          <w:rPr>
            <w:rFonts w:ascii="Times New Roman" w:hAnsi="Times New Roman" w:cs="Times New Roman"/>
            <w:noProof/>
            <w:webHidden/>
          </w:rPr>
          <w:fldChar w:fldCharType="end"/>
        </w:r>
      </w:hyperlink>
    </w:p>
    <w:p w:rsidR="00FE551A" w:rsidRPr="002F2808" w:rsidRDefault="007D5346">
      <w:pPr>
        <w:pStyle w:val="TOC2"/>
        <w:tabs>
          <w:tab w:val="right" w:leader="dot" w:pos="9016"/>
        </w:tabs>
        <w:rPr>
          <w:rFonts w:ascii="Times New Roman" w:eastAsiaTheme="minorEastAsia" w:hAnsi="Times New Roman" w:cs="Times New Roman"/>
          <w:noProof/>
          <w:lang w:val="en-US"/>
        </w:rPr>
      </w:pPr>
      <w:hyperlink w:anchor="_Toc398801707" w:history="1">
        <w:r w:rsidR="00FE551A" w:rsidRPr="002F2808">
          <w:rPr>
            <w:rStyle w:val="Hyperlink"/>
            <w:rFonts w:ascii="Times New Roman" w:hAnsi="Times New Roman" w:cs="Times New Roman"/>
            <w:noProof/>
            <w:lang w:val="es-DO"/>
          </w:rPr>
          <w:t>V.C. Fuente de datos</w:t>
        </w:r>
        <w:r w:rsidR="00FE551A" w:rsidRPr="002F2808">
          <w:rPr>
            <w:rFonts w:ascii="Times New Roman" w:hAnsi="Times New Roman" w:cs="Times New Roman"/>
            <w:noProof/>
            <w:webHidden/>
          </w:rPr>
          <w:tab/>
        </w:r>
        <w:r w:rsidRPr="002F2808">
          <w:rPr>
            <w:rFonts w:ascii="Times New Roman" w:hAnsi="Times New Roman" w:cs="Times New Roman"/>
            <w:noProof/>
            <w:webHidden/>
          </w:rPr>
          <w:fldChar w:fldCharType="begin"/>
        </w:r>
        <w:r w:rsidR="00FE551A" w:rsidRPr="002F2808">
          <w:rPr>
            <w:rFonts w:ascii="Times New Roman" w:hAnsi="Times New Roman" w:cs="Times New Roman"/>
            <w:noProof/>
            <w:webHidden/>
          </w:rPr>
          <w:instrText xml:space="preserve"> PAGEREF _Toc398801707 \h </w:instrText>
        </w:r>
        <w:r w:rsidRPr="002F2808">
          <w:rPr>
            <w:rFonts w:ascii="Times New Roman" w:hAnsi="Times New Roman" w:cs="Times New Roman"/>
            <w:noProof/>
            <w:webHidden/>
          </w:rPr>
        </w:r>
        <w:r w:rsidRPr="002F2808">
          <w:rPr>
            <w:rFonts w:ascii="Times New Roman" w:hAnsi="Times New Roman" w:cs="Times New Roman"/>
            <w:noProof/>
            <w:webHidden/>
          </w:rPr>
          <w:fldChar w:fldCharType="separate"/>
        </w:r>
        <w:r w:rsidR="00FE551A" w:rsidRPr="002F2808">
          <w:rPr>
            <w:rFonts w:ascii="Times New Roman" w:hAnsi="Times New Roman" w:cs="Times New Roman"/>
            <w:noProof/>
            <w:webHidden/>
          </w:rPr>
          <w:t>17</w:t>
        </w:r>
        <w:r w:rsidRPr="002F2808">
          <w:rPr>
            <w:rFonts w:ascii="Times New Roman" w:hAnsi="Times New Roman" w:cs="Times New Roman"/>
            <w:noProof/>
            <w:webHidden/>
          </w:rPr>
          <w:fldChar w:fldCharType="end"/>
        </w:r>
      </w:hyperlink>
    </w:p>
    <w:p w:rsidR="00FE551A" w:rsidRPr="002F2808" w:rsidRDefault="007D5346">
      <w:pPr>
        <w:pStyle w:val="TOC2"/>
        <w:tabs>
          <w:tab w:val="right" w:leader="dot" w:pos="9016"/>
        </w:tabs>
        <w:rPr>
          <w:rFonts w:ascii="Times New Roman" w:eastAsiaTheme="minorEastAsia" w:hAnsi="Times New Roman" w:cs="Times New Roman"/>
          <w:noProof/>
          <w:lang w:val="en-US"/>
        </w:rPr>
      </w:pPr>
      <w:hyperlink w:anchor="_Toc398801708" w:history="1">
        <w:r w:rsidR="00FE551A" w:rsidRPr="002F2808">
          <w:rPr>
            <w:rStyle w:val="Hyperlink"/>
            <w:rFonts w:ascii="Times New Roman" w:hAnsi="Times New Roman" w:cs="Times New Roman"/>
            <w:noProof/>
            <w:lang w:val="es-DO"/>
          </w:rPr>
          <w:t>V.D. Obtención de datos</w:t>
        </w:r>
        <w:r w:rsidR="00FE551A" w:rsidRPr="002F2808">
          <w:rPr>
            <w:rFonts w:ascii="Times New Roman" w:hAnsi="Times New Roman" w:cs="Times New Roman"/>
            <w:noProof/>
            <w:webHidden/>
          </w:rPr>
          <w:tab/>
        </w:r>
        <w:r w:rsidRPr="002F2808">
          <w:rPr>
            <w:rFonts w:ascii="Times New Roman" w:hAnsi="Times New Roman" w:cs="Times New Roman"/>
            <w:noProof/>
            <w:webHidden/>
          </w:rPr>
          <w:fldChar w:fldCharType="begin"/>
        </w:r>
        <w:r w:rsidR="00FE551A" w:rsidRPr="002F2808">
          <w:rPr>
            <w:rFonts w:ascii="Times New Roman" w:hAnsi="Times New Roman" w:cs="Times New Roman"/>
            <w:noProof/>
            <w:webHidden/>
          </w:rPr>
          <w:instrText xml:space="preserve"> PAGEREF _Toc398801708 \h </w:instrText>
        </w:r>
        <w:r w:rsidRPr="002F2808">
          <w:rPr>
            <w:rFonts w:ascii="Times New Roman" w:hAnsi="Times New Roman" w:cs="Times New Roman"/>
            <w:noProof/>
            <w:webHidden/>
          </w:rPr>
        </w:r>
        <w:r w:rsidRPr="002F2808">
          <w:rPr>
            <w:rFonts w:ascii="Times New Roman" w:hAnsi="Times New Roman" w:cs="Times New Roman"/>
            <w:noProof/>
            <w:webHidden/>
          </w:rPr>
          <w:fldChar w:fldCharType="separate"/>
        </w:r>
        <w:r w:rsidR="00FE551A" w:rsidRPr="002F2808">
          <w:rPr>
            <w:rFonts w:ascii="Times New Roman" w:hAnsi="Times New Roman" w:cs="Times New Roman"/>
            <w:noProof/>
            <w:webHidden/>
          </w:rPr>
          <w:t>17</w:t>
        </w:r>
        <w:r w:rsidRPr="002F2808">
          <w:rPr>
            <w:rFonts w:ascii="Times New Roman" w:hAnsi="Times New Roman" w:cs="Times New Roman"/>
            <w:noProof/>
            <w:webHidden/>
          </w:rPr>
          <w:fldChar w:fldCharType="end"/>
        </w:r>
      </w:hyperlink>
    </w:p>
    <w:p w:rsidR="00FE551A" w:rsidRPr="002F2808" w:rsidRDefault="007D5346">
      <w:pPr>
        <w:pStyle w:val="TOC2"/>
        <w:tabs>
          <w:tab w:val="right" w:leader="dot" w:pos="9016"/>
        </w:tabs>
        <w:rPr>
          <w:rFonts w:ascii="Times New Roman" w:eastAsiaTheme="minorEastAsia" w:hAnsi="Times New Roman" w:cs="Times New Roman"/>
          <w:noProof/>
          <w:lang w:val="en-US"/>
        </w:rPr>
      </w:pPr>
      <w:hyperlink w:anchor="_Toc398801709" w:history="1">
        <w:r w:rsidR="00FE551A" w:rsidRPr="002F2808">
          <w:rPr>
            <w:rStyle w:val="Hyperlink"/>
            <w:rFonts w:ascii="Times New Roman" w:hAnsi="Times New Roman" w:cs="Times New Roman"/>
            <w:noProof/>
            <w:lang w:val="es-DO"/>
          </w:rPr>
          <w:t>V.E. Frecuencia de producción de datos</w:t>
        </w:r>
        <w:r w:rsidR="00FE551A" w:rsidRPr="002F2808">
          <w:rPr>
            <w:rFonts w:ascii="Times New Roman" w:hAnsi="Times New Roman" w:cs="Times New Roman"/>
            <w:noProof/>
            <w:webHidden/>
          </w:rPr>
          <w:tab/>
        </w:r>
        <w:r w:rsidRPr="002F2808">
          <w:rPr>
            <w:rFonts w:ascii="Times New Roman" w:hAnsi="Times New Roman" w:cs="Times New Roman"/>
            <w:noProof/>
            <w:webHidden/>
          </w:rPr>
          <w:fldChar w:fldCharType="begin"/>
        </w:r>
        <w:r w:rsidR="00FE551A" w:rsidRPr="002F2808">
          <w:rPr>
            <w:rFonts w:ascii="Times New Roman" w:hAnsi="Times New Roman" w:cs="Times New Roman"/>
            <w:noProof/>
            <w:webHidden/>
          </w:rPr>
          <w:instrText xml:space="preserve"> PAGEREF _Toc398801709 \h </w:instrText>
        </w:r>
        <w:r w:rsidRPr="002F2808">
          <w:rPr>
            <w:rFonts w:ascii="Times New Roman" w:hAnsi="Times New Roman" w:cs="Times New Roman"/>
            <w:noProof/>
            <w:webHidden/>
          </w:rPr>
        </w:r>
        <w:r w:rsidRPr="002F2808">
          <w:rPr>
            <w:rFonts w:ascii="Times New Roman" w:hAnsi="Times New Roman" w:cs="Times New Roman"/>
            <w:noProof/>
            <w:webHidden/>
          </w:rPr>
          <w:fldChar w:fldCharType="separate"/>
        </w:r>
        <w:r w:rsidR="00FE551A" w:rsidRPr="002F2808">
          <w:rPr>
            <w:rFonts w:ascii="Times New Roman" w:hAnsi="Times New Roman" w:cs="Times New Roman"/>
            <w:noProof/>
            <w:webHidden/>
          </w:rPr>
          <w:t>18</w:t>
        </w:r>
        <w:r w:rsidRPr="002F2808">
          <w:rPr>
            <w:rFonts w:ascii="Times New Roman" w:hAnsi="Times New Roman" w:cs="Times New Roman"/>
            <w:noProof/>
            <w:webHidden/>
          </w:rPr>
          <w:fldChar w:fldCharType="end"/>
        </w:r>
      </w:hyperlink>
    </w:p>
    <w:p w:rsidR="00FE551A" w:rsidRPr="002F2808" w:rsidRDefault="007D5346">
      <w:pPr>
        <w:pStyle w:val="TOC2"/>
        <w:tabs>
          <w:tab w:val="right" w:leader="dot" w:pos="9016"/>
        </w:tabs>
        <w:rPr>
          <w:rFonts w:ascii="Times New Roman" w:eastAsiaTheme="minorEastAsia" w:hAnsi="Times New Roman" w:cs="Times New Roman"/>
          <w:noProof/>
          <w:lang w:val="en-US"/>
        </w:rPr>
      </w:pPr>
      <w:hyperlink w:anchor="_Toc398801710" w:history="1">
        <w:r w:rsidR="00FE551A" w:rsidRPr="002F2808">
          <w:rPr>
            <w:rStyle w:val="Hyperlink"/>
            <w:rFonts w:ascii="Times New Roman" w:hAnsi="Times New Roman" w:cs="Times New Roman"/>
            <w:noProof/>
            <w:lang w:val="es-DO"/>
          </w:rPr>
          <w:t>V.F. Proyecciones</w:t>
        </w:r>
        <w:r w:rsidR="00FE551A" w:rsidRPr="002F2808">
          <w:rPr>
            <w:rFonts w:ascii="Times New Roman" w:hAnsi="Times New Roman" w:cs="Times New Roman"/>
            <w:noProof/>
            <w:webHidden/>
          </w:rPr>
          <w:tab/>
        </w:r>
        <w:r w:rsidRPr="002F2808">
          <w:rPr>
            <w:rFonts w:ascii="Times New Roman" w:hAnsi="Times New Roman" w:cs="Times New Roman"/>
            <w:noProof/>
            <w:webHidden/>
          </w:rPr>
          <w:fldChar w:fldCharType="begin"/>
        </w:r>
        <w:r w:rsidR="00FE551A" w:rsidRPr="002F2808">
          <w:rPr>
            <w:rFonts w:ascii="Times New Roman" w:hAnsi="Times New Roman" w:cs="Times New Roman"/>
            <w:noProof/>
            <w:webHidden/>
          </w:rPr>
          <w:instrText xml:space="preserve"> PAGEREF _Toc398801710 \h </w:instrText>
        </w:r>
        <w:r w:rsidRPr="002F2808">
          <w:rPr>
            <w:rFonts w:ascii="Times New Roman" w:hAnsi="Times New Roman" w:cs="Times New Roman"/>
            <w:noProof/>
            <w:webHidden/>
          </w:rPr>
        </w:r>
        <w:r w:rsidRPr="002F2808">
          <w:rPr>
            <w:rFonts w:ascii="Times New Roman" w:hAnsi="Times New Roman" w:cs="Times New Roman"/>
            <w:noProof/>
            <w:webHidden/>
          </w:rPr>
          <w:fldChar w:fldCharType="separate"/>
        </w:r>
        <w:r w:rsidR="00FE551A" w:rsidRPr="002F2808">
          <w:rPr>
            <w:rFonts w:ascii="Times New Roman" w:hAnsi="Times New Roman" w:cs="Times New Roman"/>
            <w:noProof/>
            <w:webHidden/>
          </w:rPr>
          <w:t>18</w:t>
        </w:r>
        <w:r w:rsidRPr="002F2808">
          <w:rPr>
            <w:rFonts w:ascii="Times New Roman" w:hAnsi="Times New Roman" w:cs="Times New Roman"/>
            <w:noProof/>
            <w:webHidden/>
          </w:rPr>
          <w:fldChar w:fldCharType="end"/>
        </w:r>
      </w:hyperlink>
    </w:p>
    <w:p w:rsidR="00FE551A" w:rsidRPr="002F2808" w:rsidRDefault="007D5346">
      <w:pPr>
        <w:pStyle w:val="TOC1"/>
        <w:tabs>
          <w:tab w:val="left" w:pos="660"/>
          <w:tab w:val="right" w:leader="dot" w:pos="9016"/>
        </w:tabs>
        <w:rPr>
          <w:rFonts w:ascii="Times New Roman" w:eastAsiaTheme="minorEastAsia" w:hAnsi="Times New Roman" w:cs="Times New Roman"/>
          <w:noProof/>
          <w:lang w:val="en-US"/>
        </w:rPr>
      </w:pPr>
      <w:hyperlink w:anchor="_Toc398801711" w:history="1">
        <w:r w:rsidR="00FE551A" w:rsidRPr="002F2808">
          <w:rPr>
            <w:rStyle w:val="Hyperlink"/>
            <w:rFonts w:ascii="Times New Roman" w:hAnsi="Times New Roman" w:cs="Times New Roman"/>
            <w:noProof/>
          </w:rPr>
          <w:t>VI.</w:t>
        </w:r>
        <w:r w:rsidR="00FE551A" w:rsidRPr="002F2808">
          <w:rPr>
            <w:rFonts w:ascii="Times New Roman" w:eastAsiaTheme="minorEastAsia" w:hAnsi="Times New Roman" w:cs="Times New Roman"/>
            <w:noProof/>
            <w:lang w:val="en-US"/>
          </w:rPr>
          <w:tab/>
        </w:r>
        <w:r w:rsidR="00FE551A" w:rsidRPr="002F2808">
          <w:rPr>
            <w:rStyle w:val="Hyperlink"/>
            <w:rFonts w:ascii="Times New Roman" w:hAnsi="Times New Roman" w:cs="Times New Roman"/>
            <w:noProof/>
          </w:rPr>
          <w:t>Sector Monetario</w:t>
        </w:r>
        <w:r w:rsidR="00FE551A" w:rsidRPr="002F2808">
          <w:rPr>
            <w:rFonts w:ascii="Times New Roman" w:hAnsi="Times New Roman" w:cs="Times New Roman"/>
            <w:noProof/>
            <w:webHidden/>
          </w:rPr>
          <w:tab/>
        </w:r>
        <w:r w:rsidRPr="002F2808">
          <w:rPr>
            <w:rFonts w:ascii="Times New Roman" w:hAnsi="Times New Roman" w:cs="Times New Roman"/>
            <w:noProof/>
            <w:webHidden/>
          </w:rPr>
          <w:fldChar w:fldCharType="begin"/>
        </w:r>
        <w:r w:rsidR="00FE551A" w:rsidRPr="002F2808">
          <w:rPr>
            <w:rFonts w:ascii="Times New Roman" w:hAnsi="Times New Roman" w:cs="Times New Roman"/>
            <w:noProof/>
            <w:webHidden/>
          </w:rPr>
          <w:instrText xml:space="preserve"> PAGEREF _Toc398801711 \h </w:instrText>
        </w:r>
        <w:r w:rsidRPr="002F2808">
          <w:rPr>
            <w:rFonts w:ascii="Times New Roman" w:hAnsi="Times New Roman" w:cs="Times New Roman"/>
            <w:noProof/>
            <w:webHidden/>
          </w:rPr>
        </w:r>
        <w:r w:rsidRPr="002F2808">
          <w:rPr>
            <w:rFonts w:ascii="Times New Roman" w:hAnsi="Times New Roman" w:cs="Times New Roman"/>
            <w:noProof/>
            <w:webHidden/>
          </w:rPr>
          <w:fldChar w:fldCharType="separate"/>
        </w:r>
        <w:r w:rsidR="00FE551A" w:rsidRPr="002F2808">
          <w:rPr>
            <w:rFonts w:ascii="Times New Roman" w:hAnsi="Times New Roman" w:cs="Times New Roman"/>
            <w:noProof/>
            <w:webHidden/>
          </w:rPr>
          <w:t>19</w:t>
        </w:r>
        <w:r w:rsidRPr="002F2808">
          <w:rPr>
            <w:rFonts w:ascii="Times New Roman" w:hAnsi="Times New Roman" w:cs="Times New Roman"/>
            <w:noProof/>
            <w:webHidden/>
          </w:rPr>
          <w:fldChar w:fldCharType="end"/>
        </w:r>
      </w:hyperlink>
    </w:p>
    <w:p w:rsidR="00FE551A" w:rsidRPr="002F2808" w:rsidRDefault="007D5346">
      <w:pPr>
        <w:pStyle w:val="TOC2"/>
        <w:tabs>
          <w:tab w:val="right" w:leader="dot" w:pos="9016"/>
        </w:tabs>
        <w:rPr>
          <w:rFonts w:ascii="Times New Roman" w:eastAsiaTheme="minorEastAsia" w:hAnsi="Times New Roman" w:cs="Times New Roman"/>
          <w:noProof/>
          <w:lang w:val="en-US"/>
        </w:rPr>
      </w:pPr>
      <w:hyperlink w:anchor="_Toc398801712" w:history="1">
        <w:r w:rsidR="00FE551A" w:rsidRPr="002F2808">
          <w:rPr>
            <w:rStyle w:val="Hyperlink"/>
            <w:rFonts w:ascii="Times New Roman" w:hAnsi="Times New Roman" w:cs="Times New Roman"/>
            <w:noProof/>
            <w:lang w:val="es-DO"/>
          </w:rPr>
          <w:t>VI.A. Descripción archivos por sector</w:t>
        </w:r>
        <w:r w:rsidR="00FE551A" w:rsidRPr="002F2808">
          <w:rPr>
            <w:rFonts w:ascii="Times New Roman" w:hAnsi="Times New Roman" w:cs="Times New Roman"/>
            <w:noProof/>
            <w:webHidden/>
          </w:rPr>
          <w:tab/>
        </w:r>
        <w:r w:rsidRPr="002F2808">
          <w:rPr>
            <w:rFonts w:ascii="Times New Roman" w:hAnsi="Times New Roman" w:cs="Times New Roman"/>
            <w:noProof/>
            <w:webHidden/>
          </w:rPr>
          <w:fldChar w:fldCharType="begin"/>
        </w:r>
        <w:r w:rsidR="00FE551A" w:rsidRPr="002F2808">
          <w:rPr>
            <w:rFonts w:ascii="Times New Roman" w:hAnsi="Times New Roman" w:cs="Times New Roman"/>
            <w:noProof/>
            <w:webHidden/>
          </w:rPr>
          <w:instrText xml:space="preserve"> PAGEREF _Toc398801712 \h </w:instrText>
        </w:r>
        <w:r w:rsidRPr="002F2808">
          <w:rPr>
            <w:rFonts w:ascii="Times New Roman" w:hAnsi="Times New Roman" w:cs="Times New Roman"/>
            <w:noProof/>
            <w:webHidden/>
          </w:rPr>
        </w:r>
        <w:r w:rsidRPr="002F2808">
          <w:rPr>
            <w:rFonts w:ascii="Times New Roman" w:hAnsi="Times New Roman" w:cs="Times New Roman"/>
            <w:noProof/>
            <w:webHidden/>
          </w:rPr>
          <w:fldChar w:fldCharType="separate"/>
        </w:r>
        <w:r w:rsidR="00FE551A" w:rsidRPr="002F2808">
          <w:rPr>
            <w:rFonts w:ascii="Times New Roman" w:hAnsi="Times New Roman" w:cs="Times New Roman"/>
            <w:noProof/>
            <w:webHidden/>
          </w:rPr>
          <w:t>19</w:t>
        </w:r>
        <w:r w:rsidRPr="002F2808">
          <w:rPr>
            <w:rFonts w:ascii="Times New Roman" w:hAnsi="Times New Roman" w:cs="Times New Roman"/>
            <w:noProof/>
            <w:webHidden/>
          </w:rPr>
          <w:fldChar w:fldCharType="end"/>
        </w:r>
      </w:hyperlink>
    </w:p>
    <w:p w:rsidR="00FE551A" w:rsidRPr="002F2808" w:rsidRDefault="007D5346">
      <w:pPr>
        <w:pStyle w:val="TOC2"/>
        <w:tabs>
          <w:tab w:val="right" w:leader="dot" w:pos="9016"/>
        </w:tabs>
        <w:rPr>
          <w:rFonts w:ascii="Times New Roman" w:eastAsiaTheme="minorEastAsia" w:hAnsi="Times New Roman" w:cs="Times New Roman"/>
          <w:noProof/>
          <w:lang w:val="en-US"/>
        </w:rPr>
      </w:pPr>
      <w:hyperlink w:anchor="_Toc398801713" w:history="1">
        <w:r w:rsidR="00FE551A" w:rsidRPr="002F2808">
          <w:rPr>
            <w:rStyle w:val="Hyperlink"/>
            <w:rFonts w:ascii="Times New Roman" w:hAnsi="Times New Roman" w:cs="Times New Roman"/>
            <w:noProof/>
            <w:lang w:val="es-DO"/>
          </w:rPr>
          <w:t>VI.B. Periodo comprendido</w:t>
        </w:r>
        <w:r w:rsidR="00FE551A" w:rsidRPr="002F2808">
          <w:rPr>
            <w:rFonts w:ascii="Times New Roman" w:hAnsi="Times New Roman" w:cs="Times New Roman"/>
            <w:noProof/>
            <w:webHidden/>
          </w:rPr>
          <w:tab/>
        </w:r>
        <w:r w:rsidRPr="002F2808">
          <w:rPr>
            <w:rFonts w:ascii="Times New Roman" w:hAnsi="Times New Roman" w:cs="Times New Roman"/>
            <w:noProof/>
            <w:webHidden/>
          </w:rPr>
          <w:fldChar w:fldCharType="begin"/>
        </w:r>
        <w:r w:rsidR="00FE551A" w:rsidRPr="002F2808">
          <w:rPr>
            <w:rFonts w:ascii="Times New Roman" w:hAnsi="Times New Roman" w:cs="Times New Roman"/>
            <w:noProof/>
            <w:webHidden/>
          </w:rPr>
          <w:instrText xml:space="preserve"> PAGEREF _Toc398801713 \h </w:instrText>
        </w:r>
        <w:r w:rsidRPr="002F2808">
          <w:rPr>
            <w:rFonts w:ascii="Times New Roman" w:hAnsi="Times New Roman" w:cs="Times New Roman"/>
            <w:noProof/>
            <w:webHidden/>
          </w:rPr>
        </w:r>
        <w:r w:rsidRPr="002F2808">
          <w:rPr>
            <w:rFonts w:ascii="Times New Roman" w:hAnsi="Times New Roman" w:cs="Times New Roman"/>
            <w:noProof/>
            <w:webHidden/>
          </w:rPr>
          <w:fldChar w:fldCharType="separate"/>
        </w:r>
        <w:r w:rsidR="00FE551A" w:rsidRPr="002F2808">
          <w:rPr>
            <w:rFonts w:ascii="Times New Roman" w:hAnsi="Times New Roman" w:cs="Times New Roman"/>
            <w:noProof/>
            <w:webHidden/>
          </w:rPr>
          <w:t>21</w:t>
        </w:r>
        <w:r w:rsidRPr="002F2808">
          <w:rPr>
            <w:rFonts w:ascii="Times New Roman" w:hAnsi="Times New Roman" w:cs="Times New Roman"/>
            <w:noProof/>
            <w:webHidden/>
          </w:rPr>
          <w:fldChar w:fldCharType="end"/>
        </w:r>
      </w:hyperlink>
    </w:p>
    <w:p w:rsidR="00FE551A" w:rsidRPr="002F2808" w:rsidRDefault="007D5346">
      <w:pPr>
        <w:pStyle w:val="TOC2"/>
        <w:tabs>
          <w:tab w:val="right" w:leader="dot" w:pos="9016"/>
        </w:tabs>
        <w:rPr>
          <w:rFonts w:ascii="Times New Roman" w:eastAsiaTheme="minorEastAsia" w:hAnsi="Times New Roman" w:cs="Times New Roman"/>
          <w:noProof/>
          <w:lang w:val="en-US"/>
        </w:rPr>
      </w:pPr>
      <w:hyperlink w:anchor="_Toc398801714" w:history="1">
        <w:r w:rsidR="00FE551A" w:rsidRPr="002F2808">
          <w:rPr>
            <w:rStyle w:val="Hyperlink"/>
            <w:rFonts w:ascii="Times New Roman" w:hAnsi="Times New Roman" w:cs="Times New Roman"/>
            <w:noProof/>
            <w:lang w:val="es-DO"/>
          </w:rPr>
          <w:t>VI.C. Fuente de datos</w:t>
        </w:r>
        <w:r w:rsidR="00FE551A" w:rsidRPr="002F2808">
          <w:rPr>
            <w:rFonts w:ascii="Times New Roman" w:hAnsi="Times New Roman" w:cs="Times New Roman"/>
            <w:noProof/>
            <w:webHidden/>
          </w:rPr>
          <w:tab/>
        </w:r>
        <w:r w:rsidRPr="002F2808">
          <w:rPr>
            <w:rFonts w:ascii="Times New Roman" w:hAnsi="Times New Roman" w:cs="Times New Roman"/>
            <w:noProof/>
            <w:webHidden/>
          </w:rPr>
          <w:fldChar w:fldCharType="begin"/>
        </w:r>
        <w:r w:rsidR="00FE551A" w:rsidRPr="002F2808">
          <w:rPr>
            <w:rFonts w:ascii="Times New Roman" w:hAnsi="Times New Roman" w:cs="Times New Roman"/>
            <w:noProof/>
            <w:webHidden/>
          </w:rPr>
          <w:instrText xml:space="preserve"> PAGEREF _Toc398801714 \h </w:instrText>
        </w:r>
        <w:r w:rsidRPr="002F2808">
          <w:rPr>
            <w:rFonts w:ascii="Times New Roman" w:hAnsi="Times New Roman" w:cs="Times New Roman"/>
            <w:noProof/>
            <w:webHidden/>
          </w:rPr>
        </w:r>
        <w:r w:rsidRPr="002F2808">
          <w:rPr>
            <w:rFonts w:ascii="Times New Roman" w:hAnsi="Times New Roman" w:cs="Times New Roman"/>
            <w:noProof/>
            <w:webHidden/>
          </w:rPr>
          <w:fldChar w:fldCharType="separate"/>
        </w:r>
        <w:r w:rsidR="00FE551A" w:rsidRPr="002F2808">
          <w:rPr>
            <w:rFonts w:ascii="Times New Roman" w:hAnsi="Times New Roman" w:cs="Times New Roman"/>
            <w:noProof/>
            <w:webHidden/>
          </w:rPr>
          <w:t>21</w:t>
        </w:r>
        <w:r w:rsidRPr="002F2808">
          <w:rPr>
            <w:rFonts w:ascii="Times New Roman" w:hAnsi="Times New Roman" w:cs="Times New Roman"/>
            <w:noProof/>
            <w:webHidden/>
          </w:rPr>
          <w:fldChar w:fldCharType="end"/>
        </w:r>
      </w:hyperlink>
    </w:p>
    <w:p w:rsidR="00FE551A" w:rsidRPr="002F2808" w:rsidRDefault="007D5346">
      <w:pPr>
        <w:pStyle w:val="TOC2"/>
        <w:tabs>
          <w:tab w:val="right" w:leader="dot" w:pos="9016"/>
        </w:tabs>
        <w:rPr>
          <w:rFonts w:ascii="Times New Roman" w:eastAsiaTheme="minorEastAsia" w:hAnsi="Times New Roman" w:cs="Times New Roman"/>
          <w:noProof/>
          <w:lang w:val="en-US"/>
        </w:rPr>
      </w:pPr>
      <w:hyperlink w:anchor="_Toc398801715" w:history="1">
        <w:r w:rsidR="00FE551A" w:rsidRPr="002F2808">
          <w:rPr>
            <w:rStyle w:val="Hyperlink"/>
            <w:rFonts w:ascii="Times New Roman" w:hAnsi="Times New Roman" w:cs="Times New Roman"/>
            <w:noProof/>
            <w:lang w:val="es-DO"/>
          </w:rPr>
          <w:t>VI.D. Obtención de datos</w:t>
        </w:r>
        <w:r w:rsidR="00FE551A" w:rsidRPr="002F2808">
          <w:rPr>
            <w:rFonts w:ascii="Times New Roman" w:hAnsi="Times New Roman" w:cs="Times New Roman"/>
            <w:noProof/>
            <w:webHidden/>
          </w:rPr>
          <w:tab/>
        </w:r>
        <w:r w:rsidRPr="002F2808">
          <w:rPr>
            <w:rFonts w:ascii="Times New Roman" w:hAnsi="Times New Roman" w:cs="Times New Roman"/>
            <w:noProof/>
            <w:webHidden/>
          </w:rPr>
          <w:fldChar w:fldCharType="begin"/>
        </w:r>
        <w:r w:rsidR="00FE551A" w:rsidRPr="002F2808">
          <w:rPr>
            <w:rFonts w:ascii="Times New Roman" w:hAnsi="Times New Roman" w:cs="Times New Roman"/>
            <w:noProof/>
            <w:webHidden/>
          </w:rPr>
          <w:instrText xml:space="preserve"> PAGEREF _Toc398801715 \h </w:instrText>
        </w:r>
        <w:r w:rsidRPr="002F2808">
          <w:rPr>
            <w:rFonts w:ascii="Times New Roman" w:hAnsi="Times New Roman" w:cs="Times New Roman"/>
            <w:noProof/>
            <w:webHidden/>
          </w:rPr>
        </w:r>
        <w:r w:rsidRPr="002F2808">
          <w:rPr>
            <w:rFonts w:ascii="Times New Roman" w:hAnsi="Times New Roman" w:cs="Times New Roman"/>
            <w:noProof/>
            <w:webHidden/>
          </w:rPr>
          <w:fldChar w:fldCharType="separate"/>
        </w:r>
        <w:r w:rsidR="00FE551A" w:rsidRPr="002F2808">
          <w:rPr>
            <w:rFonts w:ascii="Times New Roman" w:hAnsi="Times New Roman" w:cs="Times New Roman"/>
            <w:noProof/>
            <w:webHidden/>
          </w:rPr>
          <w:t>22</w:t>
        </w:r>
        <w:r w:rsidRPr="002F2808">
          <w:rPr>
            <w:rFonts w:ascii="Times New Roman" w:hAnsi="Times New Roman" w:cs="Times New Roman"/>
            <w:noProof/>
            <w:webHidden/>
          </w:rPr>
          <w:fldChar w:fldCharType="end"/>
        </w:r>
      </w:hyperlink>
    </w:p>
    <w:p w:rsidR="00FE551A" w:rsidRPr="002F2808" w:rsidRDefault="007D5346">
      <w:pPr>
        <w:pStyle w:val="TOC2"/>
        <w:tabs>
          <w:tab w:val="right" w:leader="dot" w:pos="9016"/>
        </w:tabs>
        <w:rPr>
          <w:rFonts w:ascii="Times New Roman" w:eastAsiaTheme="minorEastAsia" w:hAnsi="Times New Roman" w:cs="Times New Roman"/>
          <w:noProof/>
          <w:lang w:val="en-US"/>
        </w:rPr>
      </w:pPr>
      <w:hyperlink w:anchor="_Toc398801716" w:history="1">
        <w:r w:rsidR="00FE551A" w:rsidRPr="002F2808">
          <w:rPr>
            <w:rStyle w:val="Hyperlink"/>
            <w:rFonts w:ascii="Times New Roman" w:hAnsi="Times New Roman" w:cs="Times New Roman"/>
            <w:noProof/>
            <w:lang w:val="es-DO"/>
          </w:rPr>
          <w:t>VI.E. Frecuencia de producción de datos</w:t>
        </w:r>
        <w:r w:rsidR="00FE551A" w:rsidRPr="002F2808">
          <w:rPr>
            <w:rFonts w:ascii="Times New Roman" w:hAnsi="Times New Roman" w:cs="Times New Roman"/>
            <w:noProof/>
            <w:webHidden/>
          </w:rPr>
          <w:tab/>
        </w:r>
        <w:r w:rsidRPr="002F2808">
          <w:rPr>
            <w:rFonts w:ascii="Times New Roman" w:hAnsi="Times New Roman" w:cs="Times New Roman"/>
            <w:noProof/>
            <w:webHidden/>
          </w:rPr>
          <w:fldChar w:fldCharType="begin"/>
        </w:r>
        <w:r w:rsidR="00FE551A" w:rsidRPr="002F2808">
          <w:rPr>
            <w:rFonts w:ascii="Times New Roman" w:hAnsi="Times New Roman" w:cs="Times New Roman"/>
            <w:noProof/>
            <w:webHidden/>
          </w:rPr>
          <w:instrText xml:space="preserve"> PAGEREF _Toc398801716 \h </w:instrText>
        </w:r>
        <w:r w:rsidRPr="002F2808">
          <w:rPr>
            <w:rFonts w:ascii="Times New Roman" w:hAnsi="Times New Roman" w:cs="Times New Roman"/>
            <w:noProof/>
            <w:webHidden/>
          </w:rPr>
        </w:r>
        <w:r w:rsidRPr="002F2808">
          <w:rPr>
            <w:rFonts w:ascii="Times New Roman" w:hAnsi="Times New Roman" w:cs="Times New Roman"/>
            <w:noProof/>
            <w:webHidden/>
          </w:rPr>
          <w:fldChar w:fldCharType="separate"/>
        </w:r>
        <w:r w:rsidR="00FE551A" w:rsidRPr="002F2808">
          <w:rPr>
            <w:rFonts w:ascii="Times New Roman" w:hAnsi="Times New Roman" w:cs="Times New Roman"/>
            <w:noProof/>
            <w:webHidden/>
          </w:rPr>
          <w:t>22</w:t>
        </w:r>
        <w:r w:rsidRPr="002F2808">
          <w:rPr>
            <w:rFonts w:ascii="Times New Roman" w:hAnsi="Times New Roman" w:cs="Times New Roman"/>
            <w:noProof/>
            <w:webHidden/>
          </w:rPr>
          <w:fldChar w:fldCharType="end"/>
        </w:r>
      </w:hyperlink>
    </w:p>
    <w:p w:rsidR="00FE551A" w:rsidRPr="002F2808" w:rsidRDefault="007D5346">
      <w:pPr>
        <w:pStyle w:val="TOC2"/>
        <w:tabs>
          <w:tab w:val="right" w:leader="dot" w:pos="9016"/>
        </w:tabs>
        <w:rPr>
          <w:rFonts w:ascii="Times New Roman" w:eastAsiaTheme="minorEastAsia" w:hAnsi="Times New Roman" w:cs="Times New Roman"/>
          <w:noProof/>
          <w:lang w:val="en-US"/>
        </w:rPr>
      </w:pPr>
      <w:hyperlink w:anchor="_Toc398801717" w:history="1">
        <w:r w:rsidR="00FE551A" w:rsidRPr="002F2808">
          <w:rPr>
            <w:rStyle w:val="Hyperlink"/>
            <w:rFonts w:ascii="Times New Roman" w:hAnsi="Times New Roman" w:cs="Times New Roman"/>
            <w:noProof/>
            <w:lang w:val="es-DO"/>
          </w:rPr>
          <w:t>VI.F. Proyecciones</w:t>
        </w:r>
        <w:r w:rsidR="00FE551A" w:rsidRPr="002F2808">
          <w:rPr>
            <w:rFonts w:ascii="Times New Roman" w:hAnsi="Times New Roman" w:cs="Times New Roman"/>
            <w:noProof/>
            <w:webHidden/>
          </w:rPr>
          <w:tab/>
        </w:r>
        <w:r w:rsidRPr="002F2808">
          <w:rPr>
            <w:rFonts w:ascii="Times New Roman" w:hAnsi="Times New Roman" w:cs="Times New Roman"/>
            <w:noProof/>
            <w:webHidden/>
          </w:rPr>
          <w:fldChar w:fldCharType="begin"/>
        </w:r>
        <w:r w:rsidR="00FE551A" w:rsidRPr="002F2808">
          <w:rPr>
            <w:rFonts w:ascii="Times New Roman" w:hAnsi="Times New Roman" w:cs="Times New Roman"/>
            <w:noProof/>
            <w:webHidden/>
          </w:rPr>
          <w:instrText xml:space="preserve"> PAGEREF _Toc398801717 \h </w:instrText>
        </w:r>
        <w:r w:rsidRPr="002F2808">
          <w:rPr>
            <w:rFonts w:ascii="Times New Roman" w:hAnsi="Times New Roman" w:cs="Times New Roman"/>
            <w:noProof/>
            <w:webHidden/>
          </w:rPr>
        </w:r>
        <w:r w:rsidRPr="002F2808">
          <w:rPr>
            <w:rFonts w:ascii="Times New Roman" w:hAnsi="Times New Roman" w:cs="Times New Roman"/>
            <w:noProof/>
            <w:webHidden/>
          </w:rPr>
          <w:fldChar w:fldCharType="separate"/>
        </w:r>
        <w:r w:rsidR="00FE551A" w:rsidRPr="002F2808">
          <w:rPr>
            <w:rFonts w:ascii="Times New Roman" w:hAnsi="Times New Roman" w:cs="Times New Roman"/>
            <w:noProof/>
            <w:webHidden/>
          </w:rPr>
          <w:t>22</w:t>
        </w:r>
        <w:r w:rsidRPr="002F2808">
          <w:rPr>
            <w:rFonts w:ascii="Times New Roman" w:hAnsi="Times New Roman" w:cs="Times New Roman"/>
            <w:noProof/>
            <w:webHidden/>
          </w:rPr>
          <w:fldChar w:fldCharType="end"/>
        </w:r>
      </w:hyperlink>
    </w:p>
    <w:p w:rsidR="00FE551A" w:rsidRDefault="007D5346" w:rsidP="00FE551A">
      <w:pPr>
        <w:pStyle w:val="Heading1"/>
        <w:rPr>
          <w:rFonts w:cs="Arial"/>
        </w:rPr>
      </w:pPr>
      <w:r w:rsidRPr="002F2808">
        <w:rPr>
          <w:rFonts w:ascii="Times New Roman" w:hAnsi="Times New Roman" w:cs="Times New Roman"/>
          <w:sz w:val="22"/>
          <w:szCs w:val="22"/>
        </w:rPr>
        <w:lastRenderedPageBreak/>
        <w:fldChar w:fldCharType="end"/>
      </w:r>
    </w:p>
    <w:p w:rsidR="00FE551A" w:rsidRDefault="00FE551A" w:rsidP="00FE551A">
      <w:pPr>
        <w:pStyle w:val="NoSpacing"/>
        <w:rPr>
          <w:rFonts w:ascii="Arial" w:eastAsiaTheme="majorEastAsia" w:hAnsi="Arial"/>
          <w:color w:val="000000" w:themeColor="text1"/>
          <w:sz w:val="24"/>
          <w:szCs w:val="28"/>
        </w:rPr>
      </w:pPr>
      <w:r>
        <w:br w:type="page"/>
      </w:r>
    </w:p>
    <w:p w:rsidR="00970E74" w:rsidRPr="00FE551A" w:rsidRDefault="00571C85" w:rsidP="00FE551A">
      <w:pPr>
        <w:pStyle w:val="Heading1"/>
        <w:numPr>
          <w:ilvl w:val="0"/>
          <w:numId w:val="4"/>
        </w:numPr>
        <w:ind w:left="360" w:hanging="360"/>
        <w:rPr>
          <w:rFonts w:ascii="Times New Roman" w:hAnsi="Times New Roman" w:cs="Times New Roman"/>
          <w:sz w:val="28"/>
        </w:rPr>
      </w:pPr>
      <w:bookmarkStart w:id="0" w:name="_Toc398801688"/>
      <w:r w:rsidRPr="00FE551A">
        <w:rPr>
          <w:rFonts w:ascii="Times New Roman" w:hAnsi="Times New Roman" w:cs="Times New Roman"/>
          <w:sz w:val="28"/>
        </w:rPr>
        <w:lastRenderedPageBreak/>
        <w:t>C</w:t>
      </w:r>
      <w:r w:rsidR="00970E74" w:rsidRPr="00FE551A">
        <w:rPr>
          <w:rFonts w:ascii="Times New Roman" w:hAnsi="Times New Roman" w:cs="Times New Roman"/>
          <w:sz w:val="28"/>
        </w:rPr>
        <w:t>ontexto</w:t>
      </w:r>
      <w:r w:rsidR="002312E8" w:rsidRPr="00FE551A">
        <w:rPr>
          <w:rFonts w:ascii="Times New Roman" w:hAnsi="Times New Roman" w:cs="Times New Roman"/>
          <w:sz w:val="28"/>
        </w:rPr>
        <w:t xml:space="preserve"> de la Guía</w:t>
      </w:r>
      <w:bookmarkEnd w:id="0"/>
      <w:r w:rsidR="002312E8" w:rsidRPr="00FE551A">
        <w:rPr>
          <w:rFonts w:ascii="Times New Roman" w:hAnsi="Times New Roman" w:cs="Times New Roman"/>
          <w:sz w:val="28"/>
        </w:rPr>
        <w:t xml:space="preserve"> </w:t>
      </w:r>
    </w:p>
    <w:p w:rsidR="00970E74" w:rsidRPr="00970E74" w:rsidRDefault="00970E74" w:rsidP="00970E74">
      <w:pPr>
        <w:spacing w:after="0" w:line="360" w:lineRule="auto"/>
        <w:contextualSpacing/>
        <w:rPr>
          <w:rFonts w:ascii="Arial" w:hAnsi="Arial" w:cs="Arial"/>
        </w:rPr>
      </w:pPr>
    </w:p>
    <w:p w:rsidR="00970E74" w:rsidRPr="00211C82" w:rsidRDefault="00970E74" w:rsidP="00211C82">
      <w:pPr>
        <w:ind w:firstLine="360"/>
        <w:contextualSpacing/>
        <w:jc w:val="both"/>
        <w:rPr>
          <w:rFonts w:ascii="Times New Roman" w:hAnsi="Times New Roman" w:cs="Times New Roman"/>
          <w:sz w:val="24"/>
          <w:szCs w:val="24"/>
        </w:rPr>
      </w:pPr>
      <w:r w:rsidRPr="00211C82">
        <w:rPr>
          <w:rFonts w:ascii="Times New Roman" w:hAnsi="Times New Roman" w:cs="Times New Roman"/>
          <w:sz w:val="24"/>
          <w:szCs w:val="24"/>
        </w:rPr>
        <w:t>Este documento es una descripción detallada del Marco Macro</w:t>
      </w:r>
      <w:r w:rsidR="00211C82">
        <w:rPr>
          <w:rFonts w:ascii="Times New Roman" w:hAnsi="Times New Roman" w:cs="Times New Roman"/>
          <w:sz w:val="24"/>
          <w:szCs w:val="24"/>
        </w:rPr>
        <w:t xml:space="preserve"> F</w:t>
      </w:r>
      <w:r w:rsidRPr="00211C82">
        <w:rPr>
          <w:rFonts w:ascii="Times New Roman" w:hAnsi="Times New Roman" w:cs="Times New Roman"/>
          <w:sz w:val="24"/>
          <w:szCs w:val="24"/>
        </w:rPr>
        <w:t>iscal de República Dominicana (MMFRD), el cual será una herramienta analítica importante para el Departamento de Estudios de la Unidad de Análisis y Política Fiscal (UPF) del Ministerio de Hacienda, ya que permitirá elaborar una serie de informes y reportes técnicos necesarios para la toma de decisiones por parte de las autoridades nacionales.</w:t>
      </w:r>
    </w:p>
    <w:p w:rsidR="00970E74" w:rsidRPr="00211C82" w:rsidRDefault="00970E74" w:rsidP="00970E74">
      <w:pPr>
        <w:spacing w:after="0" w:line="360" w:lineRule="auto"/>
        <w:contextualSpacing/>
        <w:jc w:val="both"/>
        <w:rPr>
          <w:rFonts w:ascii="Times New Roman" w:hAnsi="Times New Roman" w:cs="Times New Roman"/>
          <w:sz w:val="24"/>
          <w:szCs w:val="24"/>
        </w:rPr>
      </w:pPr>
    </w:p>
    <w:p w:rsidR="00970E74" w:rsidRPr="00211C82" w:rsidRDefault="00970E74" w:rsidP="00B6434C">
      <w:pPr>
        <w:ind w:firstLine="360"/>
        <w:contextualSpacing/>
        <w:jc w:val="both"/>
        <w:rPr>
          <w:rFonts w:ascii="Times New Roman" w:hAnsi="Times New Roman" w:cs="Times New Roman"/>
          <w:sz w:val="24"/>
          <w:szCs w:val="24"/>
        </w:rPr>
      </w:pPr>
      <w:r w:rsidRPr="00211C82">
        <w:rPr>
          <w:rFonts w:ascii="Times New Roman" w:hAnsi="Times New Roman" w:cs="Times New Roman"/>
          <w:sz w:val="24"/>
          <w:szCs w:val="24"/>
        </w:rPr>
        <w:t xml:space="preserve">La estructura conceptual del MMFRD parte de un esquema estándar utilizado por el FMI y otros organismos multinacionales e incorpora los ajustes pertinentes específicos a la economía dominicana, tomando en consideración las fuentes de información más apropiadas existentes en el entorno doméstico. </w:t>
      </w:r>
    </w:p>
    <w:p w:rsidR="00970E74" w:rsidRPr="00211C82" w:rsidRDefault="00970E74" w:rsidP="00970E74">
      <w:pPr>
        <w:spacing w:after="0" w:line="360" w:lineRule="auto"/>
        <w:contextualSpacing/>
        <w:jc w:val="both"/>
        <w:rPr>
          <w:rFonts w:ascii="Times New Roman" w:hAnsi="Times New Roman" w:cs="Times New Roman"/>
          <w:sz w:val="24"/>
          <w:szCs w:val="24"/>
        </w:rPr>
      </w:pPr>
    </w:p>
    <w:p w:rsidR="00970E74" w:rsidRPr="00211C82" w:rsidRDefault="00970E74" w:rsidP="00B6434C">
      <w:pPr>
        <w:ind w:firstLine="360"/>
        <w:contextualSpacing/>
        <w:jc w:val="both"/>
        <w:rPr>
          <w:rFonts w:ascii="Times New Roman" w:hAnsi="Times New Roman" w:cs="Times New Roman"/>
          <w:sz w:val="24"/>
          <w:szCs w:val="24"/>
        </w:rPr>
      </w:pPr>
      <w:r w:rsidRPr="00211C82">
        <w:rPr>
          <w:rFonts w:ascii="Times New Roman" w:hAnsi="Times New Roman" w:cs="Times New Roman"/>
          <w:sz w:val="24"/>
          <w:szCs w:val="24"/>
        </w:rPr>
        <w:t>En términos formales, este es un modelo cuya concepción teórica se deriva inicialmente de los modelos de ecuaciones simultáneas, populares en EE.UU. antes de la crisis petrolera de los 70, y como antecedente más directo los trabajos del Banco de Inglaterra (BOE) a principios de los 90s. Debido a la sencillez de manejo, se han popularizado y adaptado en muchas instituciones responsables de política económica en economías pequeñas y abiertas. Por ejemplo, en Chile el BCCh (2003)</w:t>
      </w:r>
      <w:r w:rsidRPr="00211C82">
        <w:rPr>
          <w:rStyle w:val="FootnoteReference"/>
          <w:rFonts w:ascii="Times New Roman" w:hAnsi="Times New Roman" w:cs="Times New Roman"/>
          <w:sz w:val="24"/>
          <w:szCs w:val="24"/>
        </w:rPr>
        <w:footnoteReference w:id="1"/>
      </w:r>
      <w:r w:rsidRPr="00211C82">
        <w:rPr>
          <w:rFonts w:ascii="Times New Roman" w:hAnsi="Times New Roman" w:cs="Times New Roman"/>
          <w:sz w:val="24"/>
          <w:szCs w:val="24"/>
        </w:rPr>
        <w:t xml:space="preserve"> cuenta con un modelo auxiliar al MEP (modelo estructural de proyección) donde igual que en nuestro planteamiento, se realiza la consistencia agregada mediante identidades macroeconómicas usuales. </w:t>
      </w:r>
    </w:p>
    <w:p w:rsidR="00970E74" w:rsidRPr="00211C82" w:rsidRDefault="00970E74" w:rsidP="00970E74">
      <w:pPr>
        <w:spacing w:after="0" w:line="360" w:lineRule="auto"/>
        <w:contextualSpacing/>
        <w:jc w:val="both"/>
        <w:rPr>
          <w:rFonts w:ascii="Times New Roman" w:hAnsi="Times New Roman" w:cs="Times New Roman"/>
          <w:sz w:val="24"/>
          <w:szCs w:val="24"/>
        </w:rPr>
      </w:pPr>
    </w:p>
    <w:p w:rsidR="00970E74" w:rsidRPr="00211C82" w:rsidRDefault="00970E74" w:rsidP="00B6434C">
      <w:pPr>
        <w:ind w:firstLine="360"/>
        <w:contextualSpacing/>
        <w:jc w:val="both"/>
        <w:rPr>
          <w:rFonts w:ascii="Times New Roman" w:hAnsi="Times New Roman" w:cs="Times New Roman"/>
          <w:sz w:val="24"/>
          <w:szCs w:val="24"/>
        </w:rPr>
      </w:pPr>
      <w:r w:rsidRPr="00211C82">
        <w:rPr>
          <w:rFonts w:ascii="Times New Roman" w:hAnsi="Times New Roman" w:cs="Times New Roman"/>
          <w:sz w:val="24"/>
          <w:szCs w:val="24"/>
        </w:rPr>
        <w:t>En el caso dominicano, se tiene como antecedente el trabajo de investigación realizado por Andújar y Medina (2008)</w:t>
      </w:r>
      <w:r w:rsidRPr="00211C82">
        <w:rPr>
          <w:rStyle w:val="FootnoteReference"/>
          <w:rFonts w:ascii="Times New Roman" w:hAnsi="Times New Roman" w:cs="Times New Roman"/>
          <w:sz w:val="24"/>
          <w:szCs w:val="24"/>
        </w:rPr>
        <w:footnoteReference w:id="2"/>
      </w:r>
      <w:r w:rsidRPr="00211C82">
        <w:rPr>
          <w:rFonts w:ascii="Times New Roman" w:hAnsi="Times New Roman" w:cs="Times New Roman"/>
          <w:sz w:val="24"/>
          <w:szCs w:val="24"/>
        </w:rPr>
        <w:t xml:space="preserve">, para la ejecución de política monetaria, con 4 bloques: una curva IS (para la demanda agregada), una ecuación de inflación, una ecuación de tipo de cambio real y una regla de política monetaria. Esa modelación en particular es más cercana al MEP chileno que al marco local, dado que incluye estimaciones y relaciones econométricas.  </w:t>
      </w:r>
    </w:p>
    <w:p w:rsidR="00970E74" w:rsidRPr="00211C82" w:rsidRDefault="00970E74" w:rsidP="00970E74">
      <w:pPr>
        <w:spacing w:after="0" w:line="360" w:lineRule="auto"/>
        <w:contextualSpacing/>
        <w:jc w:val="both"/>
        <w:rPr>
          <w:rFonts w:ascii="Times New Roman" w:hAnsi="Times New Roman" w:cs="Times New Roman"/>
          <w:color w:val="153D58"/>
          <w:sz w:val="24"/>
          <w:szCs w:val="24"/>
        </w:rPr>
      </w:pPr>
    </w:p>
    <w:p w:rsidR="00970E74" w:rsidRPr="00211C82" w:rsidRDefault="00970E74" w:rsidP="00B6434C">
      <w:pPr>
        <w:ind w:firstLine="360"/>
        <w:contextualSpacing/>
        <w:jc w:val="both"/>
        <w:rPr>
          <w:rFonts w:ascii="Times New Roman" w:hAnsi="Times New Roman" w:cs="Times New Roman"/>
          <w:sz w:val="24"/>
          <w:szCs w:val="24"/>
        </w:rPr>
      </w:pPr>
      <w:r w:rsidRPr="00211C82">
        <w:rPr>
          <w:rFonts w:ascii="Times New Roman" w:hAnsi="Times New Roman" w:cs="Times New Roman"/>
          <w:sz w:val="24"/>
          <w:szCs w:val="24"/>
        </w:rPr>
        <w:t>La utilidad práctica de este tipo de modelos es que permiten realizar un monitoreo adecuado o razonable de los efectos e impactos de las acciones en distintos frentes de políticas públicas, bajo una óptica de considerar de manera integral la situación macroeconómica local, analizando diversos bloques de la economía doméstica en forma consistente y con una perspectiva u horizonte fundamentalmente de mediano plazo (3-5 años). Los “sectores” establecidos en el MMFRD son: Real (Cuentas Nacionales</w:t>
      </w:r>
      <w:r w:rsidR="003C0001">
        <w:rPr>
          <w:rFonts w:ascii="Times New Roman" w:hAnsi="Times New Roman" w:cs="Times New Roman"/>
          <w:sz w:val="24"/>
          <w:szCs w:val="24"/>
        </w:rPr>
        <w:t>, junto a los índices de precios</w:t>
      </w:r>
      <w:r w:rsidRPr="00211C82">
        <w:rPr>
          <w:rFonts w:ascii="Times New Roman" w:hAnsi="Times New Roman" w:cs="Times New Roman"/>
          <w:sz w:val="24"/>
          <w:szCs w:val="24"/>
        </w:rPr>
        <w:t xml:space="preserve">), fiscal (Finanzas Públicas), </w:t>
      </w:r>
      <w:r w:rsidR="003C0001">
        <w:rPr>
          <w:rFonts w:ascii="Times New Roman" w:hAnsi="Times New Roman" w:cs="Times New Roman"/>
          <w:sz w:val="24"/>
          <w:szCs w:val="24"/>
        </w:rPr>
        <w:t xml:space="preserve">externo (balanza de pagos, junto a operaciones de deuda) </w:t>
      </w:r>
      <w:r w:rsidR="0042524C">
        <w:rPr>
          <w:rFonts w:ascii="Times New Roman" w:hAnsi="Times New Roman" w:cs="Times New Roman"/>
          <w:sz w:val="24"/>
          <w:szCs w:val="24"/>
        </w:rPr>
        <w:t>y  monetario</w:t>
      </w:r>
      <w:r w:rsidRPr="00211C82">
        <w:rPr>
          <w:rFonts w:ascii="Times New Roman" w:hAnsi="Times New Roman" w:cs="Times New Roman"/>
          <w:sz w:val="24"/>
          <w:szCs w:val="24"/>
        </w:rPr>
        <w:t>. Los bloques están conectados mediante una serie de interrelaciones, lo cual permite que se puedan verificar una serie de canales o mecanismos de transmisión de los cambios en las políticas macroeconómicas.</w:t>
      </w:r>
    </w:p>
    <w:p w:rsidR="00970E74" w:rsidRPr="00211C82" w:rsidRDefault="00970E74" w:rsidP="00970E74">
      <w:pPr>
        <w:spacing w:after="0" w:line="360" w:lineRule="auto"/>
        <w:contextualSpacing/>
        <w:rPr>
          <w:rFonts w:ascii="Times New Roman" w:hAnsi="Times New Roman" w:cs="Times New Roman"/>
          <w:sz w:val="24"/>
          <w:szCs w:val="24"/>
        </w:rPr>
      </w:pPr>
    </w:p>
    <w:p w:rsidR="00E529FE" w:rsidRDefault="00970E74" w:rsidP="00B6434C">
      <w:pPr>
        <w:spacing w:after="120"/>
        <w:ind w:firstLine="360"/>
        <w:contextualSpacing/>
        <w:jc w:val="both"/>
        <w:rPr>
          <w:rFonts w:ascii="Times New Roman" w:hAnsi="Times New Roman" w:cs="Times New Roman"/>
          <w:sz w:val="24"/>
          <w:szCs w:val="24"/>
        </w:rPr>
      </w:pPr>
      <w:r w:rsidRPr="00211C82">
        <w:rPr>
          <w:rFonts w:ascii="Times New Roman" w:hAnsi="Times New Roman" w:cs="Times New Roman"/>
          <w:sz w:val="24"/>
          <w:szCs w:val="24"/>
        </w:rPr>
        <w:lastRenderedPageBreak/>
        <w:t xml:space="preserve">Esta versión inicial del marco eventualmente será enriquecida de varias maneras. En primer lugar, se va a incorporar mayor cantidad de información en la dimensión longitudinal,  pasando a una frecuencia trimestral, ampliando el periodo histórico (en un primer momento se fija como periodo histórico de referencia el lapso 2009-2013), de ser posible, y en caso de que para algunos indicadores exista data de mayor frecuencia (mensual, semanal), también se </w:t>
      </w:r>
      <w:r w:rsidR="00E529FE">
        <w:rPr>
          <w:rFonts w:ascii="Times New Roman" w:hAnsi="Times New Roman" w:cs="Times New Roman"/>
          <w:sz w:val="24"/>
          <w:szCs w:val="24"/>
        </w:rPr>
        <w:t>tomaran</w:t>
      </w:r>
      <w:r w:rsidRPr="00211C82">
        <w:rPr>
          <w:rFonts w:ascii="Times New Roman" w:hAnsi="Times New Roman" w:cs="Times New Roman"/>
          <w:sz w:val="24"/>
          <w:szCs w:val="24"/>
        </w:rPr>
        <w:t xml:space="preserve"> en cuenta. </w:t>
      </w:r>
    </w:p>
    <w:p w:rsidR="00E529FE" w:rsidRDefault="00E529FE" w:rsidP="00B6434C">
      <w:pPr>
        <w:spacing w:after="120"/>
        <w:ind w:firstLine="360"/>
        <w:contextualSpacing/>
        <w:jc w:val="both"/>
        <w:rPr>
          <w:rFonts w:ascii="Times New Roman" w:hAnsi="Times New Roman" w:cs="Times New Roman"/>
          <w:sz w:val="24"/>
          <w:szCs w:val="24"/>
        </w:rPr>
      </w:pPr>
    </w:p>
    <w:p w:rsidR="00970E74" w:rsidRDefault="00970E74" w:rsidP="00B6434C">
      <w:pPr>
        <w:spacing w:after="120"/>
        <w:ind w:firstLine="360"/>
        <w:contextualSpacing/>
        <w:jc w:val="both"/>
        <w:rPr>
          <w:rFonts w:ascii="Times New Roman" w:hAnsi="Times New Roman" w:cs="Times New Roman"/>
          <w:sz w:val="24"/>
          <w:szCs w:val="24"/>
        </w:rPr>
      </w:pPr>
      <w:r w:rsidRPr="00211C82">
        <w:rPr>
          <w:rFonts w:ascii="Times New Roman" w:hAnsi="Times New Roman" w:cs="Times New Roman"/>
          <w:sz w:val="24"/>
          <w:szCs w:val="24"/>
        </w:rPr>
        <w:t>Un segundo aspecto</w:t>
      </w:r>
      <w:r w:rsidR="00E529FE">
        <w:rPr>
          <w:rFonts w:ascii="Times New Roman" w:hAnsi="Times New Roman" w:cs="Times New Roman"/>
          <w:sz w:val="24"/>
          <w:szCs w:val="24"/>
        </w:rPr>
        <w:t>, relacionado con la cantidad de datos,</w:t>
      </w:r>
      <w:r w:rsidRPr="00211C82">
        <w:rPr>
          <w:rFonts w:ascii="Times New Roman" w:hAnsi="Times New Roman" w:cs="Times New Roman"/>
          <w:sz w:val="24"/>
          <w:szCs w:val="24"/>
        </w:rPr>
        <w:t xml:space="preserve"> es expandir el desglose transversal del modelo, específicamente ciertas cuentas o partidas de interés donde la ausencia o no disponibilidad de las variables se debe a problemas de cobertura estadística. Por ejemplo, en el bloque fiscal al pasar del Gobierno Central al Sector Público No Financiero (SPNF), que incluye otros niveles de agregación (como municipalidades, entidades descentralizadas,  empresas públicas no financieras).</w:t>
      </w:r>
    </w:p>
    <w:p w:rsidR="00E529FE" w:rsidRDefault="00E529FE" w:rsidP="00B6434C">
      <w:pPr>
        <w:spacing w:after="120"/>
        <w:ind w:firstLine="360"/>
        <w:contextualSpacing/>
        <w:jc w:val="both"/>
        <w:rPr>
          <w:rFonts w:ascii="Times New Roman" w:hAnsi="Times New Roman" w:cs="Times New Roman"/>
          <w:sz w:val="24"/>
          <w:szCs w:val="24"/>
        </w:rPr>
      </w:pPr>
    </w:p>
    <w:p w:rsidR="00E529FE" w:rsidRDefault="00E529FE" w:rsidP="00B6434C">
      <w:pPr>
        <w:spacing w:after="120"/>
        <w:ind w:firstLine="360"/>
        <w:contextualSpacing/>
        <w:jc w:val="both"/>
        <w:rPr>
          <w:rFonts w:ascii="Times New Roman" w:hAnsi="Times New Roman" w:cs="Times New Roman"/>
          <w:sz w:val="24"/>
          <w:szCs w:val="24"/>
        </w:rPr>
      </w:pPr>
      <w:r>
        <w:rPr>
          <w:rFonts w:ascii="Times New Roman" w:hAnsi="Times New Roman" w:cs="Times New Roman"/>
          <w:sz w:val="24"/>
          <w:szCs w:val="24"/>
        </w:rPr>
        <w:t xml:space="preserve">Finalmente, dentro de una siguiente etapa también se refinaran los métodos para estimar los pronósticos y las proyecciones correspondientes a los diversos bloques. En concreto, se pueden emplear distintas técnicas y mejores supuestos económicos </w:t>
      </w:r>
      <w:r w:rsidR="00E2431B">
        <w:rPr>
          <w:rFonts w:ascii="Times New Roman" w:hAnsi="Times New Roman" w:cs="Times New Roman"/>
          <w:sz w:val="24"/>
          <w:szCs w:val="24"/>
        </w:rPr>
        <w:t>para robustecer los resultados encontrados.</w:t>
      </w:r>
    </w:p>
    <w:p w:rsidR="00E529FE" w:rsidRPr="00211C82" w:rsidRDefault="00E529FE" w:rsidP="00E2431B">
      <w:pPr>
        <w:spacing w:after="120"/>
        <w:contextualSpacing/>
        <w:jc w:val="both"/>
        <w:rPr>
          <w:rFonts w:ascii="Times New Roman" w:hAnsi="Times New Roman" w:cs="Times New Roman"/>
          <w:sz w:val="24"/>
          <w:szCs w:val="24"/>
        </w:rPr>
      </w:pPr>
    </w:p>
    <w:p w:rsidR="00970E74" w:rsidRPr="00B6434C" w:rsidRDefault="00970E74" w:rsidP="00FE551A">
      <w:pPr>
        <w:pStyle w:val="Heading1"/>
        <w:numPr>
          <w:ilvl w:val="0"/>
          <w:numId w:val="4"/>
        </w:numPr>
        <w:ind w:left="360" w:hanging="360"/>
        <w:rPr>
          <w:rFonts w:ascii="Times New Roman" w:hAnsi="Times New Roman" w:cs="Times New Roman"/>
          <w:sz w:val="28"/>
        </w:rPr>
      </w:pPr>
      <w:bookmarkStart w:id="1" w:name="_Toc398801689"/>
      <w:r w:rsidRPr="00B6434C">
        <w:rPr>
          <w:rFonts w:ascii="Times New Roman" w:hAnsi="Times New Roman" w:cs="Times New Roman"/>
          <w:sz w:val="28"/>
        </w:rPr>
        <w:t xml:space="preserve">Estructura operativa del Marco </w:t>
      </w:r>
      <w:r w:rsidR="00211C82" w:rsidRPr="00B6434C">
        <w:rPr>
          <w:rFonts w:ascii="Times New Roman" w:hAnsi="Times New Roman" w:cs="Times New Roman"/>
          <w:sz w:val="28"/>
        </w:rPr>
        <w:t>F</w:t>
      </w:r>
      <w:r w:rsidRPr="00B6434C">
        <w:rPr>
          <w:rFonts w:ascii="Times New Roman" w:hAnsi="Times New Roman" w:cs="Times New Roman"/>
          <w:sz w:val="28"/>
        </w:rPr>
        <w:t>iscal</w:t>
      </w:r>
      <w:r w:rsidR="00B6434C">
        <w:rPr>
          <w:rFonts w:ascii="Times New Roman" w:hAnsi="Times New Roman" w:cs="Times New Roman"/>
          <w:sz w:val="28"/>
        </w:rPr>
        <w:t xml:space="preserve"> de Mediano Plazo</w:t>
      </w:r>
      <w:bookmarkEnd w:id="1"/>
    </w:p>
    <w:p w:rsidR="00970E74" w:rsidRPr="00970E74" w:rsidRDefault="00970E74" w:rsidP="00970E74">
      <w:pPr>
        <w:spacing w:after="0" w:line="360" w:lineRule="auto"/>
        <w:contextualSpacing/>
        <w:rPr>
          <w:rFonts w:ascii="Arial" w:hAnsi="Arial" w:cs="Arial"/>
          <w:b/>
        </w:rPr>
      </w:pPr>
    </w:p>
    <w:p w:rsidR="00970E74" w:rsidRPr="00B6434C" w:rsidRDefault="00970E74" w:rsidP="00B6434C">
      <w:pPr>
        <w:spacing w:after="120"/>
        <w:ind w:firstLine="360"/>
        <w:contextualSpacing/>
        <w:jc w:val="both"/>
        <w:rPr>
          <w:rFonts w:ascii="Times New Roman" w:hAnsi="Times New Roman" w:cs="Times New Roman"/>
          <w:sz w:val="24"/>
          <w:szCs w:val="24"/>
        </w:rPr>
      </w:pPr>
      <w:r w:rsidRPr="00B6434C">
        <w:rPr>
          <w:rFonts w:ascii="Times New Roman" w:hAnsi="Times New Roman" w:cs="Times New Roman"/>
          <w:sz w:val="24"/>
          <w:szCs w:val="24"/>
        </w:rPr>
        <w:t>La herramienta del modelo se basa en una lógica esquemática de inputs-outputs donde se tienen 5 archivos Excel</w:t>
      </w:r>
      <w:r w:rsidRPr="00E529FE">
        <w:rPr>
          <w:rFonts w:ascii="Times New Roman" w:hAnsi="Times New Roman" w:cs="Times New Roman"/>
          <w:sz w:val="24"/>
          <w:szCs w:val="24"/>
          <w:vertAlign w:val="superscript"/>
        </w:rPr>
        <w:t>©</w:t>
      </w:r>
      <w:r w:rsidRPr="00B6434C">
        <w:rPr>
          <w:rFonts w:ascii="Times New Roman" w:hAnsi="Times New Roman" w:cs="Times New Roman"/>
          <w:sz w:val="24"/>
          <w:szCs w:val="24"/>
        </w:rPr>
        <w:t xml:space="preserve"> interconectados en una carpeta compartida: el archivo principal y los 4 archivos individuales de cada bloque. A continuación se describe brevemente la composición del archivo maestro donde se centralizan los resultados fundamentales y se establecen los enlaces (links) entre el conjunto de archivos. </w:t>
      </w:r>
    </w:p>
    <w:p w:rsidR="00970E74" w:rsidRPr="00970E74" w:rsidRDefault="00970E74" w:rsidP="00970E74">
      <w:pPr>
        <w:spacing w:after="0" w:line="360" w:lineRule="auto"/>
        <w:contextualSpacing/>
        <w:jc w:val="both"/>
        <w:rPr>
          <w:rFonts w:ascii="Arial" w:hAnsi="Arial" w:cs="Arial"/>
        </w:rPr>
      </w:pPr>
    </w:p>
    <w:p w:rsidR="00E2431B" w:rsidRDefault="00970E74" w:rsidP="00B6434C">
      <w:pPr>
        <w:spacing w:after="120"/>
        <w:ind w:firstLine="360"/>
        <w:contextualSpacing/>
        <w:jc w:val="both"/>
        <w:rPr>
          <w:rFonts w:ascii="Times New Roman" w:hAnsi="Times New Roman" w:cs="Times New Roman"/>
          <w:sz w:val="24"/>
          <w:szCs w:val="24"/>
        </w:rPr>
      </w:pPr>
      <w:r w:rsidRPr="00B6434C">
        <w:rPr>
          <w:rFonts w:ascii="Times New Roman" w:hAnsi="Times New Roman" w:cs="Times New Roman"/>
          <w:sz w:val="24"/>
          <w:szCs w:val="24"/>
        </w:rPr>
        <w:t xml:space="preserve">El archivo consolidado del MMFRD contiene las siguientes hojas: </w:t>
      </w:r>
    </w:p>
    <w:p w:rsidR="00E2431B" w:rsidRDefault="00E2431B" w:rsidP="00B6434C">
      <w:pPr>
        <w:spacing w:after="120"/>
        <w:ind w:firstLine="360"/>
        <w:contextualSpacing/>
        <w:jc w:val="both"/>
        <w:rPr>
          <w:rFonts w:ascii="Times New Roman" w:hAnsi="Times New Roman" w:cs="Times New Roman"/>
          <w:sz w:val="24"/>
          <w:szCs w:val="24"/>
        </w:rPr>
      </w:pPr>
    </w:p>
    <w:p w:rsidR="00E2431B" w:rsidRDefault="00E2431B" w:rsidP="00B6434C">
      <w:pPr>
        <w:spacing w:after="120"/>
        <w:ind w:firstLine="360"/>
        <w:contextualSpacing/>
        <w:jc w:val="both"/>
        <w:rPr>
          <w:rFonts w:ascii="Times New Roman" w:hAnsi="Times New Roman" w:cs="Times New Roman"/>
          <w:sz w:val="24"/>
          <w:szCs w:val="24"/>
        </w:rPr>
      </w:pPr>
      <w:r>
        <w:rPr>
          <w:rFonts w:ascii="Times New Roman" w:hAnsi="Times New Roman" w:cs="Times New Roman"/>
          <w:sz w:val="24"/>
          <w:szCs w:val="24"/>
        </w:rPr>
        <w:t>-Tabla de contenidos, que posee</w:t>
      </w:r>
      <w:r w:rsidR="00970E74" w:rsidRPr="00B6434C">
        <w:rPr>
          <w:rFonts w:ascii="Times New Roman" w:hAnsi="Times New Roman" w:cs="Times New Roman"/>
          <w:sz w:val="24"/>
          <w:szCs w:val="24"/>
        </w:rPr>
        <w:t xml:space="preserve"> hipervínculos a las diversas tablas y a los diversos archivos separados); </w:t>
      </w:r>
    </w:p>
    <w:p w:rsidR="00E2431B" w:rsidRDefault="00E2431B" w:rsidP="00B6434C">
      <w:pPr>
        <w:spacing w:after="120"/>
        <w:ind w:firstLine="360"/>
        <w:contextualSpacing/>
        <w:jc w:val="both"/>
        <w:rPr>
          <w:rFonts w:ascii="Times New Roman" w:hAnsi="Times New Roman" w:cs="Times New Roman"/>
          <w:sz w:val="24"/>
          <w:szCs w:val="24"/>
        </w:rPr>
      </w:pPr>
      <w:r>
        <w:rPr>
          <w:rFonts w:ascii="Times New Roman" w:hAnsi="Times New Roman" w:cs="Times New Roman"/>
          <w:sz w:val="24"/>
          <w:szCs w:val="24"/>
        </w:rPr>
        <w:t>-</w:t>
      </w:r>
      <w:r w:rsidR="00970E74" w:rsidRPr="00B6434C">
        <w:rPr>
          <w:rFonts w:ascii="Times New Roman" w:hAnsi="Times New Roman" w:cs="Times New Roman"/>
          <w:sz w:val="24"/>
          <w:szCs w:val="24"/>
        </w:rPr>
        <w:t xml:space="preserve">Guía Marco, que contiene la estructura general de la base de datos, con variables relevantes en cada bloque; </w:t>
      </w:r>
    </w:p>
    <w:p w:rsidR="00E2431B" w:rsidRDefault="00E2431B" w:rsidP="00E2431B">
      <w:pPr>
        <w:spacing w:after="120"/>
        <w:ind w:firstLine="360"/>
        <w:contextualSpacing/>
        <w:jc w:val="both"/>
        <w:rPr>
          <w:rFonts w:ascii="Times New Roman" w:hAnsi="Times New Roman" w:cs="Times New Roman"/>
          <w:sz w:val="24"/>
          <w:szCs w:val="24"/>
        </w:rPr>
      </w:pPr>
      <w:r>
        <w:rPr>
          <w:rFonts w:ascii="Times New Roman" w:hAnsi="Times New Roman" w:cs="Times New Roman"/>
          <w:sz w:val="24"/>
          <w:szCs w:val="24"/>
        </w:rPr>
        <w:t>-</w:t>
      </w:r>
      <w:r w:rsidR="00970E74" w:rsidRPr="00B6434C">
        <w:rPr>
          <w:rFonts w:ascii="Times New Roman" w:hAnsi="Times New Roman" w:cs="Times New Roman"/>
          <w:sz w:val="24"/>
          <w:szCs w:val="24"/>
        </w:rPr>
        <w:t xml:space="preserve">Cuadro de consistencia, donde se realizan chequeos de consistencia entre las series estadísticas que se encuentran en varios bloques; </w:t>
      </w:r>
    </w:p>
    <w:p w:rsidR="00E2431B" w:rsidRDefault="00E2431B" w:rsidP="00B6434C">
      <w:pPr>
        <w:spacing w:after="120"/>
        <w:ind w:firstLine="360"/>
        <w:contextualSpacing/>
        <w:jc w:val="both"/>
        <w:rPr>
          <w:rFonts w:ascii="Times New Roman" w:hAnsi="Times New Roman" w:cs="Times New Roman"/>
          <w:sz w:val="24"/>
          <w:szCs w:val="24"/>
        </w:rPr>
      </w:pPr>
      <w:r>
        <w:rPr>
          <w:rFonts w:ascii="Times New Roman" w:hAnsi="Times New Roman" w:cs="Times New Roman"/>
          <w:sz w:val="24"/>
          <w:szCs w:val="24"/>
        </w:rPr>
        <w:t>-</w:t>
      </w:r>
      <w:r w:rsidR="00970E74" w:rsidRPr="00B6434C">
        <w:rPr>
          <w:rFonts w:ascii="Times New Roman" w:hAnsi="Times New Roman" w:cs="Times New Roman"/>
          <w:sz w:val="24"/>
          <w:szCs w:val="24"/>
        </w:rPr>
        <w:t xml:space="preserve">Supuestos generales, donde se muestra los pronósticos oficiales (escenario base con el panorama macroeconómico consensuado entre BCRD, MEPYD y MH), las proyecciones alternativas (para realizas análisis de riesgos y/o sensibilidad) y otros adicionales, la mayor parte de naturaleza completamente exógena; </w:t>
      </w:r>
    </w:p>
    <w:p w:rsidR="00E2431B" w:rsidRDefault="00E2431B" w:rsidP="00B6434C">
      <w:pPr>
        <w:spacing w:after="120"/>
        <w:ind w:firstLine="360"/>
        <w:contextualSpacing/>
        <w:jc w:val="both"/>
        <w:rPr>
          <w:rFonts w:ascii="Times New Roman" w:hAnsi="Times New Roman" w:cs="Times New Roman"/>
          <w:sz w:val="24"/>
          <w:szCs w:val="24"/>
        </w:rPr>
      </w:pPr>
      <w:r>
        <w:rPr>
          <w:rFonts w:ascii="Times New Roman" w:hAnsi="Times New Roman" w:cs="Times New Roman"/>
          <w:sz w:val="24"/>
          <w:szCs w:val="24"/>
        </w:rPr>
        <w:t>-</w:t>
      </w:r>
      <w:r w:rsidR="00970E74" w:rsidRPr="00B6434C">
        <w:rPr>
          <w:rFonts w:ascii="Times New Roman" w:hAnsi="Times New Roman" w:cs="Times New Roman"/>
          <w:sz w:val="24"/>
          <w:szCs w:val="24"/>
        </w:rPr>
        <w:t>Ca</w:t>
      </w:r>
      <w:r>
        <w:rPr>
          <w:rFonts w:ascii="Times New Roman" w:hAnsi="Times New Roman" w:cs="Times New Roman"/>
          <w:sz w:val="24"/>
          <w:szCs w:val="24"/>
        </w:rPr>
        <w:t>lendario interno de revisiones, con el cronograma para actualizaciones</w:t>
      </w:r>
      <w:r w:rsidR="00970E74" w:rsidRPr="00B6434C">
        <w:rPr>
          <w:rFonts w:ascii="Times New Roman" w:hAnsi="Times New Roman" w:cs="Times New Roman"/>
          <w:sz w:val="24"/>
          <w:szCs w:val="24"/>
        </w:rPr>
        <w:t xml:space="preserve">; </w:t>
      </w:r>
    </w:p>
    <w:p w:rsidR="00E2431B" w:rsidRDefault="00E2431B" w:rsidP="00E2431B">
      <w:pPr>
        <w:spacing w:after="120"/>
        <w:ind w:firstLine="360"/>
        <w:contextualSpacing/>
        <w:jc w:val="both"/>
        <w:rPr>
          <w:rFonts w:ascii="Times New Roman" w:hAnsi="Times New Roman" w:cs="Times New Roman"/>
          <w:sz w:val="24"/>
          <w:szCs w:val="24"/>
        </w:rPr>
      </w:pPr>
      <w:r>
        <w:rPr>
          <w:rFonts w:ascii="Times New Roman" w:hAnsi="Times New Roman" w:cs="Times New Roman"/>
          <w:sz w:val="24"/>
          <w:szCs w:val="24"/>
        </w:rPr>
        <w:t>-</w:t>
      </w:r>
      <w:r w:rsidR="00970E74" w:rsidRPr="00B6434C">
        <w:rPr>
          <w:rFonts w:ascii="Times New Roman" w:hAnsi="Times New Roman" w:cs="Times New Roman"/>
          <w:sz w:val="24"/>
          <w:szCs w:val="24"/>
        </w:rPr>
        <w:t>Indicadores macro fiscales seleccionados, donde se agrupan los resúmenes de las variable</w:t>
      </w:r>
      <w:r>
        <w:rPr>
          <w:rFonts w:ascii="Times New Roman" w:hAnsi="Times New Roman" w:cs="Times New Roman"/>
          <w:sz w:val="24"/>
          <w:szCs w:val="24"/>
        </w:rPr>
        <w:t>s claves de todos los sectores</w:t>
      </w:r>
      <w:r w:rsidR="00970E74" w:rsidRPr="00B6434C">
        <w:rPr>
          <w:rFonts w:ascii="Times New Roman" w:hAnsi="Times New Roman" w:cs="Times New Roman"/>
          <w:sz w:val="24"/>
          <w:szCs w:val="24"/>
        </w:rPr>
        <w:t xml:space="preserve">; </w:t>
      </w:r>
    </w:p>
    <w:p w:rsidR="00E2431B" w:rsidRDefault="00E2431B" w:rsidP="00B6434C">
      <w:pPr>
        <w:spacing w:after="120"/>
        <w:ind w:firstLine="360"/>
        <w:contextualSpacing/>
        <w:jc w:val="both"/>
        <w:rPr>
          <w:rFonts w:ascii="Times New Roman" w:hAnsi="Times New Roman" w:cs="Times New Roman"/>
          <w:sz w:val="24"/>
          <w:szCs w:val="24"/>
        </w:rPr>
      </w:pPr>
      <w:r>
        <w:rPr>
          <w:rFonts w:ascii="Times New Roman" w:hAnsi="Times New Roman" w:cs="Times New Roman"/>
          <w:sz w:val="24"/>
          <w:szCs w:val="24"/>
        </w:rPr>
        <w:lastRenderedPageBreak/>
        <w:t>-</w:t>
      </w:r>
      <w:r w:rsidR="00B06D6E">
        <w:rPr>
          <w:rFonts w:ascii="Times New Roman" w:hAnsi="Times New Roman" w:cs="Times New Roman"/>
          <w:sz w:val="24"/>
          <w:szCs w:val="24"/>
        </w:rPr>
        <w:t>C</w:t>
      </w:r>
      <w:r w:rsidR="00970E74" w:rsidRPr="00B6434C">
        <w:rPr>
          <w:rFonts w:ascii="Times New Roman" w:hAnsi="Times New Roman" w:cs="Times New Roman"/>
          <w:sz w:val="24"/>
          <w:szCs w:val="24"/>
        </w:rPr>
        <w:t>uadre o cierre de Ahorro-Inversión</w:t>
      </w:r>
      <w:r>
        <w:rPr>
          <w:rFonts w:ascii="Times New Roman" w:hAnsi="Times New Roman" w:cs="Times New Roman"/>
          <w:sz w:val="24"/>
          <w:szCs w:val="24"/>
        </w:rPr>
        <w:t xml:space="preserve">, donde se muestran </w:t>
      </w:r>
      <w:r w:rsidR="00B06D6E">
        <w:rPr>
          <w:rFonts w:ascii="Times New Roman" w:hAnsi="Times New Roman" w:cs="Times New Roman"/>
          <w:sz w:val="24"/>
          <w:szCs w:val="24"/>
        </w:rPr>
        <w:t>ambos lados de las</w:t>
      </w:r>
      <w:r>
        <w:rPr>
          <w:rFonts w:ascii="Times New Roman" w:hAnsi="Times New Roman" w:cs="Times New Roman"/>
          <w:sz w:val="24"/>
          <w:szCs w:val="24"/>
        </w:rPr>
        <w:t xml:space="preserve"> cuentas divididas para el sector público y privado;</w:t>
      </w:r>
    </w:p>
    <w:p w:rsidR="00B06D6E" w:rsidRDefault="00B06D6E" w:rsidP="00B6434C">
      <w:pPr>
        <w:spacing w:after="120"/>
        <w:ind w:firstLine="360"/>
        <w:contextualSpacing/>
        <w:jc w:val="both"/>
        <w:rPr>
          <w:rFonts w:ascii="Times New Roman" w:hAnsi="Times New Roman" w:cs="Times New Roman"/>
          <w:sz w:val="24"/>
          <w:szCs w:val="24"/>
        </w:rPr>
      </w:pPr>
      <w:r>
        <w:rPr>
          <w:rFonts w:ascii="Times New Roman" w:hAnsi="Times New Roman" w:cs="Times New Roman"/>
          <w:sz w:val="24"/>
          <w:szCs w:val="24"/>
        </w:rPr>
        <w:t>-Gráficos macro fiscales claves, los cuales van a compilar una selección de los más importantes de cada bloque (van a estar linkeados con una plantilla predefinida de formato).</w:t>
      </w:r>
    </w:p>
    <w:p w:rsidR="00970E74" w:rsidRPr="00B6434C" w:rsidRDefault="00E2431B" w:rsidP="00E2431B">
      <w:pPr>
        <w:spacing w:after="120"/>
        <w:ind w:firstLine="360"/>
        <w:contextualSpacing/>
        <w:jc w:val="both"/>
        <w:rPr>
          <w:rFonts w:ascii="Times New Roman" w:hAnsi="Times New Roman" w:cs="Times New Roman"/>
          <w:sz w:val="24"/>
          <w:szCs w:val="24"/>
        </w:rPr>
      </w:pPr>
      <w:r>
        <w:rPr>
          <w:rFonts w:ascii="Times New Roman" w:hAnsi="Times New Roman" w:cs="Times New Roman"/>
          <w:sz w:val="24"/>
          <w:szCs w:val="24"/>
        </w:rPr>
        <w:t>-Y</w:t>
      </w:r>
      <w:r w:rsidR="00970E74" w:rsidRPr="00B6434C">
        <w:rPr>
          <w:rFonts w:ascii="Times New Roman" w:hAnsi="Times New Roman" w:cs="Times New Roman"/>
          <w:sz w:val="24"/>
          <w:szCs w:val="24"/>
        </w:rPr>
        <w:t xml:space="preserve"> finalmente “Resultados analíticos adicionales”, la cual incluye inicialmente ejercicios de balance estructural, de reglas fiscales y análisis de sostenibilidad de deuda.  Además, se incluye una hoja auxiliar donde temporalmente en esta primera fase se realizan algunas interrelaciones según las necesidades definidas por los miembros del equipo. </w:t>
      </w:r>
    </w:p>
    <w:p w:rsidR="00970E74" w:rsidRPr="00970E74" w:rsidRDefault="00970E74" w:rsidP="00970E74">
      <w:pPr>
        <w:spacing w:after="0" w:line="360" w:lineRule="auto"/>
        <w:contextualSpacing/>
        <w:rPr>
          <w:rFonts w:ascii="Arial" w:hAnsi="Arial" w:cs="Arial"/>
        </w:rPr>
      </w:pPr>
    </w:p>
    <w:p w:rsidR="00970E74" w:rsidRDefault="00970E74" w:rsidP="00B6434C">
      <w:pPr>
        <w:spacing w:after="120"/>
        <w:ind w:firstLine="360"/>
        <w:contextualSpacing/>
        <w:jc w:val="both"/>
        <w:rPr>
          <w:rFonts w:ascii="Times New Roman" w:hAnsi="Times New Roman" w:cs="Times New Roman"/>
          <w:sz w:val="24"/>
          <w:szCs w:val="24"/>
        </w:rPr>
      </w:pPr>
      <w:r w:rsidRPr="00B6434C">
        <w:rPr>
          <w:rFonts w:ascii="Times New Roman" w:hAnsi="Times New Roman" w:cs="Times New Roman"/>
          <w:sz w:val="24"/>
          <w:szCs w:val="24"/>
        </w:rPr>
        <w:t>El proceso de integración de la data en el marco global es un proceso de doble vía: hay datos que van de los archivos individuales al principal y viceversa. Por tanto, la responsabilidad del mantenimiento correcto y ordenado de cada archivo es un elemento crítico o vital para el buen funcionamiento e implementación de la modelación creada.</w:t>
      </w:r>
    </w:p>
    <w:p w:rsidR="00986FF2" w:rsidRDefault="00986FF2" w:rsidP="00B6434C">
      <w:pPr>
        <w:spacing w:after="120"/>
        <w:ind w:firstLine="360"/>
        <w:contextualSpacing/>
        <w:jc w:val="both"/>
        <w:rPr>
          <w:rFonts w:ascii="Times New Roman" w:hAnsi="Times New Roman" w:cs="Times New Roman"/>
          <w:sz w:val="24"/>
          <w:szCs w:val="24"/>
        </w:rPr>
      </w:pPr>
    </w:p>
    <w:p w:rsidR="0042524C" w:rsidRDefault="0042524C" w:rsidP="00B6434C">
      <w:pPr>
        <w:spacing w:after="120"/>
        <w:ind w:firstLine="360"/>
        <w:contextualSpacing/>
        <w:jc w:val="both"/>
        <w:rPr>
          <w:rFonts w:ascii="Times New Roman" w:hAnsi="Times New Roman" w:cs="Times New Roman"/>
          <w:sz w:val="24"/>
          <w:szCs w:val="24"/>
        </w:rPr>
      </w:pPr>
      <w:r>
        <w:rPr>
          <w:rFonts w:ascii="Times New Roman" w:hAnsi="Times New Roman" w:cs="Times New Roman"/>
          <w:sz w:val="24"/>
          <w:szCs w:val="24"/>
        </w:rPr>
        <w:t>El resumen de fuentes principales para los datos</w:t>
      </w:r>
      <w:r w:rsidR="003C0001">
        <w:rPr>
          <w:rFonts w:ascii="Times New Roman" w:hAnsi="Times New Roman" w:cs="Times New Roman"/>
          <w:sz w:val="24"/>
          <w:szCs w:val="24"/>
        </w:rPr>
        <w:t xml:space="preserve"> a</w:t>
      </w:r>
      <w:r>
        <w:rPr>
          <w:rFonts w:ascii="Times New Roman" w:hAnsi="Times New Roman" w:cs="Times New Roman"/>
          <w:sz w:val="24"/>
          <w:szCs w:val="24"/>
        </w:rPr>
        <w:t xml:space="preserve"> utiliz</w:t>
      </w:r>
      <w:r w:rsidR="003C0001">
        <w:rPr>
          <w:rFonts w:ascii="Times New Roman" w:hAnsi="Times New Roman" w:cs="Times New Roman"/>
          <w:sz w:val="24"/>
          <w:szCs w:val="24"/>
        </w:rPr>
        <w:t>ar</w:t>
      </w:r>
      <w:r>
        <w:rPr>
          <w:rFonts w:ascii="Times New Roman" w:hAnsi="Times New Roman" w:cs="Times New Roman"/>
          <w:sz w:val="24"/>
          <w:szCs w:val="24"/>
        </w:rPr>
        <w:t xml:space="preserve"> es el siguiente:</w:t>
      </w:r>
    </w:p>
    <w:p w:rsidR="0042524C" w:rsidRDefault="0042524C" w:rsidP="00B6434C">
      <w:pPr>
        <w:spacing w:after="120"/>
        <w:ind w:firstLine="360"/>
        <w:contextualSpacing/>
        <w:jc w:val="both"/>
        <w:rPr>
          <w:rFonts w:ascii="Times New Roman" w:hAnsi="Times New Roman" w:cs="Times New Roman"/>
          <w:sz w:val="24"/>
          <w:szCs w:val="24"/>
        </w:rPr>
      </w:pPr>
    </w:p>
    <w:tbl>
      <w:tblPr>
        <w:tblStyle w:val="TableGrid"/>
        <w:tblW w:w="9369" w:type="dxa"/>
        <w:tblLook w:val="04A0"/>
      </w:tblPr>
      <w:tblGrid>
        <w:gridCol w:w="1771"/>
        <w:gridCol w:w="2303"/>
        <w:gridCol w:w="3186"/>
        <w:gridCol w:w="2109"/>
      </w:tblGrid>
      <w:tr w:rsidR="003C0001" w:rsidTr="003C0001">
        <w:tc>
          <w:tcPr>
            <w:tcW w:w="1771" w:type="dxa"/>
          </w:tcPr>
          <w:p w:rsidR="003C0001" w:rsidRDefault="003C0001" w:rsidP="0042524C">
            <w:pPr>
              <w:spacing w:after="120"/>
              <w:contextualSpacing/>
              <w:jc w:val="both"/>
              <w:rPr>
                <w:rFonts w:ascii="Times New Roman" w:hAnsi="Times New Roman" w:cs="Times New Roman"/>
                <w:sz w:val="24"/>
                <w:szCs w:val="24"/>
              </w:rPr>
            </w:pPr>
            <w:r>
              <w:rPr>
                <w:rFonts w:ascii="Times New Roman" w:hAnsi="Times New Roman" w:cs="Times New Roman"/>
                <w:sz w:val="24"/>
                <w:szCs w:val="24"/>
              </w:rPr>
              <w:t>Bloque</w:t>
            </w:r>
          </w:p>
        </w:tc>
        <w:tc>
          <w:tcPr>
            <w:tcW w:w="2303" w:type="dxa"/>
          </w:tcPr>
          <w:p w:rsidR="003C0001" w:rsidRDefault="003C0001" w:rsidP="0042524C">
            <w:pPr>
              <w:spacing w:after="120"/>
              <w:contextualSpacing/>
              <w:jc w:val="both"/>
              <w:rPr>
                <w:rFonts w:ascii="Times New Roman" w:hAnsi="Times New Roman" w:cs="Times New Roman"/>
                <w:sz w:val="24"/>
                <w:szCs w:val="24"/>
              </w:rPr>
            </w:pPr>
            <w:r>
              <w:rPr>
                <w:rFonts w:ascii="Times New Roman" w:hAnsi="Times New Roman" w:cs="Times New Roman"/>
                <w:sz w:val="24"/>
                <w:szCs w:val="24"/>
              </w:rPr>
              <w:t xml:space="preserve">Variables/grupos </w:t>
            </w:r>
          </w:p>
        </w:tc>
        <w:tc>
          <w:tcPr>
            <w:tcW w:w="3186" w:type="dxa"/>
          </w:tcPr>
          <w:p w:rsidR="003C0001" w:rsidRDefault="003C0001" w:rsidP="0042524C">
            <w:pPr>
              <w:spacing w:after="120"/>
              <w:contextualSpacing/>
              <w:jc w:val="both"/>
              <w:rPr>
                <w:rFonts w:ascii="Times New Roman" w:hAnsi="Times New Roman" w:cs="Times New Roman"/>
                <w:sz w:val="24"/>
                <w:szCs w:val="24"/>
              </w:rPr>
            </w:pPr>
            <w:r>
              <w:rPr>
                <w:rFonts w:ascii="Times New Roman" w:hAnsi="Times New Roman" w:cs="Times New Roman"/>
                <w:sz w:val="24"/>
                <w:szCs w:val="24"/>
              </w:rPr>
              <w:t>Instituciones</w:t>
            </w:r>
          </w:p>
        </w:tc>
        <w:tc>
          <w:tcPr>
            <w:tcW w:w="2109" w:type="dxa"/>
          </w:tcPr>
          <w:p w:rsidR="003C0001" w:rsidRDefault="003C0001" w:rsidP="0042524C">
            <w:pPr>
              <w:spacing w:after="120"/>
              <w:contextualSpacing/>
              <w:jc w:val="both"/>
              <w:rPr>
                <w:rFonts w:ascii="Times New Roman" w:hAnsi="Times New Roman" w:cs="Times New Roman"/>
                <w:sz w:val="24"/>
                <w:szCs w:val="24"/>
              </w:rPr>
            </w:pPr>
            <w:r>
              <w:rPr>
                <w:rFonts w:ascii="Times New Roman" w:hAnsi="Times New Roman" w:cs="Times New Roman"/>
                <w:sz w:val="24"/>
                <w:szCs w:val="24"/>
              </w:rPr>
              <w:t>Frecuencia central</w:t>
            </w:r>
          </w:p>
        </w:tc>
      </w:tr>
      <w:tr w:rsidR="003C0001" w:rsidTr="003C0001">
        <w:tc>
          <w:tcPr>
            <w:tcW w:w="1771" w:type="dxa"/>
          </w:tcPr>
          <w:p w:rsidR="003C0001" w:rsidRDefault="003C0001" w:rsidP="0042524C">
            <w:pPr>
              <w:spacing w:after="120"/>
              <w:contextualSpacing/>
              <w:jc w:val="both"/>
              <w:rPr>
                <w:rFonts w:ascii="Times New Roman" w:hAnsi="Times New Roman" w:cs="Times New Roman"/>
                <w:sz w:val="24"/>
                <w:szCs w:val="24"/>
              </w:rPr>
            </w:pPr>
            <w:r>
              <w:rPr>
                <w:rFonts w:ascii="Times New Roman" w:hAnsi="Times New Roman" w:cs="Times New Roman"/>
                <w:sz w:val="24"/>
                <w:szCs w:val="24"/>
              </w:rPr>
              <w:t>Real y Precios</w:t>
            </w:r>
          </w:p>
        </w:tc>
        <w:tc>
          <w:tcPr>
            <w:tcW w:w="2303" w:type="dxa"/>
          </w:tcPr>
          <w:p w:rsidR="003C0001" w:rsidRDefault="003C0001" w:rsidP="0042524C">
            <w:pPr>
              <w:spacing w:after="120"/>
              <w:contextualSpacing/>
              <w:jc w:val="both"/>
              <w:rPr>
                <w:rFonts w:ascii="Times New Roman" w:hAnsi="Times New Roman" w:cs="Times New Roman"/>
                <w:sz w:val="24"/>
                <w:szCs w:val="24"/>
              </w:rPr>
            </w:pPr>
            <w:r>
              <w:rPr>
                <w:rFonts w:ascii="Times New Roman" w:hAnsi="Times New Roman" w:cs="Times New Roman"/>
                <w:sz w:val="24"/>
                <w:szCs w:val="24"/>
              </w:rPr>
              <w:t>PIB, IPC</w:t>
            </w:r>
          </w:p>
        </w:tc>
        <w:tc>
          <w:tcPr>
            <w:tcW w:w="3186" w:type="dxa"/>
          </w:tcPr>
          <w:p w:rsidR="003C0001" w:rsidRDefault="00DA2D42" w:rsidP="0042524C">
            <w:pPr>
              <w:spacing w:after="120"/>
              <w:contextualSpacing/>
              <w:jc w:val="both"/>
              <w:rPr>
                <w:rFonts w:ascii="Times New Roman" w:hAnsi="Times New Roman" w:cs="Times New Roman"/>
                <w:sz w:val="24"/>
                <w:szCs w:val="24"/>
              </w:rPr>
            </w:pPr>
            <w:r>
              <w:rPr>
                <w:rFonts w:ascii="Times New Roman" w:hAnsi="Times New Roman" w:cs="Times New Roman"/>
                <w:sz w:val="24"/>
                <w:szCs w:val="24"/>
              </w:rPr>
              <w:t>Depart. CC.NN./</w:t>
            </w:r>
            <w:r w:rsidR="003C0001">
              <w:rPr>
                <w:rFonts w:ascii="Times New Roman" w:hAnsi="Times New Roman" w:cs="Times New Roman"/>
                <w:sz w:val="24"/>
                <w:szCs w:val="24"/>
              </w:rPr>
              <w:t>BCRD</w:t>
            </w:r>
          </w:p>
        </w:tc>
        <w:tc>
          <w:tcPr>
            <w:tcW w:w="2109" w:type="dxa"/>
          </w:tcPr>
          <w:p w:rsidR="003C0001" w:rsidRDefault="003C0001" w:rsidP="0042524C">
            <w:pPr>
              <w:spacing w:after="120"/>
              <w:contextualSpacing/>
              <w:jc w:val="both"/>
              <w:rPr>
                <w:rFonts w:ascii="Times New Roman" w:hAnsi="Times New Roman" w:cs="Times New Roman"/>
                <w:sz w:val="24"/>
                <w:szCs w:val="24"/>
              </w:rPr>
            </w:pPr>
            <w:r>
              <w:rPr>
                <w:rFonts w:ascii="Times New Roman" w:hAnsi="Times New Roman" w:cs="Times New Roman"/>
                <w:sz w:val="24"/>
                <w:szCs w:val="24"/>
              </w:rPr>
              <w:t>Trimestral/Mensual</w:t>
            </w:r>
          </w:p>
        </w:tc>
      </w:tr>
      <w:tr w:rsidR="003C0001" w:rsidTr="003C0001">
        <w:tc>
          <w:tcPr>
            <w:tcW w:w="1771" w:type="dxa"/>
          </w:tcPr>
          <w:p w:rsidR="003C0001" w:rsidRDefault="003C0001" w:rsidP="0042524C">
            <w:pPr>
              <w:spacing w:after="120"/>
              <w:contextualSpacing/>
              <w:jc w:val="both"/>
              <w:rPr>
                <w:rFonts w:ascii="Times New Roman" w:hAnsi="Times New Roman" w:cs="Times New Roman"/>
                <w:sz w:val="24"/>
                <w:szCs w:val="24"/>
              </w:rPr>
            </w:pPr>
            <w:r>
              <w:rPr>
                <w:rFonts w:ascii="Times New Roman" w:hAnsi="Times New Roman" w:cs="Times New Roman"/>
                <w:sz w:val="24"/>
                <w:szCs w:val="24"/>
              </w:rPr>
              <w:t>Externo</w:t>
            </w:r>
          </w:p>
        </w:tc>
        <w:tc>
          <w:tcPr>
            <w:tcW w:w="2303" w:type="dxa"/>
          </w:tcPr>
          <w:p w:rsidR="003C0001" w:rsidRDefault="003C0001" w:rsidP="0042524C">
            <w:pPr>
              <w:spacing w:after="120"/>
              <w:contextualSpacing/>
              <w:jc w:val="both"/>
              <w:rPr>
                <w:rFonts w:ascii="Times New Roman" w:hAnsi="Times New Roman" w:cs="Times New Roman"/>
                <w:sz w:val="24"/>
                <w:szCs w:val="24"/>
              </w:rPr>
            </w:pPr>
            <w:r>
              <w:rPr>
                <w:rFonts w:ascii="Times New Roman" w:hAnsi="Times New Roman" w:cs="Times New Roman"/>
                <w:sz w:val="24"/>
                <w:szCs w:val="24"/>
              </w:rPr>
              <w:t>Balanza de Pagos</w:t>
            </w:r>
          </w:p>
        </w:tc>
        <w:tc>
          <w:tcPr>
            <w:tcW w:w="3186" w:type="dxa"/>
          </w:tcPr>
          <w:p w:rsidR="003C0001" w:rsidRDefault="003C0001" w:rsidP="0042524C">
            <w:pPr>
              <w:spacing w:after="120"/>
              <w:contextualSpacing/>
              <w:jc w:val="both"/>
              <w:rPr>
                <w:rFonts w:ascii="Times New Roman" w:hAnsi="Times New Roman" w:cs="Times New Roman"/>
                <w:sz w:val="24"/>
                <w:szCs w:val="24"/>
              </w:rPr>
            </w:pPr>
            <w:r>
              <w:rPr>
                <w:rFonts w:ascii="Times New Roman" w:hAnsi="Times New Roman" w:cs="Times New Roman"/>
                <w:sz w:val="24"/>
                <w:szCs w:val="24"/>
              </w:rPr>
              <w:t>Depart. Internacional/BCRD, DGCP/Ministerio Hacienda</w:t>
            </w:r>
          </w:p>
        </w:tc>
        <w:tc>
          <w:tcPr>
            <w:tcW w:w="2109" w:type="dxa"/>
          </w:tcPr>
          <w:p w:rsidR="003C0001" w:rsidRDefault="003C0001" w:rsidP="0042524C">
            <w:pPr>
              <w:spacing w:after="120"/>
              <w:contextualSpacing/>
              <w:jc w:val="both"/>
              <w:rPr>
                <w:rFonts w:ascii="Times New Roman" w:hAnsi="Times New Roman" w:cs="Times New Roman"/>
                <w:sz w:val="24"/>
                <w:szCs w:val="24"/>
              </w:rPr>
            </w:pPr>
            <w:r>
              <w:rPr>
                <w:rFonts w:ascii="Times New Roman" w:hAnsi="Times New Roman" w:cs="Times New Roman"/>
                <w:sz w:val="24"/>
                <w:szCs w:val="24"/>
              </w:rPr>
              <w:t>Trimestral/Mensual</w:t>
            </w:r>
          </w:p>
        </w:tc>
      </w:tr>
      <w:tr w:rsidR="003C0001" w:rsidTr="003C0001">
        <w:tc>
          <w:tcPr>
            <w:tcW w:w="1771" w:type="dxa"/>
          </w:tcPr>
          <w:p w:rsidR="003C0001" w:rsidRDefault="003C0001" w:rsidP="0042524C">
            <w:pPr>
              <w:spacing w:after="120"/>
              <w:contextualSpacing/>
              <w:jc w:val="both"/>
              <w:rPr>
                <w:rFonts w:ascii="Times New Roman" w:hAnsi="Times New Roman" w:cs="Times New Roman"/>
                <w:sz w:val="24"/>
                <w:szCs w:val="24"/>
              </w:rPr>
            </w:pPr>
            <w:r>
              <w:rPr>
                <w:rFonts w:ascii="Times New Roman" w:hAnsi="Times New Roman" w:cs="Times New Roman"/>
                <w:sz w:val="24"/>
                <w:szCs w:val="24"/>
              </w:rPr>
              <w:t>Fiscal</w:t>
            </w:r>
          </w:p>
        </w:tc>
        <w:tc>
          <w:tcPr>
            <w:tcW w:w="2303" w:type="dxa"/>
          </w:tcPr>
          <w:p w:rsidR="003C0001" w:rsidRDefault="003C0001" w:rsidP="003C0001">
            <w:pPr>
              <w:spacing w:after="120"/>
              <w:contextualSpacing/>
              <w:jc w:val="both"/>
              <w:rPr>
                <w:rFonts w:ascii="Times New Roman" w:hAnsi="Times New Roman" w:cs="Times New Roman"/>
                <w:sz w:val="24"/>
                <w:szCs w:val="24"/>
              </w:rPr>
            </w:pPr>
            <w:r>
              <w:rPr>
                <w:rFonts w:ascii="Times New Roman" w:hAnsi="Times New Roman" w:cs="Times New Roman"/>
                <w:sz w:val="24"/>
                <w:szCs w:val="24"/>
              </w:rPr>
              <w:t>Finanzas SPNF</w:t>
            </w:r>
          </w:p>
        </w:tc>
        <w:tc>
          <w:tcPr>
            <w:tcW w:w="3186" w:type="dxa"/>
          </w:tcPr>
          <w:p w:rsidR="003C0001" w:rsidRDefault="003C0001" w:rsidP="0042524C">
            <w:pPr>
              <w:spacing w:after="120"/>
              <w:contextualSpacing/>
              <w:jc w:val="both"/>
              <w:rPr>
                <w:rFonts w:ascii="Times New Roman" w:hAnsi="Times New Roman" w:cs="Times New Roman"/>
                <w:sz w:val="24"/>
                <w:szCs w:val="24"/>
              </w:rPr>
            </w:pPr>
            <w:r>
              <w:rPr>
                <w:rFonts w:ascii="Times New Roman" w:hAnsi="Times New Roman" w:cs="Times New Roman"/>
                <w:sz w:val="24"/>
                <w:szCs w:val="24"/>
              </w:rPr>
              <w:t>Ministerio de Hacienda (UPF)</w:t>
            </w:r>
          </w:p>
        </w:tc>
        <w:tc>
          <w:tcPr>
            <w:tcW w:w="2109" w:type="dxa"/>
          </w:tcPr>
          <w:p w:rsidR="003C0001" w:rsidRDefault="003C0001" w:rsidP="0042524C">
            <w:pPr>
              <w:spacing w:after="120"/>
              <w:contextualSpacing/>
              <w:jc w:val="both"/>
              <w:rPr>
                <w:rFonts w:ascii="Times New Roman" w:hAnsi="Times New Roman" w:cs="Times New Roman"/>
                <w:sz w:val="24"/>
                <w:szCs w:val="24"/>
              </w:rPr>
            </w:pPr>
            <w:r>
              <w:rPr>
                <w:rFonts w:ascii="Times New Roman" w:hAnsi="Times New Roman" w:cs="Times New Roman"/>
                <w:sz w:val="24"/>
                <w:szCs w:val="24"/>
              </w:rPr>
              <w:t>Mensual</w:t>
            </w:r>
          </w:p>
        </w:tc>
      </w:tr>
      <w:tr w:rsidR="003C0001" w:rsidTr="003C0001">
        <w:tc>
          <w:tcPr>
            <w:tcW w:w="1771" w:type="dxa"/>
          </w:tcPr>
          <w:p w:rsidR="003C0001" w:rsidRDefault="003C0001" w:rsidP="0042524C">
            <w:pPr>
              <w:spacing w:after="120"/>
              <w:contextualSpacing/>
              <w:jc w:val="both"/>
              <w:rPr>
                <w:rFonts w:ascii="Times New Roman" w:hAnsi="Times New Roman" w:cs="Times New Roman"/>
                <w:sz w:val="24"/>
                <w:szCs w:val="24"/>
              </w:rPr>
            </w:pPr>
            <w:r>
              <w:rPr>
                <w:rFonts w:ascii="Times New Roman" w:hAnsi="Times New Roman" w:cs="Times New Roman"/>
                <w:sz w:val="24"/>
                <w:szCs w:val="24"/>
              </w:rPr>
              <w:t>Monetario</w:t>
            </w:r>
          </w:p>
        </w:tc>
        <w:tc>
          <w:tcPr>
            <w:tcW w:w="2303" w:type="dxa"/>
          </w:tcPr>
          <w:p w:rsidR="003C0001" w:rsidRDefault="003C0001" w:rsidP="003C0001">
            <w:pPr>
              <w:spacing w:after="120"/>
              <w:contextualSpacing/>
              <w:jc w:val="both"/>
              <w:rPr>
                <w:rFonts w:ascii="Times New Roman" w:hAnsi="Times New Roman" w:cs="Times New Roman"/>
                <w:sz w:val="24"/>
                <w:szCs w:val="24"/>
              </w:rPr>
            </w:pPr>
            <w:r>
              <w:rPr>
                <w:rFonts w:ascii="Times New Roman" w:hAnsi="Times New Roman" w:cs="Times New Roman"/>
                <w:sz w:val="24"/>
                <w:szCs w:val="24"/>
              </w:rPr>
              <w:t>Balances BC y OSD</w:t>
            </w:r>
          </w:p>
        </w:tc>
        <w:tc>
          <w:tcPr>
            <w:tcW w:w="3186" w:type="dxa"/>
          </w:tcPr>
          <w:p w:rsidR="003C0001" w:rsidRDefault="003C0001" w:rsidP="0042524C">
            <w:pPr>
              <w:spacing w:after="120"/>
              <w:contextualSpacing/>
              <w:jc w:val="both"/>
              <w:rPr>
                <w:rFonts w:ascii="Times New Roman" w:hAnsi="Times New Roman" w:cs="Times New Roman"/>
                <w:sz w:val="24"/>
                <w:szCs w:val="24"/>
              </w:rPr>
            </w:pPr>
            <w:r>
              <w:rPr>
                <w:rFonts w:ascii="Times New Roman" w:hAnsi="Times New Roman" w:cs="Times New Roman"/>
                <w:sz w:val="24"/>
                <w:szCs w:val="24"/>
              </w:rPr>
              <w:t>Banco Central (estadísticas armonizadas)</w:t>
            </w:r>
          </w:p>
        </w:tc>
        <w:tc>
          <w:tcPr>
            <w:tcW w:w="2109" w:type="dxa"/>
          </w:tcPr>
          <w:p w:rsidR="003C0001" w:rsidRDefault="003C0001" w:rsidP="0042524C">
            <w:pPr>
              <w:spacing w:after="120"/>
              <w:contextualSpacing/>
              <w:jc w:val="both"/>
              <w:rPr>
                <w:rFonts w:ascii="Times New Roman" w:hAnsi="Times New Roman" w:cs="Times New Roman"/>
                <w:sz w:val="24"/>
                <w:szCs w:val="24"/>
              </w:rPr>
            </w:pPr>
            <w:r>
              <w:rPr>
                <w:rFonts w:ascii="Times New Roman" w:hAnsi="Times New Roman" w:cs="Times New Roman"/>
                <w:sz w:val="24"/>
                <w:szCs w:val="24"/>
              </w:rPr>
              <w:t>Mensual</w:t>
            </w:r>
          </w:p>
        </w:tc>
      </w:tr>
    </w:tbl>
    <w:p w:rsidR="0042524C" w:rsidRDefault="0042524C" w:rsidP="0042524C">
      <w:pPr>
        <w:spacing w:after="120"/>
        <w:contextualSpacing/>
        <w:jc w:val="both"/>
        <w:rPr>
          <w:rFonts w:ascii="Times New Roman" w:hAnsi="Times New Roman" w:cs="Times New Roman"/>
          <w:sz w:val="24"/>
          <w:szCs w:val="24"/>
        </w:rPr>
      </w:pPr>
    </w:p>
    <w:p w:rsidR="003C0001" w:rsidRDefault="003C0001" w:rsidP="003C0001">
      <w:pPr>
        <w:spacing w:after="120"/>
        <w:ind w:firstLine="360"/>
        <w:contextualSpacing/>
        <w:jc w:val="both"/>
        <w:rPr>
          <w:rFonts w:ascii="Times New Roman" w:hAnsi="Times New Roman" w:cs="Times New Roman"/>
          <w:sz w:val="24"/>
          <w:szCs w:val="24"/>
        </w:rPr>
      </w:pPr>
      <w:r>
        <w:rPr>
          <w:rFonts w:ascii="Times New Roman" w:hAnsi="Times New Roman" w:cs="Times New Roman"/>
          <w:sz w:val="24"/>
          <w:szCs w:val="24"/>
        </w:rPr>
        <w:t>El periodo de proyección fijado para esta fase es 2014-2018, con una frecuencia anual como se comentaba anteriormente.</w:t>
      </w:r>
    </w:p>
    <w:p w:rsidR="00B6434C" w:rsidRPr="00B6434C" w:rsidRDefault="00723800" w:rsidP="00FE551A">
      <w:pPr>
        <w:pStyle w:val="Heading1"/>
        <w:numPr>
          <w:ilvl w:val="0"/>
          <w:numId w:val="4"/>
        </w:numPr>
        <w:ind w:left="360" w:hanging="360"/>
        <w:rPr>
          <w:rFonts w:ascii="Times New Roman" w:hAnsi="Times New Roman" w:cs="Times New Roman"/>
          <w:sz w:val="28"/>
        </w:rPr>
      </w:pPr>
      <w:bookmarkStart w:id="2" w:name="_Toc398801690"/>
      <w:r w:rsidRPr="00B6434C">
        <w:rPr>
          <w:rFonts w:ascii="Times New Roman" w:hAnsi="Times New Roman" w:cs="Times New Roman"/>
          <w:sz w:val="28"/>
        </w:rPr>
        <w:t>S</w:t>
      </w:r>
      <w:r w:rsidR="005769EB" w:rsidRPr="00B6434C">
        <w:rPr>
          <w:rFonts w:ascii="Times New Roman" w:hAnsi="Times New Roman" w:cs="Times New Roman"/>
          <w:sz w:val="28"/>
        </w:rPr>
        <w:t>ector Real y Precios</w:t>
      </w:r>
      <w:bookmarkEnd w:id="2"/>
    </w:p>
    <w:p w:rsidR="005769EB" w:rsidRPr="002312E8" w:rsidRDefault="00B6434C" w:rsidP="006E1F36">
      <w:pPr>
        <w:pStyle w:val="Heading2"/>
        <w:rPr>
          <w:rFonts w:ascii="Times New Roman" w:hAnsi="Times New Roman" w:cs="Times New Roman"/>
          <w:sz w:val="26"/>
        </w:rPr>
      </w:pPr>
      <w:bookmarkStart w:id="3" w:name="_Toc398801691"/>
      <w:r w:rsidRPr="002312E8">
        <w:rPr>
          <w:rFonts w:ascii="Times New Roman" w:hAnsi="Times New Roman" w:cs="Times New Roman"/>
          <w:sz w:val="26"/>
        </w:rPr>
        <w:t>I</w:t>
      </w:r>
      <w:r w:rsidR="00B50B0D">
        <w:rPr>
          <w:rFonts w:ascii="Times New Roman" w:hAnsi="Times New Roman" w:cs="Times New Roman"/>
          <w:sz w:val="26"/>
        </w:rPr>
        <w:t>I</w:t>
      </w:r>
      <w:r w:rsidRPr="002312E8">
        <w:rPr>
          <w:rFonts w:ascii="Times New Roman" w:hAnsi="Times New Roman" w:cs="Times New Roman"/>
          <w:sz w:val="26"/>
        </w:rPr>
        <w:t xml:space="preserve">I.A. </w:t>
      </w:r>
      <w:r w:rsidR="005769EB" w:rsidRPr="002312E8">
        <w:rPr>
          <w:rFonts w:ascii="Times New Roman" w:hAnsi="Times New Roman" w:cs="Times New Roman"/>
          <w:sz w:val="26"/>
        </w:rPr>
        <w:t>Descripción archivos</w:t>
      </w:r>
      <w:bookmarkEnd w:id="3"/>
    </w:p>
    <w:p w:rsidR="00211C82" w:rsidRPr="00211C82" w:rsidRDefault="00211C82" w:rsidP="00211C82">
      <w:pPr>
        <w:pStyle w:val="NoSpacing"/>
      </w:pPr>
    </w:p>
    <w:p w:rsidR="00723800" w:rsidRDefault="005769EB" w:rsidP="00B6434C">
      <w:pPr>
        <w:spacing w:after="120"/>
        <w:ind w:firstLine="360"/>
        <w:contextualSpacing/>
        <w:jc w:val="both"/>
        <w:rPr>
          <w:rFonts w:ascii="Times New Roman" w:hAnsi="Times New Roman" w:cs="Times New Roman"/>
          <w:sz w:val="24"/>
          <w:szCs w:val="24"/>
        </w:rPr>
      </w:pPr>
      <w:r w:rsidRPr="00B6434C">
        <w:rPr>
          <w:rFonts w:ascii="Times New Roman" w:hAnsi="Times New Roman" w:cs="Times New Roman"/>
          <w:sz w:val="24"/>
          <w:szCs w:val="24"/>
        </w:rPr>
        <w:t xml:space="preserve">El </w:t>
      </w:r>
      <w:r w:rsidR="002E113B" w:rsidRPr="00B6434C">
        <w:rPr>
          <w:rFonts w:ascii="Times New Roman" w:hAnsi="Times New Roman" w:cs="Times New Roman"/>
          <w:sz w:val="24"/>
          <w:szCs w:val="24"/>
        </w:rPr>
        <w:t>S</w:t>
      </w:r>
      <w:r w:rsidRPr="00B6434C">
        <w:rPr>
          <w:rFonts w:ascii="Times New Roman" w:hAnsi="Times New Roman" w:cs="Times New Roman"/>
          <w:sz w:val="24"/>
          <w:szCs w:val="24"/>
        </w:rPr>
        <w:t xml:space="preserve">ector </w:t>
      </w:r>
      <w:r w:rsidR="002E113B" w:rsidRPr="00B6434C">
        <w:rPr>
          <w:rFonts w:ascii="Times New Roman" w:hAnsi="Times New Roman" w:cs="Times New Roman"/>
          <w:sz w:val="24"/>
          <w:szCs w:val="24"/>
        </w:rPr>
        <w:t>R</w:t>
      </w:r>
      <w:r w:rsidRPr="00B6434C">
        <w:rPr>
          <w:rFonts w:ascii="Times New Roman" w:hAnsi="Times New Roman" w:cs="Times New Roman"/>
          <w:sz w:val="24"/>
          <w:szCs w:val="24"/>
        </w:rPr>
        <w:t xml:space="preserve">eal está compuesto por tablas </w:t>
      </w:r>
      <w:r w:rsidR="002E113B" w:rsidRPr="00B6434C">
        <w:rPr>
          <w:rFonts w:ascii="Times New Roman" w:hAnsi="Times New Roman" w:cs="Times New Roman"/>
          <w:sz w:val="24"/>
          <w:szCs w:val="24"/>
        </w:rPr>
        <w:t>y gráficos d</w:t>
      </w:r>
      <w:r w:rsidRPr="00B6434C">
        <w:rPr>
          <w:rFonts w:ascii="Times New Roman" w:hAnsi="Times New Roman" w:cs="Times New Roman"/>
          <w:sz w:val="24"/>
          <w:szCs w:val="24"/>
        </w:rPr>
        <w:t>e la evolución del P</w:t>
      </w:r>
      <w:r w:rsidR="002E113B" w:rsidRPr="00B6434C">
        <w:rPr>
          <w:rFonts w:ascii="Times New Roman" w:hAnsi="Times New Roman" w:cs="Times New Roman"/>
          <w:sz w:val="24"/>
          <w:szCs w:val="24"/>
        </w:rPr>
        <w:t>IB</w:t>
      </w:r>
      <w:r w:rsidRPr="00B6434C">
        <w:rPr>
          <w:rFonts w:ascii="Times New Roman" w:hAnsi="Times New Roman" w:cs="Times New Roman"/>
          <w:sz w:val="24"/>
          <w:szCs w:val="24"/>
        </w:rPr>
        <w:t xml:space="preserve"> tanto por el lado del gasto como por el lado de la producción (sectorial). Las hojas se detallan en niveles, variación relativa y como porcentaje del PIB tanto a valores corrientes como a valores constantes. </w:t>
      </w:r>
      <w:r w:rsidR="003B1BB4" w:rsidRPr="00B6434C">
        <w:rPr>
          <w:rFonts w:ascii="Times New Roman" w:hAnsi="Times New Roman" w:cs="Times New Roman"/>
          <w:sz w:val="24"/>
          <w:szCs w:val="24"/>
        </w:rPr>
        <w:t>La secuencia de hojas se describe a continuación</w:t>
      </w:r>
      <w:r w:rsidR="002E113B" w:rsidRPr="00B6434C">
        <w:rPr>
          <w:rFonts w:ascii="Times New Roman" w:hAnsi="Times New Roman" w:cs="Times New Roman"/>
          <w:sz w:val="24"/>
          <w:szCs w:val="24"/>
        </w:rPr>
        <w:t>:</w:t>
      </w:r>
      <w:r w:rsidR="003B1BB4" w:rsidRPr="00B6434C">
        <w:rPr>
          <w:rFonts w:ascii="Times New Roman" w:hAnsi="Times New Roman" w:cs="Times New Roman"/>
          <w:sz w:val="24"/>
          <w:szCs w:val="24"/>
        </w:rPr>
        <w:t xml:space="preserve"> </w:t>
      </w:r>
      <w:r w:rsidR="006E58D1" w:rsidRPr="00B6434C">
        <w:rPr>
          <w:rFonts w:ascii="Times New Roman" w:hAnsi="Times New Roman" w:cs="Times New Roman"/>
          <w:sz w:val="24"/>
          <w:szCs w:val="24"/>
        </w:rPr>
        <w:t>1) Tabla de Contenidos, resume los archivos de entrada y salida (OUTPUT_INPUT FILES) principales, 2) Supuestos Generales, contiene las variables básicas para fines de proyección, PIB real en miles de millones de pesos a precios de 2007 y su variación</w:t>
      </w:r>
      <w:r w:rsidR="002E113B" w:rsidRPr="00B6434C">
        <w:rPr>
          <w:rFonts w:ascii="Times New Roman" w:hAnsi="Times New Roman" w:cs="Times New Roman"/>
          <w:sz w:val="24"/>
          <w:szCs w:val="24"/>
        </w:rPr>
        <w:t xml:space="preserve"> %</w:t>
      </w:r>
      <w:r w:rsidR="006E58D1" w:rsidRPr="00B6434C">
        <w:rPr>
          <w:rFonts w:ascii="Times New Roman" w:hAnsi="Times New Roman" w:cs="Times New Roman"/>
          <w:sz w:val="24"/>
          <w:szCs w:val="24"/>
        </w:rPr>
        <w:t>, PIB nominal en miles de millones de pesos a precios corrientes y su variación</w:t>
      </w:r>
      <w:r w:rsidR="002E113B" w:rsidRPr="00B6434C">
        <w:rPr>
          <w:rFonts w:ascii="Times New Roman" w:hAnsi="Times New Roman" w:cs="Times New Roman"/>
          <w:sz w:val="24"/>
          <w:szCs w:val="24"/>
        </w:rPr>
        <w:t xml:space="preserve"> %</w:t>
      </w:r>
      <w:r w:rsidR="006E58D1" w:rsidRPr="00B6434C">
        <w:rPr>
          <w:rFonts w:ascii="Times New Roman" w:hAnsi="Times New Roman" w:cs="Times New Roman"/>
          <w:sz w:val="24"/>
          <w:szCs w:val="24"/>
        </w:rPr>
        <w:t>, PIB nominal en miles de millones de dólares y su variación</w:t>
      </w:r>
      <w:r w:rsidR="002E113B" w:rsidRPr="00B6434C">
        <w:rPr>
          <w:rFonts w:ascii="Times New Roman" w:hAnsi="Times New Roman" w:cs="Times New Roman"/>
          <w:sz w:val="24"/>
          <w:szCs w:val="24"/>
        </w:rPr>
        <w:t xml:space="preserve"> %</w:t>
      </w:r>
      <w:r w:rsidR="006E58D1" w:rsidRPr="00B6434C">
        <w:rPr>
          <w:rFonts w:ascii="Times New Roman" w:hAnsi="Times New Roman" w:cs="Times New Roman"/>
          <w:sz w:val="24"/>
          <w:szCs w:val="24"/>
        </w:rPr>
        <w:t xml:space="preserve">, inflación meta, variaciones de IPC promedio, IPC a diciembre y deflactor del PIB. Además se incluyen las tasas de cambio (RD$/US$) promedio y a diciembre en niveles y variación. Las variables externas incluidas </w:t>
      </w:r>
      <w:r w:rsidR="00023224" w:rsidRPr="00B6434C">
        <w:rPr>
          <w:rFonts w:ascii="Times New Roman" w:hAnsi="Times New Roman" w:cs="Times New Roman"/>
          <w:sz w:val="24"/>
          <w:szCs w:val="24"/>
        </w:rPr>
        <w:t>en los supuestos generales son la</w:t>
      </w:r>
      <w:r w:rsidR="00DC2DDD" w:rsidRPr="00B6434C">
        <w:rPr>
          <w:rFonts w:ascii="Times New Roman" w:hAnsi="Times New Roman" w:cs="Times New Roman"/>
          <w:sz w:val="24"/>
          <w:szCs w:val="24"/>
        </w:rPr>
        <w:t xml:space="preserve"> tasa de crecimiento del PIB real norteamericano y las tasas de inflación promedio y a diciembre de la misma economía</w:t>
      </w:r>
      <w:r w:rsidR="00723800" w:rsidRPr="00B6434C">
        <w:rPr>
          <w:rFonts w:ascii="Times New Roman" w:hAnsi="Times New Roman" w:cs="Times New Roman"/>
          <w:sz w:val="24"/>
          <w:szCs w:val="24"/>
        </w:rPr>
        <w:t>.</w:t>
      </w:r>
    </w:p>
    <w:p w:rsidR="00B6434C" w:rsidRPr="00B6434C" w:rsidRDefault="00B6434C" w:rsidP="00B6434C">
      <w:pPr>
        <w:spacing w:after="120"/>
        <w:ind w:firstLine="360"/>
        <w:contextualSpacing/>
        <w:jc w:val="both"/>
        <w:rPr>
          <w:rFonts w:ascii="Times New Roman" w:hAnsi="Times New Roman" w:cs="Times New Roman"/>
          <w:sz w:val="24"/>
          <w:szCs w:val="24"/>
        </w:rPr>
      </w:pPr>
    </w:p>
    <w:p w:rsidR="0060005E" w:rsidRDefault="00723800" w:rsidP="00B6434C">
      <w:pPr>
        <w:spacing w:after="120"/>
        <w:ind w:firstLine="360"/>
        <w:contextualSpacing/>
        <w:jc w:val="both"/>
        <w:rPr>
          <w:rFonts w:ascii="Times New Roman" w:hAnsi="Times New Roman" w:cs="Times New Roman"/>
          <w:sz w:val="24"/>
          <w:szCs w:val="24"/>
        </w:rPr>
      </w:pPr>
      <w:r w:rsidRPr="00B6434C">
        <w:rPr>
          <w:rFonts w:ascii="Times New Roman" w:hAnsi="Times New Roman" w:cs="Times New Roman"/>
          <w:sz w:val="24"/>
          <w:szCs w:val="24"/>
        </w:rPr>
        <w:t xml:space="preserve">La hoja </w:t>
      </w:r>
      <w:r w:rsidR="00DC2DDD" w:rsidRPr="00B6434C">
        <w:rPr>
          <w:rFonts w:ascii="Times New Roman" w:hAnsi="Times New Roman" w:cs="Times New Roman"/>
          <w:sz w:val="24"/>
          <w:szCs w:val="24"/>
        </w:rPr>
        <w:t xml:space="preserve">3) Calendario de Disponibilidad de Insumos, presenta la hoja de publicación de las principales variables utilizadas en el sector por título, frecuencia, fecha y dato para fines de actualización, </w:t>
      </w:r>
      <w:r w:rsidR="00023224" w:rsidRPr="00B6434C">
        <w:rPr>
          <w:rFonts w:ascii="Times New Roman" w:hAnsi="Times New Roman" w:cs="Times New Roman"/>
          <w:sz w:val="24"/>
          <w:szCs w:val="24"/>
        </w:rPr>
        <w:t xml:space="preserve">la hoja </w:t>
      </w:r>
      <w:r w:rsidR="00DC2DDD" w:rsidRPr="00B6434C">
        <w:rPr>
          <w:rFonts w:ascii="Times New Roman" w:hAnsi="Times New Roman" w:cs="Times New Roman"/>
          <w:sz w:val="24"/>
          <w:szCs w:val="24"/>
        </w:rPr>
        <w:t>4) Indicadores Claves, muestra la tabla resumen de indicadores seleccionados del sector</w:t>
      </w:r>
      <w:r w:rsidR="00023224" w:rsidRPr="00B6434C">
        <w:rPr>
          <w:rFonts w:ascii="Times New Roman" w:hAnsi="Times New Roman" w:cs="Times New Roman"/>
          <w:sz w:val="24"/>
          <w:szCs w:val="24"/>
        </w:rPr>
        <w:t xml:space="preserve"> conformada por el </w:t>
      </w:r>
      <w:r w:rsidR="00DC2DDD" w:rsidRPr="00B6434C">
        <w:rPr>
          <w:rFonts w:ascii="Times New Roman" w:hAnsi="Times New Roman" w:cs="Times New Roman"/>
          <w:sz w:val="24"/>
          <w:szCs w:val="24"/>
        </w:rPr>
        <w:t xml:space="preserve">PIB nominal en miles de millones de pesos, PIB nominal en miles de millones de dólares, PIB real </w:t>
      </w:r>
      <w:r w:rsidR="0060005E" w:rsidRPr="00B6434C">
        <w:rPr>
          <w:rFonts w:ascii="Times New Roman" w:hAnsi="Times New Roman" w:cs="Times New Roman"/>
          <w:sz w:val="24"/>
          <w:szCs w:val="24"/>
        </w:rPr>
        <w:t xml:space="preserve">% </w:t>
      </w:r>
      <w:r w:rsidR="00DC2DDD" w:rsidRPr="00B6434C">
        <w:rPr>
          <w:rFonts w:ascii="Times New Roman" w:hAnsi="Times New Roman" w:cs="Times New Roman"/>
          <w:sz w:val="24"/>
          <w:szCs w:val="24"/>
        </w:rPr>
        <w:t>crecimiento, variación de inflación promedio y a</w:t>
      </w:r>
      <w:r w:rsidR="00023224" w:rsidRPr="00B6434C">
        <w:rPr>
          <w:rFonts w:ascii="Times New Roman" w:hAnsi="Times New Roman" w:cs="Times New Roman"/>
          <w:sz w:val="24"/>
          <w:szCs w:val="24"/>
        </w:rPr>
        <w:t xml:space="preserve"> di</w:t>
      </w:r>
      <w:r w:rsidR="00DC2DDD" w:rsidRPr="00B6434C">
        <w:rPr>
          <w:rFonts w:ascii="Times New Roman" w:hAnsi="Times New Roman" w:cs="Times New Roman"/>
          <w:sz w:val="24"/>
          <w:szCs w:val="24"/>
        </w:rPr>
        <w:t>ciembre y la variación</w:t>
      </w:r>
      <w:r w:rsidR="00FF3DC6" w:rsidRPr="00B6434C">
        <w:rPr>
          <w:rFonts w:ascii="Times New Roman" w:hAnsi="Times New Roman" w:cs="Times New Roman"/>
          <w:sz w:val="24"/>
          <w:szCs w:val="24"/>
        </w:rPr>
        <w:t xml:space="preserve"> del deflactor del PIB</w:t>
      </w:r>
      <w:r w:rsidR="00364B85" w:rsidRPr="00B6434C">
        <w:rPr>
          <w:rFonts w:ascii="Times New Roman" w:hAnsi="Times New Roman" w:cs="Times New Roman"/>
          <w:sz w:val="24"/>
          <w:szCs w:val="24"/>
        </w:rPr>
        <w:t>.</w:t>
      </w:r>
    </w:p>
    <w:p w:rsidR="00B6434C" w:rsidRPr="00B6434C" w:rsidRDefault="00B6434C" w:rsidP="00B6434C">
      <w:pPr>
        <w:spacing w:after="120"/>
        <w:ind w:firstLine="360"/>
        <w:contextualSpacing/>
        <w:jc w:val="both"/>
        <w:rPr>
          <w:rFonts w:ascii="Times New Roman" w:hAnsi="Times New Roman" w:cs="Times New Roman"/>
          <w:sz w:val="24"/>
          <w:szCs w:val="24"/>
        </w:rPr>
      </w:pPr>
    </w:p>
    <w:p w:rsidR="00723800" w:rsidRDefault="0060005E" w:rsidP="00B6434C">
      <w:pPr>
        <w:spacing w:after="120"/>
        <w:ind w:firstLine="360"/>
        <w:contextualSpacing/>
        <w:jc w:val="both"/>
        <w:rPr>
          <w:rFonts w:ascii="Times New Roman" w:hAnsi="Times New Roman" w:cs="Times New Roman"/>
          <w:sz w:val="24"/>
          <w:szCs w:val="24"/>
        </w:rPr>
      </w:pPr>
      <w:r w:rsidRPr="00B6434C">
        <w:rPr>
          <w:rFonts w:ascii="Times New Roman" w:hAnsi="Times New Roman" w:cs="Times New Roman"/>
          <w:sz w:val="24"/>
          <w:szCs w:val="24"/>
        </w:rPr>
        <w:t xml:space="preserve">La hoja 5) </w:t>
      </w:r>
      <w:r w:rsidR="00B56DB7" w:rsidRPr="00B6434C">
        <w:rPr>
          <w:rFonts w:ascii="Times New Roman" w:hAnsi="Times New Roman" w:cs="Times New Roman"/>
          <w:sz w:val="24"/>
          <w:szCs w:val="24"/>
        </w:rPr>
        <w:t>Gráficos Claves está compuesto</w:t>
      </w:r>
      <w:r w:rsidR="00507B67" w:rsidRPr="00B6434C">
        <w:rPr>
          <w:rFonts w:ascii="Times New Roman" w:hAnsi="Times New Roman" w:cs="Times New Roman"/>
          <w:sz w:val="24"/>
          <w:szCs w:val="24"/>
        </w:rPr>
        <w:t xml:space="preserve"> por 20 gráficos:</w:t>
      </w:r>
      <w:r w:rsidRPr="00B6434C">
        <w:rPr>
          <w:rFonts w:ascii="Times New Roman" w:hAnsi="Times New Roman" w:cs="Times New Roman"/>
          <w:sz w:val="24"/>
          <w:szCs w:val="24"/>
        </w:rPr>
        <w:t xml:space="preserve"> </w:t>
      </w:r>
      <w:r w:rsidR="00507B67" w:rsidRPr="00B6434C">
        <w:rPr>
          <w:rFonts w:ascii="Times New Roman" w:hAnsi="Times New Roman" w:cs="Times New Roman"/>
          <w:sz w:val="24"/>
          <w:szCs w:val="24"/>
        </w:rPr>
        <w:t xml:space="preserve">a) </w:t>
      </w:r>
      <w:r w:rsidRPr="00B6434C">
        <w:rPr>
          <w:rFonts w:ascii="Times New Roman" w:hAnsi="Times New Roman" w:cs="Times New Roman"/>
          <w:sz w:val="24"/>
          <w:szCs w:val="24"/>
        </w:rPr>
        <w:t xml:space="preserve">PIB </w:t>
      </w:r>
      <w:r w:rsidR="00507B67" w:rsidRPr="00B6434C">
        <w:rPr>
          <w:rFonts w:ascii="Times New Roman" w:hAnsi="Times New Roman" w:cs="Times New Roman"/>
          <w:sz w:val="24"/>
          <w:szCs w:val="24"/>
        </w:rPr>
        <w:t>G</w:t>
      </w:r>
      <w:r w:rsidRPr="00B6434C">
        <w:rPr>
          <w:rFonts w:ascii="Times New Roman" w:hAnsi="Times New Roman" w:cs="Times New Roman"/>
          <w:sz w:val="24"/>
          <w:szCs w:val="24"/>
        </w:rPr>
        <w:t xml:space="preserve">asto </w:t>
      </w:r>
      <w:r w:rsidR="00507B67" w:rsidRPr="00B6434C">
        <w:rPr>
          <w:rFonts w:ascii="Times New Roman" w:hAnsi="Times New Roman" w:cs="Times New Roman"/>
          <w:sz w:val="24"/>
          <w:szCs w:val="24"/>
        </w:rPr>
        <w:t>N</w:t>
      </w:r>
      <w:r w:rsidRPr="00B6434C">
        <w:rPr>
          <w:rFonts w:ascii="Times New Roman" w:hAnsi="Times New Roman" w:cs="Times New Roman"/>
          <w:sz w:val="24"/>
          <w:szCs w:val="24"/>
        </w:rPr>
        <w:t xml:space="preserve">ominal, </w:t>
      </w:r>
      <w:r w:rsidR="00507B67" w:rsidRPr="00B6434C">
        <w:rPr>
          <w:rFonts w:ascii="Times New Roman" w:hAnsi="Times New Roman" w:cs="Times New Roman"/>
          <w:sz w:val="24"/>
          <w:szCs w:val="24"/>
        </w:rPr>
        <w:t>componentes en niveles y % crecimiento 2009-2018, b) PIB Gasto Real, componentes en niveles y % crecimiento 2009-2013, c) PIB Gasto Nominal, comp</w:t>
      </w:r>
      <w:r w:rsidR="0017659F" w:rsidRPr="00B6434C">
        <w:rPr>
          <w:rFonts w:ascii="Times New Roman" w:hAnsi="Times New Roman" w:cs="Times New Roman"/>
          <w:sz w:val="24"/>
          <w:szCs w:val="24"/>
        </w:rPr>
        <w:t>onentes % PIB y % crecimiento 2009-2018, d) PIB Gasto Real, componentes % PIB y % crecimiento 2009-2013, e) PIB Sectorial Nominal, componentes niveles y % crecimiento 2009-2018, f) PIB Sectorial Nominal, componentes % PIB y % crecimiento 2009-2018, g) PIB Sectorial Real, componentes niveles y % crecimiento 2009-2018, h) PIB Sectorial Real, componentes % PIB y % crecimiento 2009-2018, i) PIB Sectorial Trimestral Nominal, variación % interanual 2012-2014, j) IMAE v</w:t>
      </w:r>
      <w:r w:rsidR="00723800" w:rsidRPr="00B6434C">
        <w:rPr>
          <w:rFonts w:ascii="Times New Roman" w:hAnsi="Times New Roman" w:cs="Times New Roman"/>
          <w:sz w:val="24"/>
          <w:szCs w:val="24"/>
        </w:rPr>
        <w:t>ariación % interanual 2012-2014.</w:t>
      </w:r>
    </w:p>
    <w:p w:rsidR="00B6434C" w:rsidRPr="00B6434C" w:rsidRDefault="00B6434C" w:rsidP="00B6434C">
      <w:pPr>
        <w:spacing w:after="120"/>
        <w:ind w:firstLine="360"/>
        <w:contextualSpacing/>
        <w:jc w:val="both"/>
        <w:rPr>
          <w:rFonts w:ascii="Times New Roman" w:hAnsi="Times New Roman" w:cs="Times New Roman"/>
          <w:sz w:val="24"/>
          <w:szCs w:val="24"/>
        </w:rPr>
      </w:pPr>
    </w:p>
    <w:p w:rsidR="000A3410" w:rsidRPr="00571C85" w:rsidRDefault="00723800" w:rsidP="00571C85">
      <w:pPr>
        <w:spacing w:after="120"/>
        <w:ind w:firstLine="360"/>
        <w:contextualSpacing/>
        <w:jc w:val="both"/>
        <w:rPr>
          <w:rFonts w:ascii="Times New Roman" w:hAnsi="Times New Roman" w:cs="Times New Roman"/>
          <w:sz w:val="24"/>
          <w:szCs w:val="24"/>
        </w:rPr>
      </w:pPr>
      <w:r w:rsidRPr="00571C85">
        <w:rPr>
          <w:rFonts w:ascii="Times New Roman" w:hAnsi="Times New Roman" w:cs="Times New Roman"/>
          <w:sz w:val="24"/>
          <w:szCs w:val="24"/>
        </w:rPr>
        <w:t xml:space="preserve">Además, se incluyen: </w:t>
      </w:r>
      <w:r w:rsidR="0017659F" w:rsidRPr="00571C85">
        <w:rPr>
          <w:rFonts w:ascii="Times New Roman" w:hAnsi="Times New Roman" w:cs="Times New Roman"/>
          <w:sz w:val="24"/>
          <w:szCs w:val="24"/>
        </w:rPr>
        <w:t xml:space="preserve"> k) PIB Sectorial Trimestral Real, variación % interanual 2012-2014, l) IMAE variación % mensual e interanual 2012-2014, m) Inflación promedio y tasa de cambio promedio, variación % mensual 2012-2018, n) Inflación promedio y deflactor PIB, variación % anual 2012-2018, o) Inflación promedio y tasa de cambio real, variación % anual, p) Inflación Rep Dom y socios comerciales, variación % anual 2012-2014, q) Inflación Rep Dom y socios comerciales, variación % anual 2012-2014, r) PIB valores constantes: tasas de crecimiento valores 2007 PIB efectivo y PIB tendencia últimos </w:t>
      </w:r>
      <w:r w:rsidR="000A3410" w:rsidRPr="00571C85">
        <w:rPr>
          <w:rFonts w:ascii="Times New Roman" w:hAnsi="Times New Roman" w:cs="Times New Roman"/>
          <w:sz w:val="24"/>
          <w:szCs w:val="24"/>
        </w:rPr>
        <w:t>5 años: 1997-2013, s) PIB valores constantes: valores constantes 2007 PIB efectivo y PIB tendencia últimos 5 años: 1997-2013, t) PIB Output Gap: Valores Constantes PIB Efectivo-PIB Tendencia últimos 5 años: 1997-2013</w:t>
      </w:r>
      <w:r w:rsidR="00AC5F10" w:rsidRPr="00571C85">
        <w:rPr>
          <w:rFonts w:ascii="Times New Roman" w:hAnsi="Times New Roman" w:cs="Times New Roman"/>
          <w:sz w:val="24"/>
          <w:szCs w:val="24"/>
        </w:rPr>
        <w:t>.</w:t>
      </w:r>
    </w:p>
    <w:p w:rsidR="00B6434C" w:rsidRPr="00B6434C" w:rsidRDefault="00B6434C" w:rsidP="00B6434C">
      <w:pPr>
        <w:spacing w:after="120"/>
        <w:ind w:firstLine="360"/>
        <w:contextualSpacing/>
        <w:jc w:val="both"/>
        <w:rPr>
          <w:rFonts w:ascii="Times New Roman" w:hAnsi="Times New Roman" w:cs="Times New Roman"/>
          <w:sz w:val="24"/>
          <w:szCs w:val="24"/>
        </w:rPr>
      </w:pPr>
    </w:p>
    <w:p w:rsidR="0026327D" w:rsidRDefault="000A3410" w:rsidP="00B6434C">
      <w:pPr>
        <w:spacing w:after="120"/>
        <w:ind w:firstLine="360"/>
        <w:contextualSpacing/>
        <w:jc w:val="both"/>
        <w:rPr>
          <w:rFonts w:ascii="Arial" w:hAnsi="Arial" w:cs="Arial"/>
        </w:rPr>
      </w:pPr>
      <w:r w:rsidRPr="00B6434C">
        <w:rPr>
          <w:rFonts w:ascii="Times New Roman" w:hAnsi="Times New Roman" w:cs="Times New Roman"/>
          <w:sz w:val="24"/>
          <w:szCs w:val="24"/>
        </w:rPr>
        <w:t>La hoja 6) presenta el PIB por el lado del gasto en valores corrientes detallado por l</w:t>
      </w:r>
      <w:r w:rsidR="003B1BB4" w:rsidRPr="00B6434C">
        <w:rPr>
          <w:rFonts w:ascii="Times New Roman" w:hAnsi="Times New Roman" w:cs="Times New Roman"/>
          <w:sz w:val="24"/>
          <w:szCs w:val="24"/>
        </w:rPr>
        <w:t xml:space="preserve">as categorías de </w:t>
      </w:r>
      <w:r w:rsidR="00877477" w:rsidRPr="00B6434C">
        <w:rPr>
          <w:rFonts w:ascii="Times New Roman" w:hAnsi="Times New Roman" w:cs="Times New Roman"/>
          <w:sz w:val="24"/>
          <w:szCs w:val="24"/>
        </w:rPr>
        <w:t>c</w:t>
      </w:r>
      <w:r w:rsidR="003B1BB4" w:rsidRPr="00B6434C">
        <w:rPr>
          <w:rFonts w:ascii="Times New Roman" w:hAnsi="Times New Roman" w:cs="Times New Roman"/>
          <w:sz w:val="24"/>
          <w:szCs w:val="24"/>
        </w:rPr>
        <w:t xml:space="preserve">onsumo </w:t>
      </w:r>
      <w:r w:rsidR="00877477" w:rsidRPr="00B6434C">
        <w:rPr>
          <w:rFonts w:ascii="Times New Roman" w:hAnsi="Times New Roman" w:cs="Times New Roman"/>
          <w:sz w:val="24"/>
          <w:szCs w:val="24"/>
        </w:rPr>
        <w:t>f</w:t>
      </w:r>
      <w:r w:rsidR="003B1BB4" w:rsidRPr="00B6434C">
        <w:rPr>
          <w:rFonts w:ascii="Times New Roman" w:hAnsi="Times New Roman" w:cs="Times New Roman"/>
          <w:sz w:val="24"/>
          <w:szCs w:val="24"/>
        </w:rPr>
        <w:t xml:space="preserve">inal (dividida en consumo privado y público), </w:t>
      </w:r>
      <w:r w:rsidR="00877477" w:rsidRPr="00B6434C">
        <w:rPr>
          <w:rFonts w:ascii="Times New Roman" w:hAnsi="Times New Roman" w:cs="Times New Roman"/>
          <w:sz w:val="24"/>
          <w:szCs w:val="24"/>
        </w:rPr>
        <w:t>f</w:t>
      </w:r>
      <w:r w:rsidR="003B1BB4" w:rsidRPr="00B6434C">
        <w:rPr>
          <w:rFonts w:ascii="Times New Roman" w:hAnsi="Times New Roman" w:cs="Times New Roman"/>
          <w:sz w:val="24"/>
          <w:szCs w:val="24"/>
        </w:rPr>
        <w:t xml:space="preserve">ormación </w:t>
      </w:r>
      <w:r w:rsidR="00877477" w:rsidRPr="00B6434C">
        <w:rPr>
          <w:rFonts w:ascii="Times New Roman" w:hAnsi="Times New Roman" w:cs="Times New Roman"/>
          <w:sz w:val="24"/>
          <w:szCs w:val="24"/>
        </w:rPr>
        <w:t>b</w:t>
      </w:r>
      <w:r w:rsidR="003B1BB4" w:rsidRPr="00B6434C">
        <w:rPr>
          <w:rFonts w:ascii="Times New Roman" w:hAnsi="Times New Roman" w:cs="Times New Roman"/>
          <w:sz w:val="24"/>
          <w:szCs w:val="24"/>
        </w:rPr>
        <w:t xml:space="preserve">ruta de </w:t>
      </w:r>
      <w:r w:rsidR="00877477" w:rsidRPr="00B6434C">
        <w:rPr>
          <w:rFonts w:ascii="Times New Roman" w:hAnsi="Times New Roman" w:cs="Times New Roman"/>
          <w:sz w:val="24"/>
          <w:szCs w:val="24"/>
        </w:rPr>
        <w:t>c</w:t>
      </w:r>
      <w:r w:rsidR="003B1BB4" w:rsidRPr="00B6434C">
        <w:rPr>
          <w:rFonts w:ascii="Times New Roman" w:hAnsi="Times New Roman" w:cs="Times New Roman"/>
          <w:sz w:val="24"/>
          <w:szCs w:val="24"/>
        </w:rPr>
        <w:t xml:space="preserve">apital (dividido en privado y público y estos a su vez en </w:t>
      </w:r>
      <w:r w:rsidR="00877477" w:rsidRPr="00B6434C">
        <w:rPr>
          <w:rFonts w:ascii="Times New Roman" w:hAnsi="Times New Roman" w:cs="Times New Roman"/>
          <w:sz w:val="24"/>
          <w:szCs w:val="24"/>
        </w:rPr>
        <w:t>c</w:t>
      </w:r>
      <w:r w:rsidR="003B1BB4" w:rsidRPr="00B6434C">
        <w:rPr>
          <w:rFonts w:ascii="Times New Roman" w:hAnsi="Times New Roman" w:cs="Times New Roman"/>
          <w:sz w:val="24"/>
          <w:szCs w:val="24"/>
        </w:rPr>
        <w:t xml:space="preserve">onstrucciones y </w:t>
      </w:r>
      <w:r w:rsidR="00877477" w:rsidRPr="00B6434C">
        <w:rPr>
          <w:rFonts w:ascii="Times New Roman" w:hAnsi="Times New Roman" w:cs="Times New Roman"/>
          <w:sz w:val="24"/>
          <w:szCs w:val="24"/>
        </w:rPr>
        <w:t>m</w:t>
      </w:r>
      <w:r w:rsidR="003B1BB4" w:rsidRPr="00B6434C">
        <w:rPr>
          <w:rFonts w:ascii="Times New Roman" w:hAnsi="Times New Roman" w:cs="Times New Roman"/>
          <w:sz w:val="24"/>
          <w:szCs w:val="24"/>
        </w:rPr>
        <w:t xml:space="preserve">aquinaria y </w:t>
      </w:r>
      <w:r w:rsidR="00877477" w:rsidRPr="00B6434C">
        <w:rPr>
          <w:rFonts w:ascii="Times New Roman" w:hAnsi="Times New Roman" w:cs="Times New Roman"/>
          <w:sz w:val="24"/>
          <w:szCs w:val="24"/>
        </w:rPr>
        <w:t>e</w:t>
      </w:r>
      <w:r w:rsidR="003B1BB4" w:rsidRPr="00B6434C">
        <w:rPr>
          <w:rFonts w:ascii="Times New Roman" w:hAnsi="Times New Roman" w:cs="Times New Roman"/>
          <w:sz w:val="24"/>
          <w:szCs w:val="24"/>
        </w:rPr>
        <w:t xml:space="preserve">quipo) y </w:t>
      </w:r>
      <w:r w:rsidR="00877477" w:rsidRPr="00B6434C">
        <w:rPr>
          <w:rFonts w:ascii="Times New Roman" w:hAnsi="Times New Roman" w:cs="Times New Roman"/>
          <w:sz w:val="24"/>
          <w:szCs w:val="24"/>
        </w:rPr>
        <w:t>v</w:t>
      </w:r>
      <w:r w:rsidR="003B1BB4" w:rsidRPr="00B6434C">
        <w:rPr>
          <w:rFonts w:ascii="Times New Roman" w:hAnsi="Times New Roman" w:cs="Times New Roman"/>
          <w:sz w:val="24"/>
          <w:szCs w:val="24"/>
        </w:rPr>
        <w:t xml:space="preserve">ariación de </w:t>
      </w:r>
      <w:r w:rsidR="00877477" w:rsidRPr="00B6434C">
        <w:rPr>
          <w:rFonts w:ascii="Times New Roman" w:hAnsi="Times New Roman" w:cs="Times New Roman"/>
          <w:sz w:val="24"/>
          <w:szCs w:val="24"/>
        </w:rPr>
        <w:t>i</w:t>
      </w:r>
      <w:r w:rsidR="003B1BB4" w:rsidRPr="00B6434C">
        <w:rPr>
          <w:rFonts w:ascii="Times New Roman" w:hAnsi="Times New Roman" w:cs="Times New Roman"/>
          <w:sz w:val="24"/>
          <w:szCs w:val="24"/>
        </w:rPr>
        <w:t xml:space="preserve">nventarios, </w:t>
      </w:r>
      <w:r w:rsidR="00877477" w:rsidRPr="00B6434C">
        <w:rPr>
          <w:rFonts w:ascii="Times New Roman" w:hAnsi="Times New Roman" w:cs="Times New Roman"/>
          <w:sz w:val="24"/>
          <w:szCs w:val="24"/>
        </w:rPr>
        <w:t>e</w:t>
      </w:r>
      <w:r w:rsidR="003B1BB4" w:rsidRPr="00B6434C">
        <w:rPr>
          <w:rFonts w:ascii="Times New Roman" w:hAnsi="Times New Roman" w:cs="Times New Roman"/>
          <w:sz w:val="24"/>
          <w:szCs w:val="24"/>
        </w:rPr>
        <w:t xml:space="preserve">xportaciones e </w:t>
      </w:r>
      <w:r w:rsidR="00877477" w:rsidRPr="00B6434C">
        <w:rPr>
          <w:rFonts w:ascii="Times New Roman" w:hAnsi="Times New Roman" w:cs="Times New Roman"/>
          <w:sz w:val="24"/>
          <w:szCs w:val="24"/>
        </w:rPr>
        <w:t>i</w:t>
      </w:r>
      <w:r w:rsidR="003B1BB4" w:rsidRPr="00B6434C">
        <w:rPr>
          <w:rFonts w:ascii="Times New Roman" w:hAnsi="Times New Roman" w:cs="Times New Roman"/>
          <w:sz w:val="24"/>
          <w:szCs w:val="24"/>
        </w:rPr>
        <w:t xml:space="preserve">mportaciones (la diferencia entre las últimas producen las </w:t>
      </w:r>
      <w:r w:rsidR="00877477" w:rsidRPr="00B6434C">
        <w:rPr>
          <w:rFonts w:ascii="Times New Roman" w:hAnsi="Times New Roman" w:cs="Times New Roman"/>
          <w:sz w:val="24"/>
          <w:szCs w:val="24"/>
        </w:rPr>
        <w:t>e</w:t>
      </w:r>
      <w:r w:rsidR="003B1BB4" w:rsidRPr="00B6434C">
        <w:rPr>
          <w:rFonts w:ascii="Times New Roman" w:hAnsi="Times New Roman" w:cs="Times New Roman"/>
          <w:sz w:val="24"/>
          <w:szCs w:val="24"/>
        </w:rPr>
        <w:t xml:space="preserve">xportaciones </w:t>
      </w:r>
      <w:r w:rsidR="00877477" w:rsidRPr="00B6434C">
        <w:rPr>
          <w:rFonts w:ascii="Times New Roman" w:hAnsi="Times New Roman" w:cs="Times New Roman"/>
          <w:sz w:val="24"/>
          <w:szCs w:val="24"/>
        </w:rPr>
        <w:t>n</w:t>
      </w:r>
      <w:r w:rsidR="003B1BB4" w:rsidRPr="00B6434C">
        <w:rPr>
          <w:rFonts w:ascii="Times New Roman" w:hAnsi="Times New Roman" w:cs="Times New Roman"/>
          <w:sz w:val="24"/>
          <w:szCs w:val="24"/>
        </w:rPr>
        <w:t xml:space="preserve">etas de </w:t>
      </w:r>
      <w:r w:rsidR="00877477" w:rsidRPr="00B6434C">
        <w:rPr>
          <w:rFonts w:ascii="Times New Roman" w:hAnsi="Times New Roman" w:cs="Times New Roman"/>
          <w:sz w:val="24"/>
          <w:szCs w:val="24"/>
        </w:rPr>
        <w:t>b</w:t>
      </w:r>
      <w:r w:rsidR="003B1BB4" w:rsidRPr="00B6434C">
        <w:rPr>
          <w:rFonts w:ascii="Times New Roman" w:hAnsi="Times New Roman" w:cs="Times New Roman"/>
          <w:sz w:val="24"/>
          <w:szCs w:val="24"/>
        </w:rPr>
        <w:t xml:space="preserve">ienes y </w:t>
      </w:r>
      <w:r w:rsidR="00877477" w:rsidRPr="00B6434C">
        <w:rPr>
          <w:rFonts w:ascii="Times New Roman" w:hAnsi="Times New Roman" w:cs="Times New Roman"/>
          <w:sz w:val="24"/>
          <w:szCs w:val="24"/>
        </w:rPr>
        <w:t>s</w:t>
      </w:r>
      <w:r w:rsidR="003B1BB4" w:rsidRPr="00B6434C">
        <w:rPr>
          <w:rFonts w:ascii="Times New Roman" w:hAnsi="Times New Roman" w:cs="Times New Roman"/>
          <w:sz w:val="24"/>
          <w:szCs w:val="24"/>
        </w:rPr>
        <w:t xml:space="preserve">ervicios). </w:t>
      </w:r>
      <w:r w:rsidRPr="00B6434C">
        <w:rPr>
          <w:rFonts w:ascii="Times New Roman" w:hAnsi="Times New Roman" w:cs="Times New Roman"/>
          <w:sz w:val="24"/>
          <w:szCs w:val="24"/>
        </w:rPr>
        <w:t xml:space="preserve"> Esta misma hoja incorpora insumos de otros sectores para fines de proyección. </w:t>
      </w:r>
      <w:r w:rsidR="00320023" w:rsidRPr="00B6434C">
        <w:rPr>
          <w:rFonts w:ascii="Times New Roman" w:hAnsi="Times New Roman" w:cs="Times New Roman"/>
          <w:sz w:val="24"/>
          <w:szCs w:val="24"/>
        </w:rPr>
        <w:t xml:space="preserve">Del Sector Fiscal (Gobierno Central) se incluye el </w:t>
      </w:r>
      <w:r w:rsidR="00877477" w:rsidRPr="00B6434C">
        <w:rPr>
          <w:rFonts w:ascii="Times New Roman" w:hAnsi="Times New Roman" w:cs="Times New Roman"/>
          <w:sz w:val="24"/>
          <w:szCs w:val="24"/>
        </w:rPr>
        <w:t>c</w:t>
      </w:r>
      <w:r w:rsidR="00320023" w:rsidRPr="00B6434C">
        <w:rPr>
          <w:rFonts w:ascii="Times New Roman" w:hAnsi="Times New Roman" w:cs="Times New Roman"/>
          <w:sz w:val="24"/>
          <w:szCs w:val="24"/>
        </w:rPr>
        <w:t xml:space="preserve">onsumo </w:t>
      </w:r>
      <w:r w:rsidR="00877477" w:rsidRPr="00B6434C">
        <w:rPr>
          <w:rFonts w:ascii="Times New Roman" w:hAnsi="Times New Roman" w:cs="Times New Roman"/>
          <w:sz w:val="24"/>
          <w:szCs w:val="24"/>
        </w:rPr>
        <w:t>p</w:t>
      </w:r>
      <w:r w:rsidR="00320023" w:rsidRPr="00B6434C">
        <w:rPr>
          <w:rFonts w:ascii="Times New Roman" w:hAnsi="Times New Roman" w:cs="Times New Roman"/>
          <w:sz w:val="24"/>
          <w:szCs w:val="24"/>
        </w:rPr>
        <w:t xml:space="preserve">úblico (salarios + bienes y servicios), % variación y % PIB, discrepancia con cuentas nacionales e </w:t>
      </w:r>
      <w:r w:rsidR="00877477" w:rsidRPr="00B6434C">
        <w:rPr>
          <w:rFonts w:ascii="Times New Roman" w:hAnsi="Times New Roman" w:cs="Times New Roman"/>
          <w:sz w:val="24"/>
          <w:szCs w:val="24"/>
        </w:rPr>
        <w:t>i</w:t>
      </w:r>
      <w:r w:rsidR="00320023" w:rsidRPr="00B6434C">
        <w:rPr>
          <w:rFonts w:ascii="Times New Roman" w:hAnsi="Times New Roman" w:cs="Times New Roman"/>
          <w:sz w:val="24"/>
          <w:szCs w:val="24"/>
        </w:rPr>
        <w:t xml:space="preserve">nversión </w:t>
      </w:r>
      <w:r w:rsidR="00877477" w:rsidRPr="00B6434C">
        <w:rPr>
          <w:rFonts w:ascii="Times New Roman" w:hAnsi="Times New Roman" w:cs="Times New Roman"/>
          <w:sz w:val="24"/>
          <w:szCs w:val="24"/>
        </w:rPr>
        <w:t>p</w:t>
      </w:r>
      <w:r w:rsidR="00320023" w:rsidRPr="00B6434C">
        <w:rPr>
          <w:rFonts w:ascii="Times New Roman" w:hAnsi="Times New Roman" w:cs="Times New Roman"/>
          <w:sz w:val="24"/>
          <w:szCs w:val="24"/>
        </w:rPr>
        <w:t xml:space="preserve">ública, % variación, % PIB, discrepancia con </w:t>
      </w:r>
      <w:r w:rsidR="00877477" w:rsidRPr="00B6434C">
        <w:rPr>
          <w:rFonts w:ascii="Times New Roman" w:hAnsi="Times New Roman" w:cs="Times New Roman"/>
          <w:sz w:val="24"/>
          <w:szCs w:val="24"/>
        </w:rPr>
        <w:t>f</w:t>
      </w:r>
      <w:r w:rsidR="00320023" w:rsidRPr="00B6434C">
        <w:rPr>
          <w:rFonts w:ascii="Times New Roman" w:hAnsi="Times New Roman" w:cs="Times New Roman"/>
          <w:sz w:val="24"/>
          <w:szCs w:val="24"/>
        </w:rPr>
        <w:t xml:space="preserve">inanzas </w:t>
      </w:r>
      <w:r w:rsidR="00877477" w:rsidRPr="00B6434C">
        <w:rPr>
          <w:rFonts w:ascii="Times New Roman" w:hAnsi="Times New Roman" w:cs="Times New Roman"/>
          <w:sz w:val="24"/>
          <w:szCs w:val="24"/>
        </w:rPr>
        <w:t>p</w:t>
      </w:r>
      <w:r w:rsidR="00320023" w:rsidRPr="00B6434C">
        <w:rPr>
          <w:rFonts w:ascii="Times New Roman" w:hAnsi="Times New Roman" w:cs="Times New Roman"/>
          <w:sz w:val="24"/>
          <w:szCs w:val="24"/>
        </w:rPr>
        <w:t xml:space="preserve">úblicas y </w:t>
      </w:r>
      <w:r w:rsidR="00877477" w:rsidRPr="00B6434C">
        <w:rPr>
          <w:rFonts w:ascii="Times New Roman" w:hAnsi="Times New Roman" w:cs="Times New Roman"/>
          <w:sz w:val="24"/>
          <w:szCs w:val="24"/>
        </w:rPr>
        <w:t>c</w:t>
      </w:r>
      <w:r w:rsidR="00320023" w:rsidRPr="00B6434C">
        <w:rPr>
          <w:rFonts w:ascii="Times New Roman" w:hAnsi="Times New Roman" w:cs="Times New Roman"/>
          <w:sz w:val="24"/>
          <w:szCs w:val="24"/>
        </w:rPr>
        <w:t xml:space="preserve">uentas </w:t>
      </w:r>
      <w:r w:rsidR="00877477" w:rsidRPr="00B6434C">
        <w:rPr>
          <w:rFonts w:ascii="Times New Roman" w:hAnsi="Times New Roman" w:cs="Times New Roman"/>
          <w:sz w:val="24"/>
          <w:szCs w:val="24"/>
        </w:rPr>
        <w:t>n</w:t>
      </w:r>
      <w:r w:rsidR="00320023" w:rsidRPr="00B6434C">
        <w:rPr>
          <w:rFonts w:ascii="Times New Roman" w:hAnsi="Times New Roman" w:cs="Times New Roman"/>
          <w:sz w:val="24"/>
          <w:szCs w:val="24"/>
        </w:rPr>
        <w:t xml:space="preserve">acionales. Del Sector Externo, las </w:t>
      </w:r>
      <w:r w:rsidR="00877477" w:rsidRPr="00B6434C">
        <w:rPr>
          <w:rFonts w:ascii="Times New Roman" w:hAnsi="Times New Roman" w:cs="Times New Roman"/>
          <w:sz w:val="24"/>
          <w:szCs w:val="24"/>
        </w:rPr>
        <w:t>e</w:t>
      </w:r>
      <w:r w:rsidR="00320023" w:rsidRPr="00B6434C">
        <w:rPr>
          <w:rFonts w:ascii="Times New Roman" w:hAnsi="Times New Roman" w:cs="Times New Roman"/>
          <w:sz w:val="24"/>
          <w:szCs w:val="24"/>
        </w:rPr>
        <w:t xml:space="preserve">xportaciones de bienes y servicios, % variación, % PIB, discrepancia </w:t>
      </w:r>
      <w:r w:rsidR="00877477" w:rsidRPr="00B6434C">
        <w:rPr>
          <w:rFonts w:ascii="Times New Roman" w:hAnsi="Times New Roman" w:cs="Times New Roman"/>
          <w:sz w:val="24"/>
          <w:szCs w:val="24"/>
        </w:rPr>
        <w:t>c</w:t>
      </w:r>
      <w:r w:rsidR="00320023" w:rsidRPr="00B6434C">
        <w:rPr>
          <w:rFonts w:ascii="Times New Roman" w:hAnsi="Times New Roman" w:cs="Times New Roman"/>
          <w:sz w:val="24"/>
          <w:szCs w:val="24"/>
        </w:rPr>
        <w:t xml:space="preserve">uentas </w:t>
      </w:r>
      <w:r w:rsidR="00877477" w:rsidRPr="00B6434C">
        <w:rPr>
          <w:rFonts w:ascii="Times New Roman" w:hAnsi="Times New Roman" w:cs="Times New Roman"/>
          <w:sz w:val="24"/>
          <w:szCs w:val="24"/>
        </w:rPr>
        <w:t>n</w:t>
      </w:r>
      <w:r w:rsidR="00320023" w:rsidRPr="00B6434C">
        <w:rPr>
          <w:rFonts w:ascii="Times New Roman" w:hAnsi="Times New Roman" w:cs="Times New Roman"/>
          <w:sz w:val="24"/>
          <w:szCs w:val="24"/>
        </w:rPr>
        <w:t>acionales</w:t>
      </w:r>
      <w:r w:rsidR="007C6702" w:rsidRPr="00B6434C">
        <w:rPr>
          <w:rFonts w:ascii="Times New Roman" w:hAnsi="Times New Roman" w:cs="Times New Roman"/>
          <w:sz w:val="24"/>
          <w:szCs w:val="24"/>
        </w:rPr>
        <w:t xml:space="preserve"> y las </w:t>
      </w:r>
      <w:r w:rsidR="00877477" w:rsidRPr="00B6434C">
        <w:rPr>
          <w:rFonts w:ascii="Times New Roman" w:hAnsi="Times New Roman" w:cs="Times New Roman"/>
          <w:sz w:val="24"/>
          <w:szCs w:val="24"/>
        </w:rPr>
        <w:t>i</w:t>
      </w:r>
      <w:r w:rsidR="007C6702" w:rsidRPr="00B6434C">
        <w:rPr>
          <w:rFonts w:ascii="Times New Roman" w:hAnsi="Times New Roman" w:cs="Times New Roman"/>
          <w:sz w:val="24"/>
          <w:szCs w:val="24"/>
        </w:rPr>
        <w:t xml:space="preserve">mportaciones de bienes y servicios, % variación, % PIB, discrepancia </w:t>
      </w:r>
      <w:r w:rsidR="00877477" w:rsidRPr="00B6434C">
        <w:rPr>
          <w:rFonts w:ascii="Times New Roman" w:hAnsi="Times New Roman" w:cs="Times New Roman"/>
          <w:sz w:val="24"/>
          <w:szCs w:val="24"/>
        </w:rPr>
        <w:t>c</w:t>
      </w:r>
      <w:r w:rsidR="007C6702" w:rsidRPr="00B6434C">
        <w:rPr>
          <w:rFonts w:ascii="Times New Roman" w:hAnsi="Times New Roman" w:cs="Times New Roman"/>
          <w:sz w:val="24"/>
          <w:szCs w:val="24"/>
        </w:rPr>
        <w:t xml:space="preserve">uentas </w:t>
      </w:r>
      <w:r w:rsidR="00877477" w:rsidRPr="00B6434C">
        <w:rPr>
          <w:rFonts w:ascii="Times New Roman" w:hAnsi="Times New Roman" w:cs="Times New Roman"/>
          <w:sz w:val="24"/>
          <w:szCs w:val="24"/>
        </w:rPr>
        <w:t>n</w:t>
      </w:r>
      <w:r w:rsidR="007C6702" w:rsidRPr="00B6434C">
        <w:rPr>
          <w:rFonts w:ascii="Times New Roman" w:hAnsi="Times New Roman" w:cs="Times New Roman"/>
          <w:sz w:val="24"/>
          <w:szCs w:val="24"/>
        </w:rPr>
        <w:t xml:space="preserve">acionales. Además incluye la tasa de cambio (RD/US$) promedio y a </w:t>
      </w:r>
      <w:r w:rsidR="00877477" w:rsidRPr="00B6434C">
        <w:rPr>
          <w:rFonts w:ascii="Times New Roman" w:hAnsi="Times New Roman" w:cs="Times New Roman"/>
          <w:sz w:val="24"/>
          <w:szCs w:val="24"/>
        </w:rPr>
        <w:t xml:space="preserve">diciembre </w:t>
      </w:r>
      <w:r w:rsidR="007C6702" w:rsidRPr="00B6434C">
        <w:rPr>
          <w:rFonts w:ascii="Times New Roman" w:hAnsi="Times New Roman" w:cs="Times New Roman"/>
          <w:sz w:val="24"/>
          <w:szCs w:val="24"/>
        </w:rPr>
        <w:t>con sus respectivas variaciones. La hoja 7) presenta la variación anual del PIB por el lado del gasto bajo la misma estructura de la hoja 6) obteniendo la tasa de variación. La hoja 8) muestra la misma estructura del PIB por</w:t>
      </w:r>
      <w:r w:rsidR="00AF3F04" w:rsidRPr="00B6434C">
        <w:rPr>
          <w:rFonts w:ascii="Times New Roman" w:hAnsi="Times New Roman" w:cs="Times New Roman"/>
          <w:sz w:val="24"/>
          <w:szCs w:val="24"/>
        </w:rPr>
        <w:t xml:space="preserve"> gasto </w:t>
      </w:r>
      <w:r w:rsidR="00AF3F04" w:rsidRPr="00B6434C">
        <w:rPr>
          <w:rFonts w:ascii="Times New Roman" w:hAnsi="Times New Roman" w:cs="Times New Roman"/>
          <w:sz w:val="24"/>
          <w:szCs w:val="24"/>
        </w:rPr>
        <w:lastRenderedPageBreak/>
        <w:t>como porcentaje del producto. Las hojas 7) y 8) se obtienen a partir de la 6). La fuente de estas hojas es el Banco Central de la República</w:t>
      </w:r>
      <w:r w:rsidR="0021570E" w:rsidRPr="00B6434C">
        <w:rPr>
          <w:rFonts w:ascii="Times New Roman" w:hAnsi="Times New Roman" w:cs="Times New Roman"/>
          <w:sz w:val="24"/>
          <w:szCs w:val="24"/>
        </w:rPr>
        <w:t xml:space="preserve"> Dominicana (BCRD)</w:t>
      </w:r>
      <w:r w:rsidR="00AF3F04" w:rsidRPr="00B6434C">
        <w:rPr>
          <w:rFonts w:ascii="Times New Roman" w:hAnsi="Times New Roman" w:cs="Times New Roman"/>
          <w:sz w:val="24"/>
          <w:szCs w:val="24"/>
        </w:rPr>
        <w:t>.</w:t>
      </w:r>
      <w:r w:rsidR="00AF3F04">
        <w:rPr>
          <w:rFonts w:ascii="Arial" w:hAnsi="Arial" w:cs="Arial"/>
        </w:rPr>
        <w:t xml:space="preserve"> </w:t>
      </w:r>
      <w:r w:rsidR="007C6702">
        <w:rPr>
          <w:rFonts w:ascii="Arial" w:hAnsi="Arial" w:cs="Arial"/>
        </w:rPr>
        <w:t xml:space="preserve"> </w:t>
      </w:r>
      <w:r w:rsidR="00320023">
        <w:rPr>
          <w:rFonts w:ascii="Arial" w:hAnsi="Arial" w:cs="Arial"/>
        </w:rPr>
        <w:t xml:space="preserve">  </w:t>
      </w:r>
    </w:p>
    <w:p w:rsidR="00B6434C" w:rsidRDefault="00B6434C" w:rsidP="00B6434C">
      <w:pPr>
        <w:spacing w:after="120"/>
        <w:ind w:firstLine="360"/>
        <w:contextualSpacing/>
        <w:jc w:val="both"/>
        <w:rPr>
          <w:rFonts w:ascii="Arial" w:hAnsi="Arial" w:cs="Arial"/>
        </w:rPr>
      </w:pPr>
    </w:p>
    <w:p w:rsidR="00B6434C" w:rsidRDefault="0026327D" w:rsidP="00B6434C">
      <w:pPr>
        <w:spacing w:after="120"/>
        <w:ind w:firstLine="360"/>
        <w:contextualSpacing/>
        <w:jc w:val="both"/>
        <w:rPr>
          <w:rFonts w:ascii="Times New Roman" w:hAnsi="Times New Roman" w:cs="Times New Roman"/>
          <w:sz w:val="24"/>
          <w:szCs w:val="24"/>
        </w:rPr>
      </w:pPr>
      <w:r w:rsidRPr="00B6434C">
        <w:rPr>
          <w:rFonts w:ascii="Times New Roman" w:hAnsi="Times New Roman" w:cs="Times New Roman"/>
          <w:sz w:val="24"/>
          <w:szCs w:val="24"/>
        </w:rPr>
        <w:t>La hoja 9)</w:t>
      </w:r>
      <w:r w:rsidR="0021570E" w:rsidRPr="00B6434C">
        <w:rPr>
          <w:rFonts w:ascii="Times New Roman" w:hAnsi="Times New Roman" w:cs="Times New Roman"/>
          <w:sz w:val="24"/>
          <w:szCs w:val="24"/>
        </w:rPr>
        <w:t xml:space="preserve"> muestra el PIB por el lado del gasto a precios constantes 2007, esta tiene la misma estructura que las hojas anteriores del PIB a precios corrientes. El BCRD efectuó una revisión metodológica de las </w:t>
      </w:r>
      <w:r w:rsidR="00877477" w:rsidRPr="00B6434C">
        <w:rPr>
          <w:rFonts w:ascii="Times New Roman" w:hAnsi="Times New Roman" w:cs="Times New Roman"/>
          <w:sz w:val="24"/>
          <w:szCs w:val="24"/>
        </w:rPr>
        <w:t>c</w:t>
      </w:r>
      <w:r w:rsidR="0021570E" w:rsidRPr="00B6434C">
        <w:rPr>
          <w:rFonts w:ascii="Times New Roman" w:hAnsi="Times New Roman" w:cs="Times New Roman"/>
          <w:sz w:val="24"/>
          <w:szCs w:val="24"/>
        </w:rPr>
        <w:t xml:space="preserve">uentas </w:t>
      </w:r>
      <w:r w:rsidR="00877477" w:rsidRPr="00B6434C">
        <w:rPr>
          <w:rFonts w:ascii="Times New Roman" w:hAnsi="Times New Roman" w:cs="Times New Roman"/>
          <w:sz w:val="24"/>
          <w:szCs w:val="24"/>
        </w:rPr>
        <w:t>n</w:t>
      </w:r>
      <w:r w:rsidR="0021570E" w:rsidRPr="00B6434C">
        <w:rPr>
          <w:rFonts w:ascii="Times New Roman" w:hAnsi="Times New Roman" w:cs="Times New Roman"/>
          <w:sz w:val="24"/>
          <w:szCs w:val="24"/>
        </w:rPr>
        <w:t xml:space="preserve">acionales y cambio de año de referencia. En ese sentido, la nueva presentación hace un cambio en la presentación del producto y sus componentes a precios constantes a través de índices encadenados, de los cuales deben producirse los </w:t>
      </w:r>
      <w:r w:rsidR="00B10A08" w:rsidRPr="00B6434C">
        <w:rPr>
          <w:rFonts w:ascii="Times New Roman" w:hAnsi="Times New Roman" w:cs="Times New Roman"/>
          <w:sz w:val="24"/>
          <w:szCs w:val="24"/>
        </w:rPr>
        <w:t>niveles de cada componente. Esta</w:t>
      </w:r>
      <w:r w:rsidR="0021570E" w:rsidRPr="00B6434C">
        <w:rPr>
          <w:rFonts w:ascii="Times New Roman" w:hAnsi="Times New Roman" w:cs="Times New Roman"/>
          <w:sz w:val="24"/>
          <w:szCs w:val="24"/>
        </w:rPr>
        <w:t xml:space="preserve"> hoja 9) </w:t>
      </w:r>
      <w:r w:rsidR="00B10A08" w:rsidRPr="00B6434C">
        <w:rPr>
          <w:rFonts w:ascii="Times New Roman" w:hAnsi="Times New Roman" w:cs="Times New Roman"/>
          <w:sz w:val="24"/>
          <w:szCs w:val="24"/>
        </w:rPr>
        <w:t>incluye un cuadro de verificación para fines de consistencia que muestra el cálculo del PIB según Banco Central versus el cálculo realizado por el Ministerio de Hacienda</w:t>
      </w:r>
      <w:r w:rsidR="00D154C4" w:rsidRPr="00B6434C">
        <w:rPr>
          <w:rFonts w:ascii="Times New Roman" w:hAnsi="Times New Roman" w:cs="Times New Roman"/>
          <w:sz w:val="24"/>
          <w:szCs w:val="24"/>
        </w:rPr>
        <w:t xml:space="preserve"> (MH)</w:t>
      </w:r>
      <w:r w:rsidR="00B10A08" w:rsidRPr="00B6434C">
        <w:rPr>
          <w:rFonts w:ascii="Times New Roman" w:hAnsi="Times New Roman" w:cs="Times New Roman"/>
          <w:sz w:val="24"/>
          <w:szCs w:val="24"/>
        </w:rPr>
        <w:t xml:space="preserve">. </w:t>
      </w:r>
    </w:p>
    <w:p w:rsidR="00DA3FC9" w:rsidRPr="00B6434C" w:rsidRDefault="00DA3FC9" w:rsidP="00B6434C">
      <w:pPr>
        <w:spacing w:after="120"/>
        <w:ind w:firstLine="360"/>
        <w:contextualSpacing/>
        <w:jc w:val="both"/>
        <w:rPr>
          <w:rFonts w:ascii="Times New Roman" w:hAnsi="Times New Roman" w:cs="Times New Roman"/>
          <w:sz w:val="24"/>
          <w:szCs w:val="24"/>
        </w:rPr>
      </w:pPr>
    </w:p>
    <w:p w:rsidR="00B72569" w:rsidRDefault="00B945F6" w:rsidP="00B6434C">
      <w:pPr>
        <w:spacing w:after="120"/>
        <w:ind w:firstLine="360"/>
        <w:contextualSpacing/>
        <w:jc w:val="both"/>
        <w:rPr>
          <w:rFonts w:ascii="Times New Roman" w:hAnsi="Times New Roman" w:cs="Times New Roman"/>
          <w:sz w:val="24"/>
          <w:szCs w:val="24"/>
        </w:rPr>
      </w:pPr>
      <w:r w:rsidRPr="00B6434C">
        <w:rPr>
          <w:rFonts w:ascii="Times New Roman" w:hAnsi="Times New Roman" w:cs="Times New Roman"/>
          <w:sz w:val="24"/>
          <w:szCs w:val="24"/>
        </w:rPr>
        <w:t xml:space="preserve">Las hojas 10) y 11) muestran las tasas de variación del PIB por gasto a precios constantes y como porcentaje del PIB respectivamente. Ambas hojas poseen la misma estructura de hojas anteriores y el cálculo se realiza a partir </w:t>
      </w:r>
      <w:r w:rsidR="00D154C4" w:rsidRPr="00B6434C">
        <w:rPr>
          <w:rFonts w:ascii="Times New Roman" w:hAnsi="Times New Roman" w:cs="Times New Roman"/>
          <w:sz w:val="24"/>
          <w:szCs w:val="24"/>
        </w:rPr>
        <w:t>de la tasa de variación anual (hoja 10) y la proporción de cada componente del total del producto (hoja 11). La hoja 12) indica la contribución por componentes del PIB por gasto al crecimiento del producto. Se utiliza la misma estructura anterior y todos los cálculos son realizados por MH a partir de datos publicados por el BCRD. Las hojas 13)  y 14) muestra el cálculo de los deflactores de los componentes del PIB por gasto y las tasas de variación d</w:t>
      </w:r>
      <w:r w:rsidR="00B72569" w:rsidRPr="00B6434C">
        <w:rPr>
          <w:rFonts w:ascii="Times New Roman" w:hAnsi="Times New Roman" w:cs="Times New Roman"/>
          <w:sz w:val="24"/>
          <w:szCs w:val="24"/>
        </w:rPr>
        <w:t xml:space="preserve">e estos deflactores. </w:t>
      </w:r>
    </w:p>
    <w:p w:rsidR="00B6434C" w:rsidRPr="00B6434C" w:rsidRDefault="00B6434C" w:rsidP="00B6434C">
      <w:pPr>
        <w:spacing w:after="120"/>
        <w:ind w:firstLine="360"/>
        <w:contextualSpacing/>
        <w:jc w:val="both"/>
        <w:rPr>
          <w:rFonts w:ascii="Times New Roman" w:hAnsi="Times New Roman" w:cs="Times New Roman"/>
          <w:sz w:val="24"/>
          <w:szCs w:val="24"/>
        </w:rPr>
      </w:pPr>
    </w:p>
    <w:p w:rsidR="00723800" w:rsidRDefault="00B72569" w:rsidP="00B6434C">
      <w:pPr>
        <w:spacing w:after="120"/>
        <w:ind w:firstLine="360"/>
        <w:contextualSpacing/>
        <w:jc w:val="both"/>
        <w:rPr>
          <w:rFonts w:ascii="Arial" w:hAnsi="Arial" w:cs="Arial"/>
        </w:rPr>
      </w:pPr>
      <w:r w:rsidRPr="00B6434C">
        <w:rPr>
          <w:rFonts w:ascii="Times New Roman" w:hAnsi="Times New Roman" w:cs="Times New Roman"/>
          <w:sz w:val="24"/>
          <w:szCs w:val="24"/>
        </w:rPr>
        <w:t>Las hojas comprendidas entre 15-</w:t>
      </w:r>
      <w:r w:rsidR="004A5EAF" w:rsidRPr="00B6434C">
        <w:rPr>
          <w:rFonts w:ascii="Times New Roman" w:hAnsi="Times New Roman" w:cs="Times New Roman"/>
          <w:sz w:val="24"/>
          <w:szCs w:val="24"/>
        </w:rPr>
        <w:t>24</w:t>
      </w:r>
      <w:r w:rsidRPr="00B6434C">
        <w:rPr>
          <w:rFonts w:ascii="Times New Roman" w:hAnsi="Times New Roman" w:cs="Times New Roman"/>
          <w:sz w:val="24"/>
          <w:szCs w:val="24"/>
        </w:rPr>
        <w:t xml:space="preserve"> del Sector Real y Precios describen el PIB por el lado de la producción (sectorial). La 15) muestra el PIB Sectorial a precios corrientes en millones de pesos. La hoja se agrega en tres sectores: primario, secundario y terciario. En adición se incluyen los impuestos a la producción netos de subsidios para finalmente obtener el PIB total. Esta hoja incorpora la nueva presentación sectorial publicada recientemente por el BCRD que actualiza en función de la tercera versión del Manual de Cuentas Nacionales.</w:t>
      </w:r>
      <w:r>
        <w:rPr>
          <w:rFonts w:ascii="Arial" w:hAnsi="Arial" w:cs="Arial"/>
        </w:rPr>
        <w:t xml:space="preserve"> </w:t>
      </w:r>
    </w:p>
    <w:p w:rsidR="00B6434C" w:rsidRDefault="00B6434C" w:rsidP="00B6434C">
      <w:pPr>
        <w:spacing w:after="120"/>
        <w:ind w:firstLine="360"/>
        <w:contextualSpacing/>
        <w:jc w:val="both"/>
        <w:rPr>
          <w:rFonts w:ascii="Arial" w:hAnsi="Arial" w:cs="Arial"/>
        </w:rPr>
      </w:pPr>
    </w:p>
    <w:p w:rsidR="004A5EAF" w:rsidRDefault="00B72569" w:rsidP="00B6434C">
      <w:pPr>
        <w:spacing w:after="120"/>
        <w:ind w:firstLine="360"/>
        <w:contextualSpacing/>
        <w:jc w:val="both"/>
        <w:rPr>
          <w:rFonts w:ascii="Times New Roman" w:hAnsi="Times New Roman" w:cs="Times New Roman"/>
          <w:sz w:val="24"/>
          <w:szCs w:val="24"/>
        </w:rPr>
      </w:pPr>
      <w:r w:rsidRPr="00B6434C">
        <w:rPr>
          <w:rFonts w:ascii="Times New Roman" w:hAnsi="Times New Roman" w:cs="Times New Roman"/>
          <w:sz w:val="24"/>
          <w:szCs w:val="24"/>
        </w:rPr>
        <w:t>La</w:t>
      </w:r>
      <w:r w:rsidR="00046D0A" w:rsidRPr="00B6434C">
        <w:rPr>
          <w:rFonts w:ascii="Times New Roman" w:hAnsi="Times New Roman" w:cs="Times New Roman"/>
          <w:sz w:val="24"/>
          <w:szCs w:val="24"/>
        </w:rPr>
        <w:t>s</w:t>
      </w:r>
      <w:r w:rsidRPr="00B6434C">
        <w:rPr>
          <w:rFonts w:ascii="Times New Roman" w:hAnsi="Times New Roman" w:cs="Times New Roman"/>
          <w:sz w:val="24"/>
          <w:szCs w:val="24"/>
        </w:rPr>
        <w:t xml:space="preserve"> hoja</w:t>
      </w:r>
      <w:r w:rsidR="00046D0A" w:rsidRPr="00B6434C">
        <w:rPr>
          <w:rFonts w:ascii="Times New Roman" w:hAnsi="Times New Roman" w:cs="Times New Roman"/>
          <w:sz w:val="24"/>
          <w:szCs w:val="24"/>
        </w:rPr>
        <w:t>s</w:t>
      </w:r>
      <w:r w:rsidRPr="00B6434C">
        <w:rPr>
          <w:rFonts w:ascii="Times New Roman" w:hAnsi="Times New Roman" w:cs="Times New Roman"/>
          <w:sz w:val="24"/>
          <w:szCs w:val="24"/>
        </w:rPr>
        <w:t xml:space="preserve"> 16)</w:t>
      </w:r>
      <w:r w:rsidR="00046D0A" w:rsidRPr="00B6434C">
        <w:rPr>
          <w:rFonts w:ascii="Times New Roman" w:hAnsi="Times New Roman" w:cs="Times New Roman"/>
          <w:sz w:val="24"/>
          <w:szCs w:val="24"/>
        </w:rPr>
        <w:t xml:space="preserve"> y 17) tienen la misma estructura que la 15) incluyendo las variaciones interanuales por sector y las cuentas como porcentaje del PIB respectivamente. Justo después, se incluye la hoja 18) con el PIB sectorial a precios constantes 2007 y las tasas de variación (hoja 19) y como porcentaje del PIB (hoja 20)</w:t>
      </w:r>
      <w:r w:rsidR="008A7C12" w:rsidRPr="00B6434C">
        <w:rPr>
          <w:rFonts w:ascii="Times New Roman" w:hAnsi="Times New Roman" w:cs="Times New Roman"/>
          <w:sz w:val="24"/>
          <w:szCs w:val="24"/>
        </w:rPr>
        <w:t xml:space="preserve">.  </w:t>
      </w:r>
      <w:r w:rsidR="006444F1" w:rsidRPr="00B6434C">
        <w:rPr>
          <w:rFonts w:ascii="Times New Roman" w:hAnsi="Times New Roman" w:cs="Times New Roman"/>
          <w:sz w:val="24"/>
          <w:szCs w:val="24"/>
        </w:rPr>
        <w:t xml:space="preserve">La hoja </w:t>
      </w:r>
      <w:r w:rsidR="008A7C12" w:rsidRPr="00B6434C">
        <w:rPr>
          <w:rFonts w:ascii="Times New Roman" w:hAnsi="Times New Roman" w:cs="Times New Roman"/>
          <w:sz w:val="24"/>
          <w:szCs w:val="24"/>
        </w:rPr>
        <w:t xml:space="preserve">21) </w:t>
      </w:r>
      <w:r w:rsidR="006444F1" w:rsidRPr="00B6434C">
        <w:rPr>
          <w:rFonts w:ascii="Times New Roman" w:hAnsi="Times New Roman" w:cs="Times New Roman"/>
          <w:sz w:val="24"/>
          <w:szCs w:val="24"/>
        </w:rPr>
        <w:t xml:space="preserve">referencia el PIB Sectorial a precios constantes 2007 bajo la misma estructura. Las hojas 22) y 23) </w:t>
      </w:r>
      <w:r w:rsidR="008A7C12" w:rsidRPr="00B6434C">
        <w:rPr>
          <w:rFonts w:ascii="Times New Roman" w:hAnsi="Times New Roman" w:cs="Times New Roman"/>
          <w:sz w:val="24"/>
          <w:szCs w:val="24"/>
        </w:rPr>
        <w:t>presenta</w:t>
      </w:r>
      <w:r w:rsidR="00B978D5" w:rsidRPr="00B6434C">
        <w:rPr>
          <w:rFonts w:ascii="Times New Roman" w:hAnsi="Times New Roman" w:cs="Times New Roman"/>
          <w:sz w:val="24"/>
          <w:szCs w:val="24"/>
        </w:rPr>
        <w:t xml:space="preserve">n las tasas de variación anual y la proporción como porcentaje </w:t>
      </w:r>
      <w:r w:rsidR="004A5EAF" w:rsidRPr="00B6434C">
        <w:rPr>
          <w:rFonts w:ascii="Times New Roman" w:hAnsi="Times New Roman" w:cs="Times New Roman"/>
          <w:sz w:val="24"/>
          <w:szCs w:val="24"/>
        </w:rPr>
        <w:t>del PIB</w:t>
      </w:r>
      <w:r w:rsidR="00B978D5" w:rsidRPr="00B6434C">
        <w:rPr>
          <w:rFonts w:ascii="Times New Roman" w:hAnsi="Times New Roman" w:cs="Times New Roman"/>
          <w:sz w:val="24"/>
          <w:szCs w:val="24"/>
        </w:rPr>
        <w:t>.</w:t>
      </w:r>
      <w:r w:rsidR="004A5EAF" w:rsidRPr="00B6434C">
        <w:rPr>
          <w:rFonts w:ascii="Times New Roman" w:hAnsi="Times New Roman" w:cs="Times New Roman"/>
          <w:sz w:val="24"/>
          <w:szCs w:val="24"/>
        </w:rPr>
        <w:t xml:space="preserve"> La hoja 24) muestra la contribución por sector al crecimiento del producto. Las hojas 25) y 26) tienen los deflactores de PIB sectorial y las tasas de variación. </w:t>
      </w:r>
    </w:p>
    <w:p w:rsidR="00B6434C" w:rsidRDefault="00B6434C" w:rsidP="00B6434C">
      <w:pPr>
        <w:spacing w:after="120"/>
        <w:ind w:firstLine="360"/>
        <w:contextualSpacing/>
        <w:jc w:val="both"/>
        <w:rPr>
          <w:rFonts w:ascii="Arial" w:hAnsi="Arial" w:cs="Arial"/>
        </w:rPr>
      </w:pPr>
    </w:p>
    <w:p w:rsidR="00723800" w:rsidRDefault="004A5EAF" w:rsidP="00B6434C">
      <w:pPr>
        <w:spacing w:after="120"/>
        <w:ind w:firstLine="360"/>
        <w:contextualSpacing/>
        <w:jc w:val="both"/>
        <w:rPr>
          <w:rFonts w:ascii="Arial" w:hAnsi="Arial" w:cs="Arial"/>
        </w:rPr>
      </w:pPr>
      <w:r w:rsidRPr="00B6434C">
        <w:rPr>
          <w:rFonts w:ascii="Times New Roman" w:hAnsi="Times New Roman" w:cs="Times New Roman"/>
          <w:sz w:val="24"/>
          <w:szCs w:val="24"/>
        </w:rPr>
        <w:t xml:space="preserve">La hoja 27) tiene el </w:t>
      </w:r>
      <w:r w:rsidR="000035EC" w:rsidRPr="00B6434C">
        <w:rPr>
          <w:rFonts w:ascii="Times New Roman" w:hAnsi="Times New Roman" w:cs="Times New Roman"/>
          <w:sz w:val="24"/>
          <w:szCs w:val="24"/>
        </w:rPr>
        <w:t>PIB efectivo y potencial, en niveles y variación. Por un lado, se encuentran las series empalmadas con la nueva metodología de Cuentas Nacionales y cambio de año de referencia</w:t>
      </w:r>
      <w:r w:rsidR="009E25BC" w:rsidRPr="00B6434C">
        <w:rPr>
          <w:rFonts w:ascii="Times New Roman" w:hAnsi="Times New Roman" w:cs="Times New Roman"/>
          <w:sz w:val="24"/>
          <w:szCs w:val="24"/>
        </w:rPr>
        <w:t xml:space="preserve"> (2007). La hoja, además, incluye las series del PIB potencial calculados por Hodrick-Prescott  (HP) y el pronóstico de tendencia a partir de la serie en cuestión. La</w:t>
      </w:r>
      <w:r w:rsidR="00B56DB7" w:rsidRPr="00B6434C">
        <w:rPr>
          <w:rFonts w:ascii="Times New Roman" w:hAnsi="Times New Roman" w:cs="Times New Roman"/>
          <w:sz w:val="24"/>
          <w:szCs w:val="24"/>
        </w:rPr>
        <w:t>s hojas comprendidas entre 2</w:t>
      </w:r>
      <w:r w:rsidR="009E25BC" w:rsidRPr="00B6434C">
        <w:rPr>
          <w:rFonts w:ascii="Times New Roman" w:hAnsi="Times New Roman" w:cs="Times New Roman"/>
          <w:sz w:val="24"/>
          <w:szCs w:val="24"/>
        </w:rPr>
        <w:t>8</w:t>
      </w:r>
      <w:r w:rsidR="00B56DB7" w:rsidRPr="00B6434C">
        <w:rPr>
          <w:rFonts w:ascii="Times New Roman" w:hAnsi="Times New Roman" w:cs="Times New Roman"/>
          <w:sz w:val="24"/>
          <w:szCs w:val="24"/>
        </w:rPr>
        <w:t xml:space="preserve">-31 muestran el PIB por el lado de la producción en frecuencia trimestral. La 28) presenta el PIB Sectorial Trimestral en valores corrientes y la 29) las tasas de variación del PIB Sectorial Trimestral bajo la misma estructura de hojas anteriores por </w:t>
      </w:r>
      <w:r w:rsidR="00B56DB7" w:rsidRPr="00B6434C">
        <w:rPr>
          <w:rFonts w:ascii="Times New Roman" w:hAnsi="Times New Roman" w:cs="Times New Roman"/>
          <w:sz w:val="24"/>
          <w:szCs w:val="24"/>
        </w:rPr>
        <w:lastRenderedPageBreak/>
        <w:t>sector. Las 30) y 31) plasman el PIB Sectorial Trimestral a precios constantes 2007 y sus respectivas tasas de variación del PIB Sectorial Trimestral. Siguiendo la misma estructura, se presentan los deflactores del PIB Sectorial Trimestral</w:t>
      </w:r>
      <w:r w:rsidR="003D064E" w:rsidRPr="00B6434C">
        <w:rPr>
          <w:rFonts w:ascii="Times New Roman" w:hAnsi="Times New Roman" w:cs="Times New Roman"/>
          <w:sz w:val="24"/>
          <w:szCs w:val="24"/>
        </w:rPr>
        <w:t xml:space="preserve"> y sus respectivas tasas de variación en las hojas </w:t>
      </w:r>
      <w:r w:rsidR="00B56DB7" w:rsidRPr="00B6434C">
        <w:rPr>
          <w:rFonts w:ascii="Times New Roman" w:hAnsi="Times New Roman" w:cs="Times New Roman"/>
          <w:sz w:val="24"/>
          <w:szCs w:val="24"/>
        </w:rPr>
        <w:t>32) y 33)</w:t>
      </w:r>
      <w:r w:rsidR="003D064E" w:rsidRPr="00B6434C">
        <w:rPr>
          <w:rFonts w:ascii="Times New Roman" w:hAnsi="Times New Roman" w:cs="Times New Roman"/>
          <w:sz w:val="24"/>
          <w:szCs w:val="24"/>
        </w:rPr>
        <w:t>.</w:t>
      </w:r>
      <w:r w:rsidR="003D064E">
        <w:rPr>
          <w:rFonts w:ascii="Arial" w:hAnsi="Arial" w:cs="Arial"/>
        </w:rPr>
        <w:t xml:space="preserve"> </w:t>
      </w:r>
    </w:p>
    <w:p w:rsidR="00B6434C" w:rsidRDefault="00B6434C" w:rsidP="00B6434C">
      <w:pPr>
        <w:spacing w:after="120"/>
        <w:ind w:firstLine="360"/>
        <w:contextualSpacing/>
        <w:jc w:val="both"/>
        <w:rPr>
          <w:rFonts w:ascii="Arial" w:hAnsi="Arial" w:cs="Arial"/>
        </w:rPr>
      </w:pPr>
    </w:p>
    <w:p w:rsidR="00B22545" w:rsidRPr="00B6434C" w:rsidRDefault="003D064E" w:rsidP="00B6434C">
      <w:pPr>
        <w:spacing w:after="120"/>
        <w:ind w:firstLine="360"/>
        <w:contextualSpacing/>
        <w:jc w:val="both"/>
        <w:rPr>
          <w:rFonts w:ascii="Times New Roman" w:hAnsi="Times New Roman" w:cs="Times New Roman"/>
          <w:sz w:val="24"/>
          <w:szCs w:val="24"/>
        </w:rPr>
      </w:pPr>
      <w:r w:rsidRPr="00B6434C">
        <w:rPr>
          <w:rFonts w:ascii="Times New Roman" w:hAnsi="Times New Roman" w:cs="Times New Roman"/>
          <w:sz w:val="24"/>
          <w:szCs w:val="24"/>
        </w:rPr>
        <w:t>El Índice Mensual de Actividad Económica (IMAE)</w:t>
      </w:r>
      <w:r w:rsidR="00B56DB7" w:rsidRPr="00B6434C">
        <w:rPr>
          <w:rFonts w:ascii="Times New Roman" w:hAnsi="Times New Roman" w:cs="Times New Roman"/>
          <w:sz w:val="24"/>
          <w:szCs w:val="24"/>
        </w:rPr>
        <w:t xml:space="preserve"> </w:t>
      </w:r>
      <w:r w:rsidRPr="00B6434C">
        <w:rPr>
          <w:rFonts w:ascii="Times New Roman" w:hAnsi="Times New Roman" w:cs="Times New Roman"/>
          <w:sz w:val="24"/>
          <w:szCs w:val="24"/>
        </w:rPr>
        <w:t xml:space="preserve">se muestra en la hoja 34) a través de tres series: Serie Básica, Serie Desestacionalizada y Serie Tendencia-Ciclo. La hoja 35) presenta las variaciones de los índices de la hoja anterior de forma mensual, interanual, acumulada y promedio 12 meses. Para la Serie Básica se incluyen tres columnas para fines de verificación, </w:t>
      </w:r>
      <w:r w:rsidR="00877477" w:rsidRPr="00B6434C">
        <w:rPr>
          <w:rFonts w:ascii="Times New Roman" w:hAnsi="Times New Roman" w:cs="Times New Roman"/>
          <w:sz w:val="24"/>
          <w:szCs w:val="24"/>
        </w:rPr>
        <w:t>c</w:t>
      </w:r>
      <w:r w:rsidRPr="00B6434C">
        <w:rPr>
          <w:rFonts w:ascii="Times New Roman" w:hAnsi="Times New Roman" w:cs="Times New Roman"/>
          <w:sz w:val="24"/>
          <w:szCs w:val="24"/>
        </w:rPr>
        <w:t xml:space="preserve">recimiento </w:t>
      </w:r>
      <w:r w:rsidR="00877477" w:rsidRPr="00B6434C">
        <w:rPr>
          <w:rFonts w:ascii="Times New Roman" w:hAnsi="Times New Roman" w:cs="Times New Roman"/>
          <w:sz w:val="24"/>
          <w:szCs w:val="24"/>
        </w:rPr>
        <w:t>a</w:t>
      </w:r>
      <w:r w:rsidRPr="00B6434C">
        <w:rPr>
          <w:rFonts w:ascii="Times New Roman" w:hAnsi="Times New Roman" w:cs="Times New Roman"/>
          <w:sz w:val="24"/>
          <w:szCs w:val="24"/>
        </w:rPr>
        <w:t xml:space="preserve">cumulado </w:t>
      </w:r>
      <w:r w:rsidR="00877477" w:rsidRPr="00B6434C">
        <w:rPr>
          <w:rFonts w:ascii="Times New Roman" w:hAnsi="Times New Roman" w:cs="Times New Roman"/>
          <w:sz w:val="24"/>
          <w:szCs w:val="24"/>
        </w:rPr>
        <w:t>t</w:t>
      </w:r>
      <w:r w:rsidRPr="00B6434C">
        <w:rPr>
          <w:rFonts w:ascii="Times New Roman" w:hAnsi="Times New Roman" w:cs="Times New Roman"/>
          <w:sz w:val="24"/>
          <w:szCs w:val="24"/>
        </w:rPr>
        <w:t xml:space="preserve">rimestral, </w:t>
      </w:r>
      <w:r w:rsidR="00877477" w:rsidRPr="00B6434C">
        <w:rPr>
          <w:rFonts w:ascii="Times New Roman" w:hAnsi="Times New Roman" w:cs="Times New Roman"/>
          <w:sz w:val="24"/>
          <w:szCs w:val="24"/>
        </w:rPr>
        <w:t>v</w:t>
      </w:r>
      <w:r w:rsidRPr="00B6434C">
        <w:rPr>
          <w:rFonts w:ascii="Times New Roman" w:hAnsi="Times New Roman" w:cs="Times New Roman"/>
          <w:sz w:val="24"/>
          <w:szCs w:val="24"/>
        </w:rPr>
        <w:t xml:space="preserve">ariación </w:t>
      </w:r>
      <w:r w:rsidR="00877477" w:rsidRPr="00B6434C">
        <w:rPr>
          <w:rFonts w:ascii="Times New Roman" w:hAnsi="Times New Roman" w:cs="Times New Roman"/>
          <w:sz w:val="24"/>
          <w:szCs w:val="24"/>
        </w:rPr>
        <w:t>i</w:t>
      </w:r>
      <w:r w:rsidRPr="00B6434C">
        <w:rPr>
          <w:rFonts w:ascii="Times New Roman" w:hAnsi="Times New Roman" w:cs="Times New Roman"/>
          <w:sz w:val="24"/>
          <w:szCs w:val="24"/>
        </w:rPr>
        <w:t xml:space="preserve">nteranual y </w:t>
      </w:r>
      <w:r w:rsidR="00877477" w:rsidRPr="00B6434C">
        <w:rPr>
          <w:rFonts w:ascii="Times New Roman" w:hAnsi="Times New Roman" w:cs="Times New Roman"/>
          <w:sz w:val="24"/>
          <w:szCs w:val="24"/>
        </w:rPr>
        <w:t>d</w:t>
      </w:r>
      <w:r w:rsidRPr="00B6434C">
        <w:rPr>
          <w:rFonts w:ascii="Times New Roman" w:hAnsi="Times New Roman" w:cs="Times New Roman"/>
          <w:sz w:val="24"/>
          <w:szCs w:val="24"/>
        </w:rPr>
        <w:t xml:space="preserve">iscrepancia del PIB </w:t>
      </w:r>
      <w:r w:rsidR="00877477" w:rsidRPr="00B6434C">
        <w:rPr>
          <w:rFonts w:ascii="Times New Roman" w:hAnsi="Times New Roman" w:cs="Times New Roman"/>
          <w:sz w:val="24"/>
          <w:szCs w:val="24"/>
        </w:rPr>
        <w:t>a</w:t>
      </w:r>
      <w:r w:rsidRPr="00B6434C">
        <w:rPr>
          <w:rFonts w:ascii="Times New Roman" w:hAnsi="Times New Roman" w:cs="Times New Roman"/>
          <w:sz w:val="24"/>
          <w:szCs w:val="24"/>
        </w:rPr>
        <w:t xml:space="preserve">cumulado </w:t>
      </w:r>
      <w:r w:rsidR="00877477" w:rsidRPr="00B6434C">
        <w:rPr>
          <w:rFonts w:ascii="Times New Roman" w:hAnsi="Times New Roman" w:cs="Times New Roman"/>
          <w:sz w:val="24"/>
          <w:szCs w:val="24"/>
        </w:rPr>
        <w:t>t</w:t>
      </w:r>
      <w:r w:rsidRPr="00B6434C">
        <w:rPr>
          <w:rFonts w:ascii="Times New Roman" w:hAnsi="Times New Roman" w:cs="Times New Roman"/>
          <w:sz w:val="24"/>
          <w:szCs w:val="24"/>
        </w:rPr>
        <w:t xml:space="preserve">rimestral versus </w:t>
      </w:r>
      <w:r w:rsidR="00877477" w:rsidRPr="00B6434C">
        <w:rPr>
          <w:rFonts w:ascii="Times New Roman" w:hAnsi="Times New Roman" w:cs="Times New Roman"/>
          <w:sz w:val="24"/>
          <w:szCs w:val="24"/>
        </w:rPr>
        <w:t>v</w:t>
      </w:r>
      <w:r w:rsidRPr="00B6434C">
        <w:rPr>
          <w:rFonts w:ascii="Times New Roman" w:hAnsi="Times New Roman" w:cs="Times New Roman"/>
          <w:sz w:val="24"/>
          <w:szCs w:val="24"/>
        </w:rPr>
        <w:t>ariación</w:t>
      </w:r>
      <w:r w:rsidR="00877477" w:rsidRPr="00B6434C">
        <w:rPr>
          <w:rFonts w:ascii="Times New Roman" w:hAnsi="Times New Roman" w:cs="Times New Roman"/>
          <w:sz w:val="24"/>
          <w:szCs w:val="24"/>
        </w:rPr>
        <w:t xml:space="preserve"> i</w:t>
      </w:r>
      <w:r w:rsidRPr="00B6434C">
        <w:rPr>
          <w:rFonts w:ascii="Times New Roman" w:hAnsi="Times New Roman" w:cs="Times New Roman"/>
          <w:sz w:val="24"/>
          <w:szCs w:val="24"/>
        </w:rPr>
        <w:t xml:space="preserve">nteranual. </w:t>
      </w:r>
      <w:r w:rsidR="00B22545" w:rsidRPr="00B6434C">
        <w:rPr>
          <w:rFonts w:ascii="Times New Roman" w:hAnsi="Times New Roman" w:cs="Times New Roman"/>
          <w:sz w:val="24"/>
          <w:szCs w:val="24"/>
        </w:rPr>
        <w:t xml:space="preserve">La hoja 36) </w:t>
      </w:r>
      <w:r w:rsidRPr="00B6434C">
        <w:rPr>
          <w:rFonts w:ascii="Times New Roman" w:hAnsi="Times New Roman" w:cs="Times New Roman"/>
          <w:sz w:val="24"/>
          <w:szCs w:val="24"/>
        </w:rPr>
        <w:t xml:space="preserve">presenta el </w:t>
      </w:r>
      <w:r w:rsidR="004E19E1" w:rsidRPr="00B6434C">
        <w:rPr>
          <w:rFonts w:ascii="Times New Roman" w:hAnsi="Times New Roman" w:cs="Times New Roman"/>
          <w:sz w:val="24"/>
          <w:szCs w:val="24"/>
        </w:rPr>
        <w:t xml:space="preserve">Índice de Precios al Consumidor con las variaciones </w:t>
      </w:r>
      <w:r w:rsidR="00877477" w:rsidRPr="00B6434C">
        <w:rPr>
          <w:rFonts w:ascii="Times New Roman" w:hAnsi="Times New Roman" w:cs="Times New Roman"/>
          <w:sz w:val="24"/>
          <w:szCs w:val="24"/>
        </w:rPr>
        <w:t>m</w:t>
      </w:r>
      <w:r w:rsidR="004E19E1" w:rsidRPr="00B6434C">
        <w:rPr>
          <w:rFonts w:ascii="Times New Roman" w:hAnsi="Times New Roman" w:cs="Times New Roman"/>
          <w:sz w:val="24"/>
          <w:szCs w:val="24"/>
        </w:rPr>
        <w:t xml:space="preserve">ensual, </w:t>
      </w:r>
      <w:r w:rsidR="00877477" w:rsidRPr="00B6434C">
        <w:rPr>
          <w:rFonts w:ascii="Times New Roman" w:hAnsi="Times New Roman" w:cs="Times New Roman"/>
          <w:sz w:val="24"/>
          <w:szCs w:val="24"/>
        </w:rPr>
        <w:t>a</w:t>
      </w:r>
      <w:r w:rsidR="004E19E1" w:rsidRPr="00B6434C">
        <w:rPr>
          <w:rFonts w:ascii="Times New Roman" w:hAnsi="Times New Roman" w:cs="Times New Roman"/>
          <w:sz w:val="24"/>
          <w:szCs w:val="24"/>
        </w:rPr>
        <w:t xml:space="preserve">cumulada, </w:t>
      </w:r>
      <w:r w:rsidR="00877477" w:rsidRPr="00B6434C">
        <w:rPr>
          <w:rFonts w:ascii="Times New Roman" w:hAnsi="Times New Roman" w:cs="Times New Roman"/>
          <w:sz w:val="24"/>
          <w:szCs w:val="24"/>
        </w:rPr>
        <w:t>i</w:t>
      </w:r>
      <w:r w:rsidR="004E19E1" w:rsidRPr="00B6434C">
        <w:rPr>
          <w:rFonts w:ascii="Times New Roman" w:hAnsi="Times New Roman" w:cs="Times New Roman"/>
          <w:sz w:val="24"/>
          <w:szCs w:val="24"/>
        </w:rPr>
        <w:t xml:space="preserve">nteranual y </w:t>
      </w:r>
      <w:r w:rsidR="00877477" w:rsidRPr="00B6434C">
        <w:rPr>
          <w:rFonts w:ascii="Times New Roman" w:hAnsi="Times New Roman" w:cs="Times New Roman"/>
          <w:sz w:val="24"/>
          <w:szCs w:val="24"/>
        </w:rPr>
        <w:t>p</w:t>
      </w:r>
      <w:r w:rsidR="004E19E1" w:rsidRPr="00B6434C">
        <w:rPr>
          <w:rFonts w:ascii="Times New Roman" w:hAnsi="Times New Roman" w:cs="Times New Roman"/>
          <w:sz w:val="24"/>
          <w:szCs w:val="24"/>
        </w:rPr>
        <w:t xml:space="preserve">romedio 12 meses, incluyendo la columna de la variación del </w:t>
      </w:r>
      <w:r w:rsidR="00877477" w:rsidRPr="00B6434C">
        <w:rPr>
          <w:rFonts w:ascii="Times New Roman" w:hAnsi="Times New Roman" w:cs="Times New Roman"/>
          <w:sz w:val="24"/>
          <w:szCs w:val="24"/>
        </w:rPr>
        <w:t>d</w:t>
      </w:r>
      <w:r w:rsidR="004E19E1" w:rsidRPr="00B6434C">
        <w:rPr>
          <w:rFonts w:ascii="Times New Roman" w:hAnsi="Times New Roman" w:cs="Times New Roman"/>
          <w:sz w:val="24"/>
          <w:szCs w:val="24"/>
        </w:rPr>
        <w:t>eflactor del PIB. La hoja 3</w:t>
      </w:r>
      <w:r w:rsidR="00B22545" w:rsidRPr="00B6434C">
        <w:rPr>
          <w:rFonts w:ascii="Times New Roman" w:hAnsi="Times New Roman" w:cs="Times New Roman"/>
          <w:sz w:val="24"/>
          <w:szCs w:val="24"/>
        </w:rPr>
        <w:t>7</w:t>
      </w:r>
      <w:r w:rsidR="004E19E1" w:rsidRPr="00B6434C">
        <w:rPr>
          <w:rFonts w:ascii="Times New Roman" w:hAnsi="Times New Roman" w:cs="Times New Roman"/>
          <w:sz w:val="24"/>
          <w:szCs w:val="24"/>
        </w:rPr>
        <w:t>) muestra la Tasa de Cambio mensual RD</w:t>
      </w:r>
      <w:r w:rsidR="00B22545" w:rsidRPr="00B6434C">
        <w:rPr>
          <w:rFonts w:ascii="Times New Roman" w:hAnsi="Times New Roman" w:cs="Times New Roman"/>
          <w:sz w:val="24"/>
          <w:szCs w:val="24"/>
        </w:rPr>
        <w:t xml:space="preserve">/US$ y las variaciones </w:t>
      </w:r>
      <w:r w:rsidR="00877477" w:rsidRPr="00B6434C">
        <w:rPr>
          <w:rFonts w:ascii="Times New Roman" w:hAnsi="Times New Roman" w:cs="Times New Roman"/>
          <w:sz w:val="24"/>
          <w:szCs w:val="24"/>
        </w:rPr>
        <w:t>m</w:t>
      </w:r>
      <w:r w:rsidR="004E19E1" w:rsidRPr="00B6434C">
        <w:rPr>
          <w:rFonts w:ascii="Times New Roman" w:hAnsi="Times New Roman" w:cs="Times New Roman"/>
          <w:sz w:val="24"/>
          <w:szCs w:val="24"/>
        </w:rPr>
        <w:t>ensual</w:t>
      </w:r>
      <w:r w:rsidR="00B22545" w:rsidRPr="00B6434C">
        <w:rPr>
          <w:rFonts w:ascii="Times New Roman" w:hAnsi="Times New Roman" w:cs="Times New Roman"/>
          <w:sz w:val="24"/>
          <w:szCs w:val="24"/>
        </w:rPr>
        <w:t xml:space="preserve">, </w:t>
      </w:r>
      <w:r w:rsidR="00877477" w:rsidRPr="00B6434C">
        <w:rPr>
          <w:rFonts w:ascii="Times New Roman" w:hAnsi="Times New Roman" w:cs="Times New Roman"/>
          <w:sz w:val="24"/>
          <w:szCs w:val="24"/>
        </w:rPr>
        <w:t>i</w:t>
      </w:r>
      <w:r w:rsidR="004E19E1" w:rsidRPr="00B6434C">
        <w:rPr>
          <w:rFonts w:ascii="Times New Roman" w:hAnsi="Times New Roman" w:cs="Times New Roman"/>
          <w:sz w:val="24"/>
          <w:szCs w:val="24"/>
        </w:rPr>
        <w:t xml:space="preserve">nteranual, </w:t>
      </w:r>
      <w:r w:rsidR="00877477" w:rsidRPr="00B6434C">
        <w:rPr>
          <w:rFonts w:ascii="Times New Roman" w:hAnsi="Times New Roman" w:cs="Times New Roman"/>
          <w:sz w:val="24"/>
          <w:szCs w:val="24"/>
        </w:rPr>
        <w:t>a</w:t>
      </w:r>
      <w:r w:rsidR="004E19E1" w:rsidRPr="00B6434C">
        <w:rPr>
          <w:rFonts w:ascii="Times New Roman" w:hAnsi="Times New Roman" w:cs="Times New Roman"/>
          <w:sz w:val="24"/>
          <w:szCs w:val="24"/>
        </w:rPr>
        <w:t xml:space="preserve">cumulada y </w:t>
      </w:r>
      <w:r w:rsidR="00877477" w:rsidRPr="00B6434C">
        <w:rPr>
          <w:rFonts w:ascii="Times New Roman" w:hAnsi="Times New Roman" w:cs="Times New Roman"/>
          <w:sz w:val="24"/>
          <w:szCs w:val="24"/>
        </w:rPr>
        <w:t>p</w:t>
      </w:r>
      <w:r w:rsidR="004E19E1" w:rsidRPr="00B6434C">
        <w:rPr>
          <w:rFonts w:ascii="Times New Roman" w:hAnsi="Times New Roman" w:cs="Times New Roman"/>
          <w:sz w:val="24"/>
          <w:szCs w:val="24"/>
        </w:rPr>
        <w:t>romedio 12 meses. En la misma hoja se presenta el Tipo de Cambio Real Bilateral con Estados Unidos y el Tipo de Cambio Real Multilateral</w:t>
      </w:r>
      <w:r w:rsidR="00B22545" w:rsidRPr="00B6434C">
        <w:rPr>
          <w:rFonts w:ascii="Times New Roman" w:hAnsi="Times New Roman" w:cs="Times New Roman"/>
          <w:sz w:val="24"/>
          <w:szCs w:val="24"/>
        </w:rPr>
        <w:t xml:space="preserve"> con los principales socios comerciales de la República Dominicana. </w:t>
      </w:r>
    </w:p>
    <w:p w:rsidR="005769EB" w:rsidRPr="002312E8" w:rsidRDefault="002742B2" w:rsidP="006E1F36">
      <w:pPr>
        <w:pStyle w:val="Heading2"/>
        <w:rPr>
          <w:rFonts w:ascii="Times New Roman" w:hAnsi="Times New Roman" w:cs="Times New Roman"/>
          <w:sz w:val="26"/>
        </w:rPr>
      </w:pPr>
      <w:bookmarkStart w:id="4" w:name="_Toc398801692"/>
      <w:r w:rsidRPr="002312E8">
        <w:rPr>
          <w:rFonts w:ascii="Times New Roman" w:hAnsi="Times New Roman" w:cs="Times New Roman"/>
          <w:sz w:val="26"/>
        </w:rPr>
        <w:t xml:space="preserve">III.B. </w:t>
      </w:r>
      <w:r w:rsidR="00B22545" w:rsidRPr="002312E8">
        <w:rPr>
          <w:rFonts w:ascii="Times New Roman" w:hAnsi="Times New Roman" w:cs="Times New Roman"/>
          <w:sz w:val="26"/>
        </w:rPr>
        <w:t>Periodo comprendido</w:t>
      </w:r>
      <w:bookmarkEnd w:id="4"/>
      <w:r w:rsidR="00B22545" w:rsidRPr="002312E8">
        <w:rPr>
          <w:rFonts w:ascii="Times New Roman" w:hAnsi="Times New Roman" w:cs="Times New Roman"/>
          <w:sz w:val="26"/>
        </w:rPr>
        <w:t xml:space="preserve"> </w:t>
      </w:r>
    </w:p>
    <w:p w:rsidR="002742B2" w:rsidRPr="002742B2" w:rsidRDefault="002742B2" w:rsidP="002742B2">
      <w:pPr>
        <w:pStyle w:val="NoSpacing"/>
      </w:pPr>
    </w:p>
    <w:p w:rsidR="00001ACE" w:rsidRPr="002742B2" w:rsidRDefault="00001ACE" w:rsidP="002742B2">
      <w:pPr>
        <w:spacing w:after="120"/>
        <w:ind w:firstLine="360"/>
        <w:contextualSpacing/>
        <w:jc w:val="both"/>
        <w:rPr>
          <w:rFonts w:ascii="Times New Roman" w:hAnsi="Times New Roman" w:cs="Times New Roman"/>
          <w:sz w:val="24"/>
          <w:szCs w:val="24"/>
        </w:rPr>
      </w:pPr>
      <w:r w:rsidRPr="002742B2">
        <w:rPr>
          <w:rFonts w:ascii="Times New Roman" w:hAnsi="Times New Roman" w:cs="Times New Roman"/>
          <w:sz w:val="24"/>
          <w:szCs w:val="24"/>
        </w:rPr>
        <w:t>E</w:t>
      </w:r>
      <w:r w:rsidR="00E8266E" w:rsidRPr="002742B2">
        <w:rPr>
          <w:rFonts w:ascii="Times New Roman" w:hAnsi="Times New Roman" w:cs="Times New Roman"/>
          <w:sz w:val="24"/>
          <w:szCs w:val="24"/>
        </w:rPr>
        <w:t>l Sector Real</w:t>
      </w:r>
      <w:r w:rsidR="00F5372C" w:rsidRPr="002742B2">
        <w:rPr>
          <w:rFonts w:ascii="Times New Roman" w:hAnsi="Times New Roman" w:cs="Times New Roman"/>
          <w:sz w:val="24"/>
          <w:szCs w:val="24"/>
        </w:rPr>
        <w:t xml:space="preserve"> y Precios</w:t>
      </w:r>
      <w:r w:rsidR="00E8266E" w:rsidRPr="002742B2">
        <w:rPr>
          <w:rFonts w:ascii="Times New Roman" w:hAnsi="Times New Roman" w:cs="Times New Roman"/>
          <w:sz w:val="24"/>
          <w:szCs w:val="24"/>
        </w:rPr>
        <w:t xml:space="preserve"> cuenta con un periodo comprendido entre </w:t>
      </w:r>
      <w:r w:rsidRPr="002742B2">
        <w:rPr>
          <w:rFonts w:ascii="Times New Roman" w:hAnsi="Times New Roman" w:cs="Times New Roman"/>
          <w:sz w:val="24"/>
          <w:szCs w:val="24"/>
        </w:rPr>
        <w:t xml:space="preserve">2009 </w:t>
      </w:r>
      <w:r w:rsidR="00E8266E" w:rsidRPr="002742B2">
        <w:rPr>
          <w:rFonts w:ascii="Times New Roman" w:hAnsi="Times New Roman" w:cs="Times New Roman"/>
          <w:sz w:val="24"/>
          <w:szCs w:val="24"/>
        </w:rPr>
        <w:t>y</w:t>
      </w:r>
      <w:r w:rsidRPr="002742B2">
        <w:rPr>
          <w:rFonts w:ascii="Times New Roman" w:hAnsi="Times New Roman" w:cs="Times New Roman"/>
          <w:sz w:val="24"/>
          <w:szCs w:val="24"/>
        </w:rPr>
        <w:t xml:space="preserve"> 201</w:t>
      </w:r>
      <w:r w:rsidR="00E8266E" w:rsidRPr="002742B2">
        <w:rPr>
          <w:rFonts w:ascii="Times New Roman" w:hAnsi="Times New Roman" w:cs="Times New Roman"/>
          <w:sz w:val="24"/>
          <w:szCs w:val="24"/>
        </w:rPr>
        <w:t>8. Los primeros 5 años de la serie, 2009-2013</w:t>
      </w:r>
      <w:r w:rsidR="00AD3072" w:rsidRPr="002742B2">
        <w:rPr>
          <w:rFonts w:ascii="Times New Roman" w:hAnsi="Times New Roman" w:cs="Times New Roman"/>
          <w:sz w:val="24"/>
          <w:szCs w:val="24"/>
        </w:rPr>
        <w:t xml:space="preserve"> son históricos. De 2014 a 2018 son proyectados a partir de insumos suministrados por el resto de los Sectores del Marco Macro-Fiscal</w:t>
      </w:r>
      <w:r w:rsidR="001D5EEA" w:rsidRPr="002742B2">
        <w:rPr>
          <w:rFonts w:ascii="Times New Roman" w:hAnsi="Times New Roman" w:cs="Times New Roman"/>
          <w:sz w:val="24"/>
          <w:szCs w:val="24"/>
        </w:rPr>
        <w:t xml:space="preserve"> elaborado por la Unidad de Análisis y Política Fiscal del Ministerio de Hacienda.</w:t>
      </w:r>
    </w:p>
    <w:p w:rsidR="00AD3072" w:rsidRPr="002312E8" w:rsidRDefault="002742B2" w:rsidP="006E1F36">
      <w:pPr>
        <w:pStyle w:val="Heading2"/>
        <w:rPr>
          <w:rFonts w:ascii="Times New Roman" w:hAnsi="Times New Roman" w:cs="Times New Roman"/>
          <w:sz w:val="26"/>
        </w:rPr>
      </w:pPr>
      <w:bookmarkStart w:id="5" w:name="_Toc398801693"/>
      <w:r w:rsidRPr="002312E8">
        <w:rPr>
          <w:rFonts w:ascii="Times New Roman" w:hAnsi="Times New Roman" w:cs="Times New Roman"/>
          <w:sz w:val="26"/>
        </w:rPr>
        <w:t xml:space="preserve">III.C. </w:t>
      </w:r>
      <w:r w:rsidR="00AD3072" w:rsidRPr="002312E8">
        <w:rPr>
          <w:rFonts w:ascii="Times New Roman" w:hAnsi="Times New Roman" w:cs="Times New Roman"/>
          <w:sz w:val="26"/>
        </w:rPr>
        <w:t>Fuentes de datos</w:t>
      </w:r>
      <w:bookmarkEnd w:id="5"/>
      <w:r w:rsidR="00AD3072" w:rsidRPr="002312E8">
        <w:rPr>
          <w:rFonts w:ascii="Times New Roman" w:hAnsi="Times New Roman" w:cs="Times New Roman"/>
          <w:sz w:val="26"/>
        </w:rPr>
        <w:t xml:space="preserve"> </w:t>
      </w:r>
    </w:p>
    <w:p w:rsidR="002742B2" w:rsidRPr="002742B2" w:rsidRDefault="002742B2" w:rsidP="002742B2">
      <w:pPr>
        <w:pStyle w:val="NoSpacing"/>
      </w:pPr>
    </w:p>
    <w:p w:rsidR="00AD3072" w:rsidRPr="002742B2" w:rsidRDefault="00AD3072" w:rsidP="002742B2">
      <w:pPr>
        <w:spacing w:after="120"/>
        <w:ind w:firstLine="360"/>
        <w:contextualSpacing/>
        <w:jc w:val="both"/>
        <w:rPr>
          <w:rFonts w:ascii="Times New Roman" w:hAnsi="Times New Roman" w:cs="Times New Roman"/>
          <w:sz w:val="24"/>
          <w:szCs w:val="24"/>
        </w:rPr>
      </w:pPr>
      <w:r w:rsidRPr="002742B2">
        <w:rPr>
          <w:rFonts w:ascii="Times New Roman" w:hAnsi="Times New Roman" w:cs="Times New Roman"/>
          <w:sz w:val="24"/>
          <w:szCs w:val="24"/>
        </w:rPr>
        <w:t>La fuente de datos del Sector Real</w:t>
      </w:r>
      <w:r w:rsidR="00F5372C" w:rsidRPr="002742B2">
        <w:rPr>
          <w:rFonts w:ascii="Times New Roman" w:hAnsi="Times New Roman" w:cs="Times New Roman"/>
          <w:sz w:val="24"/>
          <w:szCs w:val="24"/>
        </w:rPr>
        <w:t xml:space="preserve"> y Precios</w:t>
      </w:r>
      <w:r w:rsidRPr="002742B2">
        <w:rPr>
          <w:rFonts w:ascii="Times New Roman" w:hAnsi="Times New Roman" w:cs="Times New Roman"/>
          <w:sz w:val="24"/>
          <w:szCs w:val="24"/>
        </w:rPr>
        <w:t xml:space="preserve"> es el Banco Central de la República Dominicana.</w:t>
      </w:r>
    </w:p>
    <w:p w:rsidR="00AD3072" w:rsidRPr="002312E8" w:rsidRDefault="002742B2" w:rsidP="006E1F36">
      <w:pPr>
        <w:pStyle w:val="Heading2"/>
        <w:rPr>
          <w:rFonts w:ascii="Times New Roman" w:hAnsi="Times New Roman" w:cs="Times New Roman"/>
          <w:sz w:val="26"/>
        </w:rPr>
      </w:pPr>
      <w:bookmarkStart w:id="6" w:name="_Toc398801694"/>
      <w:r w:rsidRPr="002312E8">
        <w:rPr>
          <w:rFonts w:ascii="Times New Roman" w:hAnsi="Times New Roman" w:cs="Times New Roman"/>
          <w:sz w:val="26"/>
        </w:rPr>
        <w:t xml:space="preserve">III.D. </w:t>
      </w:r>
      <w:r w:rsidR="001D5EEA" w:rsidRPr="002312E8">
        <w:rPr>
          <w:rFonts w:ascii="Times New Roman" w:hAnsi="Times New Roman" w:cs="Times New Roman"/>
          <w:sz w:val="26"/>
        </w:rPr>
        <w:t>Obtención de datos</w:t>
      </w:r>
      <w:bookmarkEnd w:id="6"/>
      <w:r w:rsidR="001D5EEA" w:rsidRPr="002312E8">
        <w:rPr>
          <w:rFonts w:ascii="Times New Roman" w:hAnsi="Times New Roman" w:cs="Times New Roman"/>
          <w:sz w:val="26"/>
        </w:rPr>
        <w:t xml:space="preserve"> </w:t>
      </w:r>
      <w:r w:rsidR="00AD3072" w:rsidRPr="002312E8">
        <w:rPr>
          <w:rFonts w:ascii="Times New Roman" w:hAnsi="Times New Roman" w:cs="Times New Roman"/>
          <w:sz w:val="26"/>
        </w:rPr>
        <w:t xml:space="preserve"> </w:t>
      </w:r>
    </w:p>
    <w:p w:rsidR="002742B2" w:rsidRPr="002742B2" w:rsidRDefault="002742B2" w:rsidP="002742B2">
      <w:pPr>
        <w:pStyle w:val="NoSpacing"/>
      </w:pPr>
    </w:p>
    <w:p w:rsidR="001D5EEA" w:rsidRPr="002742B2" w:rsidRDefault="001D5EEA" w:rsidP="002742B2">
      <w:pPr>
        <w:spacing w:after="120"/>
        <w:ind w:firstLine="360"/>
        <w:contextualSpacing/>
        <w:jc w:val="both"/>
        <w:rPr>
          <w:rFonts w:ascii="Times New Roman" w:hAnsi="Times New Roman" w:cs="Times New Roman"/>
          <w:sz w:val="24"/>
          <w:szCs w:val="24"/>
        </w:rPr>
      </w:pPr>
      <w:r w:rsidRPr="002742B2">
        <w:rPr>
          <w:rFonts w:ascii="Times New Roman" w:hAnsi="Times New Roman" w:cs="Times New Roman"/>
          <w:sz w:val="24"/>
          <w:szCs w:val="24"/>
        </w:rPr>
        <w:t>La información del Sector Real</w:t>
      </w:r>
      <w:r w:rsidR="00F5372C" w:rsidRPr="002742B2">
        <w:rPr>
          <w:rFonts w:ascii="Times New Roman" w:hAnsi="Times New Roman" w:cs="Times New Roman"/>
          <w:sz w:val="24"/>
          <w:szCs w:val="24"/>
        </w:rPr>
        <w:t xml:space="preserve"> y Precios </w:t>
      </w:r>
      <w:r w:rsidRPr="002742B2">
        <w:rPr>
          <w:rFonts w:ascii="Times New Roman" w:hAnsi="Times New Roman" w:cs="Times New Roman"/>
          <w:sz w:val="24"/>
          <w:szCs w:val="24"/>
        </w:rPr>
        <w:t xml:space="preserve">se extrae de manera periódica de la página web del Banco Central de la República Dominicana.      </w:t>
      </w:r>
    </w:p>
    <w:p w:rsidR="001D5EEA" w:rsidRPr="002312E8" w:rsidRDefault="002742B2" w:rsidP="006E1F36">
      <w:pPr>
        <w:pStyle w:val="Heading2"/>
        <w:rPr>
          <w:rFonts w:ascii="Times New Roman" w:hAnsi="Times New Roman" w:cs="Times New Roman"/>
          <w:sz w:val="26"/>
        </w:rPr>
      </w:pPr>
      <w:bookmarkStart w:id="7" w:name="_Toc398801695"/>
      <w:r w:rsidRPr="002312E8">
        <w:rPr>
          <w:rFonts w:ascii="Times New Roman" w:hAnsi="Times New Roman" w:cs="Times New Roman"/>
          <w:sz w:val="26"/>
        </w:rPr>
        <w:t xml:space="preserve">III.E. </w:t>
      </w:r>
      <w:r w:rsidR="001D5EEA" w:rsidRPr="002312E8">
        <w:rPr>
          <w:rFonts w:ascii="Times New Roman" w:hAnsi="Times New Roman" w:cs="Times New Roman"/>
          <w:sz w:val="26"/>
        </w:rPr>
        <w:t>Frecuencia de producción de datos</w:t>
      </w:r>
      <w:bookmarkEnd w:id="7"/>
      <w:r w:rsidR="001D5EEA" w:rsidRPr="002312E8">
        <w:rPr>
          <w:rFonts w:ascii="Times New Roman" w:hAnsi="Times New Roman" w:cs="Times New Roman"/>
          <w:sz w:val="26"/>
        </w:rPr>
        <w:t xml:space="preserve"> </w:t>
      </w:r>
    </w:p>
    <w:p w:rsidR="002742B2" w:rsidRPr="002742B2" w:rsidRDefault="002742B2" w:rsidP="002742B2">
      <w:pPr>
        <w:pStyle w:val="NoSpacing"/>
      </w:pPr>
    </w:p>
    <w:p w:rsidR="001D5EEA" w:rsidRDefault="001D5EEA" w:rsidP="002742B2">
      <w:pPr>
        <w:spacing w:after="120"/>
        <w:ind w:firstLine="360"/>
        <w:contextualSpacing/>
        <w:jc w:val="both"/>
        <w:rPr>
          <w:rFonts w:ascii="Times New Roman" w:hAnsi="Times New Roman" w:cs="Times New Roman"/>
          <w:sz w:val="24"/>
          <w:szCs w:val="24"/>
        </w:rPr>
      </w:pPr>
      <w:r w:rsidRPr="002742B2">
        <w:rPr>
          <w:rFonts w:ascii="Times New Roman" w:hAnsi="Times New Roman" w:cs="Times New Roman"/>
          <w:sz w:val="24"/>
          <w:szCs w:val="24"/>
        </w:rPr>
        <w:t>La frecuencia de producción de datos se presenta a continuación</w:t>
      </w:r>
      <w:r w:rsidR="00F5372C" w:rsidRPr="002742B2">
        <w:rPr>
          <w:rFonts w:ascii="Times New Roman" w:hAnsi="Times New Roman" w:cs="Times New Roman"/>
          <w:sz w:val="24"/>
          <w:szCs w:val="24"/>
        </w:rPr>
        <w:t>:</w:t>
      </w:r>
      <w:r w:rsidRPr="002742B2">
        <w:rPr>
          <w:rFonts w:ascii="Times New Roman" w:hAnsi="Times New Roman" w:cs="Times New Roman"/>
          <w:sz w:val="24"/>
          <w:szCs w:val="24"/>
        </w:rPr>
        <w:t xml:space="preserve"> </w:t>
      </w:r>
    </w:p>
    <w:p w:rsidR="002742B2" w:rsidRPr="002742B2" w:rsidRDefault="002742B2" w:rsidP="002742B2">
      <w:pPr>
        <w:spacing w:after="120"/>
        <w:ind w:firstLine="360"/>
        <w:contextualSpacing/>
        <w:jc w:val="both"/>
        <w:rPr>
          <w:rFonts w:ascii="Times New Roman" w:hAnsi="Times New Roman" w:cs="Times New Roman"/>
          <w:sz w:val="24"/>
          <w:szCs w:val="24"/>
        </w:rPr>
      </w:pPr>
    </w:p>
    <w:p w:rsidR="00F5372C" w:rsidRDefault="00F5372C" w:rsidP="00364B85">
      <w:pPr>
        <w:spacing w:line="360" w:lineRule="auto"/>
        <w:jc w:val="center"/>
        <w:rPr>
          <w:rFonts w:ascii="Arial" w:hAnsi="Arial" w:cs="Arial"/>
        </w:rPr>
      </w:pPr>
      <w:r w:rsidRPr="00F5372C">
        <w:rPr>
          <w:noProof/>
          <w:lang w:val="en-US"/>
        </w:rPr>
        <w:lastRenderedPageBreak/>
        <w:drawing>
          <wp:inline distT="0" distB="0" distL="0" distR="0">
            <wp:extent cx="5427947" cy="1436914"/>
            <wp:effectExtent l="19050" t="0" r="1303"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427947" cy="1436914"/>
                    </a:xfrm>
                    <a:prstGeom prst="rect">
                      <a:avLst/>
                    </a:prstGeom>
                    <a:noFill/>
                    <a:ln w="9525">
                      <a:noFill/>
                      <a:miter lim="800000"/>
                      <a:headEnd/>
                      <a:tailEnd/>
                    </a:ln>
                  </pic:spPr>
                </pic:pic>
              </a:graphicData>
            </a:graphic>
          </wp:inline>
        </w:drawing>
      </w:r>
    </w:p>
    <w:p w:rsidR="00F5372C" w:rsidRPr="002742B2" w:rsidRDefault="00F5372C" w:rsidP="002742B2">
      <w:pPr>
        <w:spacing w:after="120"/>
        <w:ind w:firstLine="360"/>
        <w:contextualSpacing/>
        <w:jc w:val="both"/>
        <w:rPr>
          <w:rFonts w:ascii="Times New Roman" w:hAnsi="Times New Roman" w:cs="Times New Roman"/>
          <w:sz w:val="24"/>
          <w:szCs w:val="24"/>
        </w:rPr>
      </w:pPr>
      <w:r w:rsidRPr="002742B2">
        <w:rPr>
          <w:rFonts w:ascii="Times New Roman" w:hAnsi="Times New Roman" w:cs="Times New Roman"/>
          <w:sz w:val="24"/>
          <w:szCs w:val="24"/>
        </w:rPr>
        <w:t xml:space="preserve">Dicha frecuencia es establecida por el Banco Central de la República Dominicana. De forma preliminar, se presentan los insumos principales del Sector Real y Precios </w:t>
      </w:r>
      <w:r w:rsidR="00F46014" w:rsidRPr="002742B2">
        <w:rPr>
          <w:rFonts w:ascii="Times New Roman" w:hAnsi="Times New Roman" w:cs="Times New Roman"/>
          <w:sz w:val="24"/>
          <w:szCs w:val="24"/>
        </w:rPr>
        <w:t>bajo la metodología</w:t>
      </w:r>
      <w:r w:rsidR="00623079" w:rsidRPr="002742B2">
        <w:rPr>
          <w:rFonts w:ascii="Times New Roman" w:hAnsi="Times New Roman" w:cs="Times New Roman"/>
          <w:sz w:val="24"/>
          <w:szCs w:val="24"/>
        </w:rPr>
        <w:t xml:space="preserve"> anterior</w:t>
      </w:r>
      <w:r w:rsidR="005822CA" w:rsidRPr="002742B2">
        <w:rPr>
          <w:rFonts w:ascii="Times New Roman" w:hAnsi="Times New Roman" w:cs="Times New Roman"/>
          <w:sz w:val="24"/>
          <w:szCs w:val="24"/>
        </w:rPr>
        <w:t xml:space="preserve"> </w:t>
      </w:r>
      <w:r w:rsidR="00F46014" w:rsidRPr="002742B2">
        <w:rPr>
          <w:rFonts w:ascii="Times New Roman" w:hAnsi="Times New Roman" w:cs="Times New Roman"/>
          <w:sz w:val="24"/>
          <w:szCs w:val="24"/>
        </w:rPr>
        <w:t xml:space="preserve">de compilación y presentación de </w:t>
      </w:r>
      <w:r w:rsidR="00623079" w:rsidRPr="002742B2">
        <w:rPr>
          <w:rFonts w:ascii="Times New Roman" w:hAnsi="Times New Roman" w:cs="Times New Roman"/>
          <w:sz w:val="24"/>
          <w:szCs w:val="24"/>
        </w:rPr>
        <w:t>datos</w:t>
      </w:r>
      <w:r w:rsidR="00F46014" w:rsidRPr="002742B2">
        <w:rPr>
          <w:rFonts w:ascii="Times New Roman" w:hAnsi="Times New Roman" w:cs="Times New Roman"/>
          <w:sz w:val="24"/>
          <w:szCs w:val="24"/>
        </w:rPr>
        <w:t xml:space="preserve">. A partir de 2014, la metodología cambia y a la fecha de la redacción de esta guía no se cuenta con un programa publicado de frecuencia de producción de datos con las nuevas series.  </w:t>
      </w:r>
    </w:p>
    <w:p w:rsidR="00623079" w:rsidRPr="002742B2" w:rsidRDefault="005822CA" w:rsidP="002742B2">
      <w:pPr>
        <w:spacing w:after="120"/>
        <w:ind w:firstLine="360"/>
        <w:contextualSpacing/>
        <w:jc w:val="both"/>
        <w:rPr>
          <w:rFonts w:ascii="Times New Roman" w:hAnsi="Times New Roman" w:cs="Times New Roman"/>
          <w:sz w:val="24"/>
          <w:szCs w:val="24"/>
        </w:rPr>
      </w:pPr>
      <w:r>
        <w:rPr>
          <w:rFonts w:ascii="Arial" w:hAnsi="Arial" w:cs="Arial"/>
        </w:rPr>
        <w:br/>
      </w:r>
      <w:r w:rsidRPr="002742B2">
        <w:rPr>
          <w:rFonts w:ascii="Times New Roman" w:hAnsi="Times New Roman" w:cs="Times New Roman"/>
          <w:sz w:val="24"/>
          <w:szCs w:val="24"/>
        </w:rPr>
        <w:t>Por otro lado, la Inversión Pública es otro de los agregados macroeconómicos</w:t>
      </w:r>
      <w:r w:rsidR="00623079" w:rsidRPr="002742B2">
        <w:rPr>
          <w:rFonts w:ascii="Times New Roman" w:hAnsi="Times New Roman" w:cs="Times New Roman"/>
          <w:sz w:val="24"/>
          <w:szCs w:val="24"/>
        </w:rPr>
        <w:t xml:space="preserve"> que muestra inconsistencias al realizar la comparación de Formación Bruta de Capital Pública (Sector Real) y Gasto de Capital (Sector Fiscal). </w:t>
      </w:r>
      <w:r w:rsidR="00D1735C" w:rsidRPr="002742B2">
        <w:rPr>
          <w:rFonts w:ascii="Times New Roman" w:hAnsi="Times New Roman" w:cs="Times New Roman"/>
          <w:sz w:val="24"/>
          <w:szCs w:val="24"/>
        </w:rPr>
        <w:t>L</w:t>
      </w:r>
      <w:r w:rsidR="00623079" w:rsidRPr="002742B2">
        <w:rPr>
          <w:rFonts w:ascii="Times New Roman" w:hAnsi="Times New Roman" w:cs="Times New Roman"/>
          <w:sz w:val="24"/>
          <w:szCs w:val="24"/>
        </w:rPr>
        <w:t>a diferencia puede explicarse</w:t>
      </w:r>
      <w:r w:rsidR="00D1735C" w:rsidRPr="002742B2">
        <w:rPr>
          <w:rFonts w:ascii="Times New Roman" w:hAnsi="Times New Roman" w:cs="Times New Roman"/>
          <w:sz w:val="24"/>
          <w:szCs w:val="24"/>
        </w:rPr>
        <w:t xml:space="preserve">, en un primer momento, </w:t>
      </w:r>
      <w:r w:rsidR="00623079" w:rsidRPr="002742B2">
        <w:rPr>
          <w:rFonts w:ascii="Times New Roman" w:hAnsi="Times New Roman" w:cs="Times New Roman"/>
          <w:sz w:val="24"/>
          <w:szCs w:val="24"/>
        </w:rPr>
        <w:t xml:space="preserve">por </w:t>
      </w:r>
      <w:r w:rsidR="00D1735C" w:rsidRPr="002742B2">
        <w:rPr>
          <w:rFonts w:ascii="Times New Roman" w:hAnsi="Times New Roman" w:cs="Times New Roman"/>
          <w:sz w:val="24"/>
          <w:szCs w:val="24"/>
        </w:rPr>
        <w:t xml:space="preserve">aspectos de </w:t>
      </w:r>
      <w:r w:rsidR="00623079" w:rsidRPr="002742B2">
        <w:rPr>
          <w:rFonts w:ascii="Times New Roman" w:hAnsi="Times New Roman" w:cs="Times New Roman"/>
          <w:sz w:val="24"/>
          <w:szCs w:val="24"/>
        </w:rPr>
        <w:t>cobertura.</w:t>
      </w:r>
    </w:p>
    <w:p w:rsidR="00623079" w:rsidRDefault="00623079" w:rsidP="00364B85">
      <w:pPr>
        <w:spacing w:after="0" w:line="360" w:lineRule="auto"/>
        <w:jc w:val="both"/>
        <w:rPr>
          <w:rFonts w:ascii="Arial" w:hAnsi="Arial" w:cs="Arial"/>
        </w:rPr>
      </w:pPr>
    </w:p>
    <w:p w:rsidR="005822CA" w:rsidRDefault="00623079" w:rsidP="002742B2">
      <w:pPr>
        <w:spacing w:after="120"/>
        <w:ind w:firstLine="360"/>
        <w:contextualSpacing/>
        <w:jc w:val="both"/>
        <w:rPr>
          <w:rFonts w:ascii="Times New Roman" w:hAnsi="Times New Roman" w:cs="Times New Roman"/>
          <w:sz w:val="24"/>
          <w:szCs w:val="24"/>
        </w:rPr>
      </w:pPr>
      <w:r w:rsidRPr="002742B2">
        <w:rPr>
          <w:rFonts w:ascii="Times New Roman" w:hAnsi="Times New Roman" w:cs="Times New Roman"/>
          <w:sz w:val="24"/>
          <w:szCs w:val="24"/>
        </w:rPr>
        <w:t xml:space="preserve">En adición, existen discrepancias al comparar las exportaciones netas según el Sector Real y las mismas por el lado del Sector Externo. La diferencia tanto por el lado de las exportaciones como por el lado de las importaciones puede explicarse por la tasa de cambio relevante para la conversión </w:t>
      </w:r>
      <w:r w:rsidR="00D1735C" w:rsidRPr="002742B2">
        <w:rPr>
          <w:rFonts w:ascii="Times New Roman" w:hAnsi="Times New Roman" w:cs="Times New Roman"/>
          <w:sz w:val="24"/>
          <w:szCs w:val="24"/>
        </w:rPr>
        <w:t xml:space="preserve">de los flujos desde la balanza de pagos. </w:t>
      </w:r>
    </w:p>
    <w:p w:rsidR="00A643D8" w:rsidRPr="002312E8" w:rsidRDefault="002742B2" w:rsidP="006E1F36">
      <w:pPr>
        <w:pStyle w:val="Heading2"/>
        <w:rPr>
          <w:rFonts w:ascii="Times New Roman" w:hAnsi="Times New Roman" w:cs="Times New Roman"/>
          <w:sz w:val="26"/>
        </w:rPr>
      </w:pPr>
      <w:bookmarkStart w:id="8" w:name="_Toc398801696"/>
      <w:r w:rsidRPr="002312E8">
        <w:rPr>
          <w:rFonts w:ascii="Times New Roman" w:hAnsi="Times New Roman" w:cs="Times New Roman"/>
          <w:sz w:val="26"/>
        </w:rPr>
        <w:t>III.</w:t>
      </w:r>
      <w:r w:rsidR="00571C85">
        <w:rPr>
          <w:rFonts w:ascii="Times New Roman" w:hAnsi="Times New Roman" w:cs="Times New Roman"/>
          <w:sz w:val="26"/>
        </w:rPr>
        <w:t>F</w:t>
      </w:r>
      <w:r w:rsidRPr="002312E8">
        <w:rPr>
          <w:rFonts w:ascii="Times New Roman" w:hAnsi="Times New Roman" w:cs="Times New Roman"/>
          <w:sz w:val="26"/>
        </w:rPr>
        <w:t xml:space="preserve">. </w:t>
      </w:r>
      <w:r w:rsidR="00A643D8" w:rsidRPr="002312E8">
        <w:rPr>
          <w:rFonts w:ascii="Times New Roman" w:hAnsi="Times New Roman" w:cs="Times New Roman"/>
          <w:sz w:val="26"/>
        </w:rPr>
        <w:t>Proyecciones</w:t>
      </w:r>
      <w:bookmarkEnd w:id="8"/>
      <w:r w:rsidR="00A643D8" w:rsidRPr="002312E8">
        <w:rPr>
          <w:rFonts w:ascii="Times New Roman" w:hAnsi="Times New Roman" w:cs="Times New Roman"/>
          <w:sz w:val="26"/>
        </w:rPr>
        <w:t xml:space="preserve"> </w:t>
      </w:r>
    </w:p>
    <w:p w:rsidR="00364B85" w:rsidRPr="00A643D8" w:rsidRDefault="00364B85" w:rsidP="00364B85">
      <w:pPr>
        <w:spacing w:after="0" w:line="360" w:lineRule="auto"/>
        <w:rPr>
          <w:rFonts w:ascii="Arial" w:hAnsi="Arial" w:cs="Arial"/>
          <w:b/>
        </w:rPr>
      </w:pPr>
    </w:p>
    <w:p w:rsidR="00571C85" w:rsidRPr="002742B2" w:rsidRDefault="00571C85" w:rsidP="00571C85">
      <w:pPr>
        <w:spacing w:after="120"/>
        <w:ind w:firstLine="360"/>
        <w:contextualSpacing/>
        <w:jc w:val="both"/>
        <w:rPr>
          <w:rFonts w:ascii="Times New Roman" w:hAnsi="Times New Roman" w:cs="Times New Roman"/>
          <w:sz w:val="24"/>
          <w:szCs w:val="24"/>
        </w:rPr>
      </w:pPr>
      <w:r w:rsidRPr="002742B2">
        <w:rPr>
          <w:rFonts w:ascii="Times New Roman" w:hAnsi="Times New Roman" w:cs="Times New Roman"/>
          <w:sz w:val="24"/>
          <w:szCs w:val="24"/>
        </w:rPr>
        <w:t xml:space="preserve">Para fines de proyecciones necesarias del escenario base, el Sector Real requiere de insumos procedentes de la hoja de Supuestos Generales, la cual se alimenta de las variables relevantes consensuadas en el Panorama Macroeconómico entre el Ministerio de Economía, Planificación y Desarrollo, el Banco Central de la República Dominicana y el Ministerio de Hacienda. </w:t>
      </w:r>
    </w:p>
    <w:p w:rsidR="00571C85" w:rsidRDefault="00571C85" w:rsidP="00571C85">
      <w:pPr>
        <w:spacing w:after="0" w:line="360" w:lineRule="auto"/>
        <w:jc w:val="both"/>
        <w:rPr>
          <w:rFonts w:ascii="Arial" w:hAnsi="Arial" w:cs="Arial"/>
        </w:rPr>
      </w:pPr>
    </w:p>
    <w:p w:rsidR="00571C85" w:rsidRPr="002742B2" w:rsidRDefault="00571C85" w:rsidP="00571C85">
      <w:pPr>
        <w:spacing w:after="120"/>
        <w:ind w:firstLine="360"/>
        <w:contextualSpacing/>
        <w:jc w:val="both"/>
        <w:rPr>
          <w:rFonts w:ascii="Times New Roman" w:hAnsi="Times New Roman" w:cs="Times New Roman"/>
          <w:sz w:val="24"/>
          <w:szCs w:val="24"/>
        </w:rPr>
      </w:pPr>
      <w:r w:rsidRPr="002742B2">
        <w:rPr>
          <w:rFonts w:ascii="Times New Roman" w:hAnsi="Times New Roman" w:cs="Times New Roman"/>
          <w:sz w:val="24"/>
          <w:szCs w:val="24"/>
        </w:rPr>
        <w:t xml:space="preserve">Las variables son: PIB real (en miles de millones RD$, a precios de 2007) y su variación %, PIB nominal (en miles de millones RD$, a precios de cada año) y su variación %, PIB nominal (en miles de millones US$) y su variación %, inflación meta y variación %, variación % IPC promedio, variación % IPC diciembre, variación % Deflactor PIB, Tasa de cambio (RD$/US$) promedio y diciembre y sus respectivas variaciones. En esa misma hoja se incluyen las variaciones del PIB real e inflación (promedio y diciembre) de los Estados Unidos de América. </w:t>
      </w:r>
    </w:p>
    <w:p w:rsidR="00571C85" w:rsidRDefault="00571C85" w:rsidP="002742B2">
      <w:pPr>
        <w:spacing w:after="120"/>
        <w:ind w:firstLine="360"/>
        <w:contextualSpacing/>
        <w:jc w:val="both"/>
        <w:rPr>
          <w:rFonts w:ascii="Times New Roman" w:hAnsi="Times New Roman" w:cs="Times New Roman"/>
          <w:sz w:val="24"/>
          <w:szCs w:val="24"/>
        </w:rPr>
      </w:pPr>
    </w:p>
    <w:p w:rsidR="00522AF6" w:rsidRDefault="001B4AAD" w:rsidP="002742B2">
      <w:pPr>
        <w:spacing w:after="120"/>
        <w:ind w:firstLine="360"/>
        <w:contextualSpacing/>
        <w:jc w:val="both"/>
        <w:rPr>
          <w:rFonts w:ascii="Times New Roman" w:hAnsi="Times New Roman" w:cs="Times New Roman"/>
          <w:sz w:val="24"/>
          <w:szCs w:val="24"/>
        </w:rPr>
      </w:pPr>
      <w:r w:rsidRPr="002742B2">
        <w:rPr>
          <w:rFonts w:ascii="Times New Roman" w:hAnsi="Times New Roman" w:cs="Times New Roman"/>
          <w:sz w:val="24"/>
          <w:szCs w:val="24"/>
        </w:rPr>
        <w:t xml:space="preserve">Los insumos para las proyecciones del Sector Real proceden, principalmente, de los Sectores Fiscal y Externo.  Del Sector Fiscal se obtiene el </w:t>
      </w:r>
      <w:r w:rsidR="00877477" w:rsidRPr="002742B2">
        <w:rPr>
          <w:rFonts w:ascii="Times New Roman" w:hAnsi="Times New Roman" w:cs="Times New Roman"/>
          <w:sz w:val="24"/>
          <w:szCs w:val="24"/>
        </w:rPr>
        <w:t>c</w:t>
      </w:r>
      <w:r w:rsidRPr="002742B2">
        <w:rPr>
          <w:rFonts w:ascii="Times New Roman" w:hAnsi="Times New Roman" w:cs="Times New Roman"/>
          <w:sz w:val="24"/>
          <w:szCs w:val="24"/>
        </w:rPr>
        <w:t xml:space="preserve">onsumo y la </w:t>
      </w:r>
      <w:r w:rsidR="00877477" w:rsidRPr="002742B2">
        <w:rPr>
          <w:rFonts w:ascii="Times New Roman" w:hAnsi="Times New Roman" w:cs="Times New Roman"/>
          <w:sz w:val="24"/>
          <w:szCs w:val="24"/>
        </w:rPr>
        <w:t>i</w:t>
      </w:r>
      <w:r w:rsidRPr="002742B2">
        <w:rPr>
          <w:rFonts w:ascii="Times New Roman" w:hAnsi="Times New Roman" w:cs="Times New Roman"/>
          <w:sz w:val="24"/>
          <w:szCs w:val="24"/>
        </w:rPr>
        <w:t xml:space="preserve">nversión </w:t>
      </w:r>
      <w:r w:rsidR="00877477" w:rsidRPr="002742B2">
        <w:rPr>
          <w:rFonts w:ascii="Times New Roman" w:hAnsi="Times New Roman" w:cs="Times New Roman"/>
          <w:sz w:val="24"/>
          <w:szCs w:val="24"/>
        </w:rPr>
        <w:t>p</w:t>
      </w:r>
      <w:r w:rsidRPr="002742B2">
        <w:rPr>
          <w:rFonts w:ascii="Times New Roman" w:hAnsi="Times New Roman" w:cs="Times New Roman"/>
          <w:sz w:val="24"/>
          <w:szCs w:val="24"/>
        </w:rPr>
        <w:t xml:space="preserve">ública, mientras que del Sector Externo se extraen las </w:t>
      </w:r>
      <w:r w:rsidR="00877477" w:rsidRPr="002742B2">
        <w:rPr>
          <w:rFonts w:ascii="Times New Roman" w:hAnsi="Times New Roman" w:cs="Times New Roman"/>
          <w:sz w:val="24"/>
          <w:szCs w:val="24"/>
        </w:rPr>
        <w:t>e</w:t>
      </w:r>
      <w:r w:rsidRPr="002742B2">
        <w:rPr>
          <w:rFonts w:ascii="Times New Roman" w:hAnsi="Times New Roman" w:cs="Times New Roman"/>
          <w:sz w:val="24"/>
          <w:szCs w:val="24"/>
        </w:rPr>
        <w:t xml:space="preserve">xportaciones e </w:t>
      </w:r>
      <w:r w:rsidR="00877477" w:rsidRPr="002742B2">
        <w:rPr>
          <w:rFonts w:ascii="Times New Roman" w:hAnsi="Times New Roman" w:cs="Times New Roman"/>
          <w:sz w:val="24"/>
          <w:szCs w:val="24"/>
        </w:rPr>
        <w:t>i</w:t>
      </w:r>
      <w:r w:rsidRPr="002742B2">
        <w:rPr>
          <w:rFonts w:ascii="Times New Roman" w:hAnsi="Times New Roman" w:cs="Times New Roman"/>
          <w:sz w:val="24"/>
          <w:szCs w:val="24"/>
        </w:rPr>
        <w:t xml:space="preserve">mportaciones. Las variables </w:t>
      </w:r>
      <w:r w:rsidRPr="002742B2">
        <w:rPr>
          <w:rFonts w:ascii="Times New Roman" w:hAnsi="Times New Roman" w:cs="Times New Roman"/>
          <w:sz w:val="24"/>
          <w:szCs w:val="24"/>
        </w:rPr>
        <w:lastRenderedPageBreak/>
        <w:t>anteriormente mencionadas vienen de forma exógena para fines de proyección</w:t>
      </w:r>
      <w:r w:rsidR="00522AF6" w:rsidRPr="002742B2">
        <w:rPr>
          <w:rFonts w:ascii="Times New Roman" w:hAnsi="Times New Roman" w:cs="Times New Roman"/>
          <w:sz w:val="24"/>
          <w:szCs w:val="24"/>
        </w:rPr>
        <w:t xml:space="preserve">. En esta primera fase del proyecto, las variables proyectadas son todas las del PIB por el lado del gasto a precios corrientes. </w:t>
      </w:r>
    </w:p>
    <w:p w:rsidR="002742B2" w:rsidRDefault="002742B2" w:rsidP="002742B2">
      <w:pPr>
        <w:spacing w:after="120"/>
        <w:ind w:firstLine="360"/>
        <w:contextualSpacing/>
        <w:jc w:val="both"/>
        <w:rPr>
          <w:rFonts w:ascii="Arial" w:hAnsi="Arial" w:cs="Arial"/>
        </w:rPr>
      </w:pPr>
    </w:p>
    <w:p w:rsidR="007E57A7" w:rsidRDefault="007E57A7" w:rsidP="002742B2">
      <w:pPr>
        <w:spacing w:after="120"/>
        <w:ind w:firstLine="360"/>
        <w:contextualSpacing/>
        <w:jc w:val="both"/>
        <w:rPr>
          <w:rFonts w:ascii="Times New Roman" w:hAnsi="Times New Roman" w:cs="Times New Roman"/>
          <w:sz w:val="24"/>
          <w:szCs w:val="24"/>
        </w:rPr>
      </w:pPr>
      <w:r w:rsidRPr="002742B2">
        <w:rPr>
          <w:rFonts w:ascii="Times New Roman" w:hAnsi="Times New Roman" w:cs="Times New Roman"/>
          <w:sz w:val="24"/>
          <w:szCs w:val="24"/>
        </w:rPr>
        <w:t xml:space="preserve">Para </w:t>
      </w:r>
      <w:r w:rsidR="00522AF6" w:rsidRPr="002742B2">
        <w:rPr>
          <w:rFonts w:ascii="Times New Roman" w:hAnsi="Times New Roman" w:cs="Times New Roman"/>
          <w:sz w:val="24"/>
          <w:szCs w:val="24"/>
        </w:rPr>
        <w:t xml:space="preserve">las proyecciones del </w:t>
      </w:r>
      <w:r w:rsidR="000F1A65">
        <w:rPr>
          <w:rFonts w:ascii="Times New Roman" w:hAnsi="Times New Roman" w:cs="Times New Roman"/>
          <w:sz w:val="24"/>
          <w:szCs w:val="24"/>
        </w:rPr>
        <w:t>c</w:t>
      </w:r>
      <w:r w:rsidR="00522AF6" w:rsidRPr="002742B2">
        <w:rPr>
          <w:rFonts w:ascii="Times New Roman" w:hAnsi="Times New Roman" w:cs="Times New Roman"/>
          <w:sz w:val="24"/>
          <w:szCs w:val="24"/>
        </w:rPr>
        <w:t xml:space="preserve">onsumo </w:t>
      </w:r>
      <w:r w:rsidR="000F1A65">
        <w:rPr>
          <w:rFonts w:ascii="Times New Roman" w:hAnsi="Times New Roman" w:cs="Times New Roman"/>
          <w:sz w:val="24"/>
          <w:szCs w:val="24"/>
        </w:rPr>
        <w:t>t</w:t>
      </w:r>
      <w:r w:rsidR="00522AF6" w:rsidRPr="002742B2">
        <w:rPr>
          <w:rFonts w:ascii="Times New Roman" w:hAnsi="Times New Roman" w:cs="Times New Roman"/>
          <w:sz w:val="24"/>
          <w:szCs w:val="24"/>
        </w:rPr>
        <w:t xml:space="preserve">otal, se calcula la proporción del </w:t>
      </w:r>
      <w:r w:rsidR="00877477" w:rsidRPr="002742B2">
        <w:rPr>
          <w:rFonts w:ascii="Times New Roman" w:hAnsi="Times New Roman" w:cs="Times New Roman"/>
          <w:sz w:val="24"/>
          <w:szCs w:val="24"/>
        </w:rPr>
        <w:t>c</w:t>
      </w:r>
      <w:r w:rsidR="00522AF6" w:rsidRPr="002742B2">
        <w:rPr>
          <w:rFonts w:ascii="Times New Roman" w:hAnsi="Times New Roman" w:cs="Times New Roman"/>
          <w:sz w:val="24"/>
          <w:szCs w:val="24"/>
        </w:rPr>
        <w:t xml:space="preserve">onsumo </w:t>
      </w:r>
      <w:r w:rsidR="00877477" w:rsidRPr="002742B2">
        <w:rPr>
          <w:rFonts w:ascii="Times New Roman" w:hAnsi="Times New Roman" w:cs="Times New Roman"/>
          <w:sz w:val="24"/>
          <w:szCs w:val="24"/>
        </w:rPr>
        <w:t>t</w:t>
      </w:r>
      <w:r w:rsidR="00522AF6" w:rsidRPr="002742B2">
        <w:rPr>
          <w:rFonts w:ascii="Times New Roman" w:hAnsi="Times New Roman" w:cs="Times New Roman"/>
          <w:sz w:val="24"/>
          <w:szCs w:val="24"/>
        </w:rPr>
        <w:t xml:space="preserve">otal como porcentaje del PIB de los dos últimos años y se promedia. Hacia delante, se toma esa proporción y se aplica a la estimación del PIB nominal estimado. El </w:t>
      </w:r>
      <w:r w:rsidR="00877477" w:rsidRPr="002742B2">
        <w:rPr>
          <w:rFonts w:ascii="Times New Roman" w:hAnsi="Times New Roman" w:cs="Times New Roman"/>
          <w:sz w:val="24"/>
          <w:szCs w:val="24"/>
        </w:rPr>
        <w:t>c</w:t>
      </w:r>
      <w:r w:rsidR="00522AF6" w:rsidRPr="002742B2">
        <w:rPr>
          <w:rFonts w:ascii="Times New Roman" w:hAnsi="Times New Roman" w:cs="Times New Roman"/>
          <w:sz w:val="24"/>
          <w:szCs w:val="24"/>
        </w:rPr>
        <w:t xml:space="preserve">onsumo </w:t>
      </w:r>
      <w:r w:rsidR="00877477" w:rsidRPr="002742B2">
        <w:rPr>
          <w:rFonts w:ascii="Times New Roman" w:hAnsi="Times New Roman" w:cs="Times New Roman"/>
          <w:sz w:val="24"/>
          <w:szCs w:val="24"/>
        </w:rPr>
        <w:t>privado sale por diferencia del c</w:t>
      </w:r>
      <w:r w:rsidR="00522AF6" w:rsidRPr="002742B2">
        <w:rPr>
          <w:rFonts w:ascii="Times New Roman" w:hAnsi="Times New Roman" w:cs="Times New Roman"/>
          <w:sz w:val="24"/>
          <w:szCs w:val="24"/>
        </w:rPr>
        <w:t xml:space="preserve">onsumo </w:t>
      </w:r>
      <w:r w:rsidR="00877477" w:rsidRPr="002742B2">
        <w:rPr>
          <w:rFonts w:ascii="Times New Roman" w:hAnsi="Times New Roman" w:cs="Times New Roman"/>
          <w:sz w:val="24"/>
          <w:szCs w:val="24"/>
        </w:rPr>
        <w:t>t</w:t>
      </w:r>
      <w:r w:rsidR="00522AF6" w:rsidRPr="002742B2">
        <w:rPr>
          <w:rFonts w:ascii="Times New Roman" w:hAnsi="Times New Roman" w:cs="Times New Roman"/>
          <w:sz w:val="24"/>
          <w:szCs w:val="24"/>
        </w:rPr>
        <w:t xml:space="preserve">otal y el </w:t>
      </w:r>
      <w:r w:rsidR="00877477" w:rsidRPr="002742B2">
        <w:rPr>
          <w:rFonts w:ascii="Times New Roman" w:hAnsi="Times New Roman" w:cs="Times New Roman"/>
          <w:sz w:val="24"/>
          <w:szCs w:val="24"/>
        </w:rPr>
        <w:t>c</w:t>
      </w:r>
      <w:r w:rsidR="00522AF6" w:rsidRPr="002742B2">
        <w:rPr>
          <w:rFonts w:ascii="Times New Roman" w:hAnsi="Times New Roman" w:cs="Times New Roman"/>
          <w:sz w:val="24"/>
          <w:szCs w:val="24"/>
        </w:rPr>
        <w:t xml:space="preserve">onsumo </w:t>
      </w:r>
      <w:r w:rsidR="00877477" w:rsidRPr="002742B2">
        <w:rPr>
          <w:rFonts w:ascii="Times New Roman" w:hAnsi="Times New Roman" w:cs="Times New Roman"/>
          <w:sz w:val="24"/>
          <w:szCs w:val="24"/>
        </w:rPr>
        <w:t>p</w:t>
      </w:r>
      <w:r w:rsidR="00522AF6" w:rsidRPr="002742B2">
        <w:rPr>
          <w:rFonts w:ascii="Times New Roman" w:hAnsi="Times New Roman" w:cs="Times New Roman"/>
          <w:sz w:val="24"/>
          <w:szCs w:val="24"/>
        </w:rPr>
        <w:t>úblico</w:t>
      </w:r>
      <w:r w:rsidRPr="002742B2">
        <w:rPr>
          <w:rFonts w:ascii="Times New Roman" w:hAnsi="Times New Roman" w:cs="Times New Roman"/>
          <w:sz w:val="24"/>
          <w:szCs w:val="24"/>
        </w:rPr>
        <w:t xml:space="preserve"> para todo el periodo proyectado.  La </w:t>
      </w:r>
      <w:r w:rsidR="00877477" w:rsidRPr="002742B2">
        <w:rPr>
          <w:rFonts w:ascii="Times New Roman" w:hAnsi="Times New Roman" w:cs="Times New Roman"/>
          <w:sz w:val="24"/>
          <w:szCs w:val="24"/>
        </w:rPr>
        <w:t>i</w:t>
      </w:r>
      <w:r w:rsidRPr="002742B2">
        <w:rPr>
          <w:rFonts w:ascii="Times New Roman" w:hAnsi="Times New Roman" w:cs="Times New Roman"/>
          <w:sz w:val="24"/>
          <w:szCs w:val="24"/>
        </w:rPr>
        <w:t xml:space="preserve">nversión </w:t>
      </w:r>
      <w:r w:rsidR="00877477" w:rsidRPr="002742B2">
        <w:rPr>
          <w:rFonts w:ascii="Times New Roman" w:hAnsi="Times New Roman" w:cs="Times New Roman"/>
          <w:sz w:val="24"/>
          <w:szCs w:val="24"/>
        </w:rPr>
        <w:t>t</w:t>
      </w:r>
      <w:r w:rsidRPr="002742B2">
        <w:rPr>
          <w:rFonts w:ascii="Times New Roman" w:hAnsi="Times New Roman" w:cs="Times New Roman"/>
          <w:sz w:val="24"/>
          <w:szCs w:val="24"/>
        </w:rPr>
        <w:t>otal</w:t>
      </w:r>
      <w:r w:rsidR="00DA3FC9">
        <w:rPr>
          <w:rFonts w:ascii="Times New Roman" w:hAnsi="Times New Roman" w:cs="Times New Roman"/>
          <w:sz w:val="24"/>
          <w:szCs w:val="24"/>
        </w:rPr>
        <w:t xml:space="preserve"> sale por diferencia del PIB corriente, </w:t>
      </w:r>
      <w:r w:rsidR="000F1A65">
        <w:rPr>
          <w:rFonts w:ascii="Times New Roman" w:hAnsi="Times New Roman" w:cs="Times New Roman"/>
          <w:sz w:val="24"/>
          <w:szCs w:val="24"/>
        </w:rPr>
        <w:t>c</w:t>
      </w:r>
      <w:r w:rsidR="00DA3FC9">
        <w:rPr>
          <w:rFonts w:ascii="Times New Roman" w:hAnsi="Times New Roman" w:cs="Times New Roman"/>
          <w:sz w:val="24"/>
          <w:szCs w:val="24"/>
        </w:rPr>
        <w:t xml:space="preserve">onsumo </w:t>
      </w:r>
      <w:r w:rsidR="000F1A65">
        <w:rPr>
          <w:rFonts w:ascii="Times New Roman" w:hAnsi="Times New Roman" w:cs="Times New Roman"/>
          <w:sz w:val="24"/>
          <w:szCs w:val="24"/>
        </w:rPr>
        <w:t>t</w:t>
      </w:r>
      <w:r w:rsidR="00DA3FC9">
        <w:rPr>
          <w:rFonts w:ascii="Times New Roman" w:hAnsi="Times New Roman" w:cs="Times New Roman"/>
          <w:sz w:val="24"/>
          <w:szCs w:val="24"/>
        </w:rPr>
        <w:t xml:space="preserve">otal y </w:t>
      </w:r>
      <w:r w:rsidR="000F1A65">
        <w:rPr>
          <w:rFonts w:ascii="Times New Roman" w:hAnsi="Times New Roman" w:cs="Times New Roman"/>
          <w:sz w:val="24"/>
          <w:szCs w:val="24"/>
        </w:rPr>
        <w:t>e</w:t>
      </w:r>
      <w:r w:rsidR="00DA3FC9">
        <w:rPr>
          <w:rFonts w:ascii="Times New Roman" w:hAnsi="Times New Roman" w:cs="Times New Roman"/>
          <w:sz w:val="24"/>
          <w:szCs w:val="24"/>
        </w:rPr>
        <w:t xml:space="preserve">xportaciones </w:t>
      </w:r>
      <w:r w:rsidR="000F1A65">
        <w:rPr>
          <w:rFonts w:ascii="Times New Roman" w:hAnsi="Times New Roman" w:cs="Times New Roman"/>
          <w:sz w:val="24"/>
          <w:szCs w:val="24"/>
        </w:rPr>
        <w:t>n</w:t>
      </w:r>
      <w:r w:rsidR="00DA3FC9">
        <w:rPr>
          <w:rFonts w:ascii="Times New Roman" w:hAnsi="Times New Roman" w:cs="Times New Roman"/>
          <w:sz w:val="24"/>
          <w:szCs w:val="24"/>
        </w:rPr>
        <w:t>etas</w:t>
      </w:r>
      <w:r w:rsidRPr="002742B2">
        <w:rPr>
          <w:rFonts w:ascii="Times New Roman" w:hAnsi="Times New Roman" w:cs="Times New Roman"/>
          <w:sz w:val="24"/>
          <w:szCs w:val="24"/>
        </w:rPr>
        <w:t xml:space="preserve">. La </w:t>
      </w:r>
      <w:r w:rsidR="00877477" w:rsidRPr="002742B2">
        <w:rPr>
          <w:rFonts w:ascii="Times New Roman" w:hAnsi="Times New Roman" w:cs="Times New Roman"/>
          <w:sz w:val="24"/>
          <w:szCs w:val="24"/>
        </w:rPr>
        <w:t>i</w:t>
      </w:r>
      <w:r w:rsidRPr="002742B2">
        <w:rPr>
          <w:rFonts w:ascii="Times New Roman" w:hAnsi="Times New Roman" w:cs="Times New Roman"/>
          <w:sz w:val="24"/>
          <w:szCs w:val="24"/>
        </w:rPr>
        <w:t xml:space="preserve">nversión </w:t>
      </w:r>
      <w:r w:rsidR="00877477" w:rsidRPr="002742B2">
        <w:rPr>
          <w:rFonts w:ascii="Times New Roman" w:hAnsi="Times New Roman" w:cs="Times New Roman"/>
          <w:sz w:val="24"/>
          <w:szCs w:val="24"/>
        </w:rPr>
        <w:t>p</w:t>
      </w:r>
      <w:r w:rsidRPr="002742B2">
        <w:rPr>
          <w:rFonts w:ascii="Times New Roman" w:hAnsi="Times New Roman" w:cs="Times New Roman"/>
          <w:sz w:val="24"/>
          <w:szCs w:val="24"/>
        </w:rPr>
        <w:t xml:space="preserve">rivada sale por diferencia de la </w:t>
      </w:r>
      <w:r w:rsidR="00877477" w:rsidRPr="002742B2">
        <w:rPr>
          <w:rFonts w:ascii="Times New Roman" w:hAnsi="Times New Roman" w:cs="Times New Roman"/>
          <w:sz w:val="24"/>
          <w:szCs w:val="24"/>
        </w:rPr>
        <w:t>i</w:t>
      </w:r>
      <w:r w:rsidRPr="002742B2">
        <w:rPr>
          <w:rFonts w:ascii="Times New Roman" w:hAnsi="Times New Roman" w:cs="Times New Roman"/>
          <w:sz w:val="24"/>
          <w:szCs w:val="24"/>
        </w:rPr>
        <w:t xml:space="preserve">nversión </w:t>
      </w:r>
      <w:r w:rsidR="00877477" w:rsidRPr="002742B2">
        <w:rPr>
          <w:rFonts w:ascii="Times New Roman" w:hAnsi="Times New Roman" w:cs="Times New Roman"/>
          <w:sz w:val="24"/>
          <w:szCs w:val="24"/>
        </w:rPr>
        <w:t>t</w:t>
      </w:r>
      <w:r w:rsidRPr="002742B2">
        <w:rPr>
          <w:rFonts w:ascii="Times New Roman" w:hAnsi="Times New Roman" w:cs="Times New Roman"/>
          <w:sz w:val="24"/>
          <w:szCs w:val="24"/>
        </w:rPr>
        <w:t xml:space="preserve">otal y la </w:t>
      </w:r>
      <w:r w:rsidR="00877477" w:rsidRPr="002742B2">
        <w:rPr>
          <w:rFonts w:ascii="Times New Roman" w:hAnsi="Times New Roman" w:cs="Times New Roman"/>
          <w:sz w:val="24"/>
          <w:szCs w:val="24"/>
        </w:rPr>
        <w:t>p</w:t>
      </w:r>
      <w:r w:rsidRPr="002742B2">
        <w:rPr>
          <w:rFonts w:ascii="Times New Roman" w:hAnsi="Times New Roman" w:cs="Times New Roman"/>
          <w:sz w:val="24"/>
          <w:szCs w:val="24"/>
        </w:rPr>
        <w:t xml:space="preserve">ública. Para fines del escenario base, la </w:t>
      </w:r>
      <w:r w:rsidR="00877477" w:rsidRPr="002742B2">
        <w:rPr>
          <w:rFonts w:ascii="Times New Roman" w:hAnsi="Times New Roman" w:cs="Times New Roman"/>
          <w:sz w:val="24"/>
          <w:szCs w:val="24"/>
        </w:rPr>
        <w:t>v</w:t>
      </w:r>
      <w:r w:rsidR="002E113B" w:rsidRPr="002742B2">
        <w:rPr>
          <w:rFonts w:ascii="Times New Roman" w:hAnsi="Times New Roman" w:cs="Times New Roman"/>
          <w:sz w:val="24"/>
          <w:szCs w:val="24"/>
        </w:rPr>
        <w:t xml:space="preserve">ariación de </w:t>
      </w:r>
      <w:r w:rsidR="00877477" w:rsidRPr="002742B2">
        <w:rPr>
          <w:rFonts w:ascii="Times New Roman" w:hAnsi="Times New Roman" w:cs="Times New Roman"/>
          <w:sz w:val="24"/>
          <w:szCs w:val="24"/>
        </w:rPr>
        <w:t>e</w:t>
      </w:r>
      <w:r w:rsidR="002E113B" w:rsidRPr="002742B2">
        <w:rPr>
          <w:rFonts w:ascii="Times New Roman" w:hAnsi="Times New Roman" w:cs="Times New Roman"/>
          <w:sz w:val="24"/>
          <w:szCs w:val="24"/>
        </w:rPr>
        <w:t xml:space="preserve">xistencias se incluirá como parte de la </w:t>
      </w:r>
      <w:r w:rsidR="00877477" w:rsidRPr="002742B2">
        <w:rPr>
          <w:rFonts w:ascii="Times New Roman" w:hAnsi="Times New Roman" w:cs="Times New Roman"/>
          <w:sz w:val="24"/>
          <w:szCs w:val="24"/>
        </w:rPr>
        <w:t>i</w:t>
      </w:r>
      <w:r w:rsidR="002E113B" w:rsidRPr="002742B2">
        <w:rPr>
          <w:rFonts w:ascii="Times New Roman" w:hAnsi="Times New Roman" w:cs="Times New Roman"/>
          <w:sz w:val="24"/>
          <w:szCs w:val="24"/>
        </w:rPr>
        <w:t xml:space="preserve">nversión </w:t>
      </w:r>
      <w:r w:rsidR="00877477" w:rsidRPr="002742B2">
        <w:rPr>
          <w:rFonts w:ascii="Times New Roman" w:hAnsi="Times New Roman" w:cs="Times New Roman"/>
          <w:sz w:val="24"/>
          <w:szCs w:val="24"/>
        </w:rPr>
        <w:t>p</w:t>
      </w:r>
      <w:r w:rsidR="002E113B" w:rsidRPr="002742B2">
        <w:rPr>
          <w:rFonts w:ascii="Times New Roman" w:hAnsi="Times New Roman" w:cs="Times New Roman"/>
          <w:sz w:val="24"/>
          <w:szCs w:val="24"/>
        </w:rPr>
        <w:t xml:space="preserve">rivada, la cual se obtendrá por residuo. </w:t>
      </w:r>
    </w:p>
    <w:p w:rsidR="00B50B0D" w:rsidRDefault="00B50B0D" w:rsidP="002742B2">
      <w:pPr>
        <w:spacing w:after="120"/>
        <w:ind w:firstLine="360"/>
        <w:contextualSpacing/>
        <w:jc w:val="both"/>
        <w:rPr>
          <w:rFonts w:ascii="Arial" w:hAnsi="Arial" w:cs="Arial"/>
        </w:rPr>
      </w:pPr>
    </w:p>
    <w:p w:rsidR="008434C7" w:rsidRDefault="007E57A7" w:rsidP="002742B2">
      <w:pPr>
        <w:spacing w:after="120"/>
        <w:ind w:firstLine="360"/>
        <w:contextualSpacing/>
        <w:jc w:val="both"/>
        <w:rPr>
          <w:rFonts w:ascii="Times New Roman" w:hAnsi="Times New Roman" w:cs="Times New Roman"/>
          <w:sz w:val="24"/>
          <w:szCs w:val="24"/>
        </w:rPr>
      </w:pPr>
      <w:r w:rsidRPr="002742B2">
        <w:rPr>
          <w:rFonts w:ascii="Times New Roman" w:hAnsi="Times New Roman" w:cs="Times New Roman"/>
          <w:sz w:val="24"/>
          <w:szCs w:val="24"/>
        </w:rPr>
        <w:t xml:space="preserve">Las </w:t>
      </w:r>
      <w:r w:rsidR="00877477" w:rsidRPr="002742B2">
        <w:rPr>
          <w:rFonts w:ascii="Times New Roman" w:hAnsi="Times New Roman" w:cs="Times New Roman"/>
          <w:sz w:val="24"/>
          <w:szCs w:val="24"/>
        </w:rPr>
        <w:t>e</w:t>
      </w:r>
      <w:r w:rsidRPr="002742B2">
        <w:rPr>
          <w:rFonts w:ascii="Times New Roman" w:hAnsi="Times New Roman" w:cs="Times New Roman"/>
          <w:sz w:val="24"/>
          <w:szCs w:val="24"/>
        </w:rPr>
        <w:t xml:space="preserve">xportaciones </w:t>
      </w:r>
      <w:r w:rsidR="00877477" w:rsidRPr="002742B2">
        <w:rPr>
          <w:rFonts w:ascii="Times New Roman" w:hAnsi="Times New Roman" w:cs="Times New Roman"/>
          <w:sz w:val="24"/>
          <w:szCs w:val="24"/>
        </w:rPr>
        <w:t>n</w:t>
      </w:r>
      <w:r w:rsidRPr="002742B2">
        <w:rPr>
          <w:rFonts w:ascii="Times New Roman" w:hAnsi="Times New Roman" w:cs="Times New Roman"/>
          <w:sz w:val="24"/>
          <w:szCs w:val="24"/>
        </w:rPr>
        <w:t xml:space="preserve">etas son exógenas y vienen directamente del Sector Externo. </w:t>
      </w:r>
      <w:r w:rsidR="002E113B" w:rsidRPr="002742B2">
        <w:rPr>
          <w:rFonts w:ascii="Times New Roman" w:hAnsi="Times New Roman" w:cs="Times New Roman"/>
          <w:sz w:val="24"/>
          <w:szCs w:val="24"/>
        </w:rPr>
        <w:t xml:space="preserve">Una vez agrupados los agregados macroeconómicos se procede a realizar los ajustes necesarios para que la sumatoria de los agregados sea igual al total del PIB nominal proyectado para el periodo. </w:t>
      </w:r>
    </w:p>
    <w:p w:rsidR="00970E74" w:rsidRPr="002742B2" w:rsidRDefault="002742B2" w:rsidP="00FE551A">
      <w:pPr>
        <w:pStyle w:val="Heading1"/>
        <w:numPr>
          <w:ilvl w:val="0"/>
          <w:numId w:val="4"/>
        </w:numPr>
        <w:ind w:left="360" w:hanging="360"/>
        <w:rPr>
          <w:rFonts w:ascii="Times New Roman" w:hAnsi="Times New Roman" w:cs="Times New Roman"/>
          <w:sz w:val="28"/>
        </w:rPr>
      </w:pPr>
      <w:bookmarkStart w:id="9" w:name="_Toc398801697"/>
      <w:r w:rsidRPr="002742B2">
        <w:rPr>
          <w:rFonts w:ascii="Times New Roman" w:hAnsi="Times New Roman" w:cs="Times New Roman"/>
          <w:sz w:val="28"/>
        </w:rPr>
        <w:t>S</w:t>
      </w:r>
      <w:r w:rsidR="00970E74" w:rsidRPr="002742B2">
        <w:rPr>
          <w:rFonts w:ascii="Times New Roman" w:hAnsi="Times New Roman" w:cs="Times New Roman"/>
          <w:sz w:val="28"/>
        </w:rPr>
        <w:t>ector Externo</w:t>
      </w:r>
      <w:bookmarkEnd w:id="9"/>
    </w:p>
    <w:p w:rsidR="00970E74" w:rsidRPr="002312E8" w:rsidRDefault="00ED3F2E" w:rsidP="006E1F36">
      <w:pPr>
        <w:pStyle w:val="Heading2"/>
        <w:rPr>
          <w:rFonts w:ascii="Times New Roman" w:hAnsi="Times New Roman" w:cs="Times New Roman"/>
          <w:sz w:val="26"/>
        </w:rPr>
      </w:pPr>
      <w:bookmarkStart w:id="10" w:name="_Toc397931698"/>
      <w:bookmarkStart w:id="11" w:name="_Toc398801698"/>
      <w:r w:rsidRPr="002312E8">
        <w:rPr>
          <w:rFonts w:ascii="Times New Roman" w:hAnsi="Times New Roman" w:cs="Times New Roman"/>
          <w:sz w:val="26"/>
        </w:rPr>
        <w:t xml:space="preserve">IV.A. </w:t>
      </w:r>
      <w:r w:rsidR="00970E74" w:rsidRPr="002312E8">
        <w:rPr>
          <w:rFonts w:ascii="Times New Roman" w:hAnsi="Times New Roman" w:cs="Times New Roman"/>
          <w:sz w:val="26"/>
        </w:rPr>
        <w:t>Descripción de Archivos del Sector</w:t>
      </w:r>
      <w:bookmarkEnd w:id="10"/>
      <w:bookmarkEnd w:id="11"/>
    </w:p>
    <w:p w:rsidR="002742B2" w:rsidRPr="002742B2" w:rsidRDefault="002742B2" w:rsidP="002742B2">
      <w:pPr>
        <w:pStyle w:val="NoSpacing"/>
      </w:pPr>
    </w:p>
    <w:p w:rsidR="00970E74" w:rsidRDefault="00970E74" w:rsidP="00ED3F2E">
      <w:pPr>
        <w:spacing w:after="120"/>
        <w:ind w:firstLine="360"/>
        <w:contextualSpacing/>
        <w:jc w:val="both"/>
        <w:rPr>
          <w:rFonts w:ascii="Times New Roman" w:hAnsi="Times New Roman" w:cs="Times New Roman"/>
          <w:sz w:val="24"/>
          <w:szCs w:val="24"/>
        </w:rPr>
      </w:pPr>
      <w:r w:rsidRPr="00ED3F2E">
        <w:rPr>
          <w:rFonts w:ascii="Times New Roman" w:hAnsi="Times New Roman" w:cs="Times New Roman"/>
          <w:sz w:val="24"/>
          <w:szCs w:val="24"/>
        </w:rPr>
        <w:t>Dentro del  Marco Macro Fiscal RD (MMFRD), el sector externo está comprendido por diecisiete pestañas de salida (outputs). Los supuestos generales incluyen dos escenarios y son vinculados al master file para mantener la consistencia entre todos los sectores. En este se encuentra un escenario base de acuerdo a las proyecciones del marco macroeconómico de la Rep. Dom. y un escenario alternativo con supuestos proyectados por la Unidad de Análisis y Política Fiscal. El calendario de disponibilidad de insumos expone las fechas de publicación oficial y los rezagos de los respectivos organismos productores. Los Indicadores Claves del Sector Externo presentan de manera resumida indicadores claves del sector externo que a su vez se presentan en el master file. Los Gráficos Claves del Sector Externo exponen gráficos de los indicadores claves del sector externo que a su vez se presentan en el master file.</w:t>
      </w:r>
    </w:p>
    <w:p w:rsidR="00ED3F2E" w:rsidRPr="00ED3F2E" w:rsidRDefault="00ED3F2E" w:rsidP="00ED3F2E">
      <w:pPr>
        <w:spacing w:after="120"/>
        <w:ind w:firstLine="360"/>
        <w:contextualSpacing/>
        <w:jc w:val="both"/>
        <w:rPr>
          <w:rFonts w:ascii="Times New Roman" w:hAnsi="Times New Roman" w:cs="Times New Roman"/>
          <w:sz w:val="24"/>
          <w:szCs w:val="24"/>
        </w:rPr>
      </w:pPr>
    </w:p>
    <w:p w:rsidR="00ED3F2E" w:rsidRDefault="00970E74" w:rsidP="00ED3F2E">
      <w:pPr>
        <w:spacing w:after="120"/>
        <w:ind w:firstLine="360"/>
        <w:contextualSpacing/>
        <w:jc w:val="both"/>
        <w:rPr>
          <w:rFonts w:ascii="Times New Roman" w:hAnsi="Times New Roman" w:cs="Times New Roman"/>
          <w:sz w:val="24"/>
          <w:szCs w:val="24"/>
        </w:rPr>
      </w:pPr>
      <w:r w:rsidRPr="00ED3F2E">
        <w:rPr>
          <w:rFonts w:ascii="Times New Roman" w:hAnsi="Times New Roman" w:cs="Times New Roman"/>
          <w:sz w:val="24"/>
          <w:szCs w:val="24"/>
        </w:rPr>
        <w:t xml:space="preserve">La hoja principal, la Balanza de Pagos, bajo el formato del manual de balanza de pago del Fondo Monetario Internacional versión seis (MBOP6), contiene la balanza comercial que a su vez está compuesta por las exportaciones e importaciones de bienes y servicios; los ingresos, que a su vez están desagregados en primario y secundario; la cuenta de capital; y el financiamiento. Estas informaciones vienen de la publicación de la balanza de pago del Banco Central y se corrige los pagos de intereses de la deuda externa en base a lo publicado por la Dirección General de Crédito Publico en el Saldo de Evolución de la Deuda (SED-DGCP). </w:t>
      </w:r>
    </w:p>
    <w:p w:rsidR="00ED3F2E" w:rsidRDefault="00ED3F2E" w:rsidP="00ED3F2E">
      <w:pPr>
        <w:spacing w:after="120"/>
        <w:ind w:firstLine="360"/>
        <w:contextualSpacing/>
        <w:jc w:val="both"/>
        <w:rPr>
          <w:rFonts w:ascii="Times New Roman" w:hAnsi="Times New Roman" w:cs="Times New Roman"/>
          <w:sz w:val="24"/>
          <w:szCs w:val="24"/>
        </w:rPr>
      </w:pPr>
    </w:p>
    <w:p w:rsidR="00ED3F2E" w:rsidRDefault="00970E74" w:rsidP="00ED3F2E">
      <w:pPr>
        <w:spacing w:after="120"/>
        <w:ind w:firstLine="360"/>
        <w:contextualSpacing/>
        <w:jc w:val="both"/>
        <w:rPr>
          <w:rFonts w:ascii="Times New Roman" w:hAnsi="Times New Roman" w:cs="Times New Roman"/>
          <w:sz w:val="24"/>
          <w:szCs w:val="24"/>
        </w:rPr>
      </w:pPr>
      <w:r w:rsidRPr="00ED3F2E">
        <w:rPr>
          <w:rFonts w:ascii="Times New Roman" w:hAnsi="Times New Roman" w:cs="Times New Roman"/>
          <w:sz w:val="24"/>
          <w:szCs w:val="24"/>
        </w:rPr>
        <w:t xml:space="preserve">Las Exportaciones principales bienes y servicios contiene los principales rublos de exportación y al igual que la hoja de Importaciones principales bienes y servicios que expone </w:t>
      </w:r>
      <w:r w:rsidRPr="00ED3F2E">
        <w:rPr>
          <w:rFonts w:ascii="Times New Roman" w:hAnsi="Times New Roman" w:cs="Times New Roman"/>
          <w:sz w:val="24"/>
          <w:szCs w:val="24"/>
        </w:rPr>
        <w:lastRenderedPageBreak/>
        <w:t xml:space="preserve">los principales rublos de importación, se alimentan de la publicación de Exportaciones e Importaciones anuales del Banco Central en sus versiones MBOP5 y MBOP6. Ya que la versión 6 publicada por el BCRD al momento de la construcción de este MMF comprende del 2010-2013, para el 2009 se construyó a partir de la versión 5, aunque mantiene el formato del seis. </w:t>
      </w:r>
    </w:p>
    <w:p w:rsidR="00ED3F2E" w:rsidRDefault="00ED3F2E" w:rsidP="00ED3F2E">
      <w:pPr>
        <w:spacing w:after="120"/>
        <w:ind w:firstLine="360"/>
        <w:contextualSpacing/>
        <w:jc w:val="both"/>
        <w:rPr>
          <w:rFonts w:ascii="Times New Roman" w:hAnsi="Times New Roman" w:cs="Times New Roman"/>
          <w:sz w:val="24"/>
          <w:szCs w:val="24"/>
        </w:rPr>
      </w:pPr>
    </w:p>
    <w:p w:rsidR="00ED3F2E" w:rsidRDefault="00970E74" w:rsidP="00ED3F2E">
      <w:pPr>
        <w:spacing w:after="120"/>
        <w:ind w:firstLine="360"/>
        <w:contextualSpacing/>
        <w:jc w:val="both"/>
        <w:rPr>
          <w:rFonts w:ascii="Times New Roman" w:hAnsi="Times New Roman" w:cs="Times New Roman"/>
          <w:sz w:val="24"/>
          <w:szCs w:val="24"/>
        </w:rPr>
      </w:pPr>
      <w:r w:rsidRPr="00ED3F2E">
        <w:rPr>
          <w:rFonts w:ascii="Times New Roman" w:hAnsi="Times New Roman" w:cs="Times New Roman"/>
          <w:sz w:val="24"/>
          <w:szCs w:val="24"/>
        </w:rPr>
        <w:t xml:space="preserve">El Financiamiento Externo del Sector Publico muestra los stocks de deuda externa divida en gobierno central, resto del sector público no financiero, y sector publico financiero comprendido como deuda del BCRD. Esta hoja a su vez está dividida por emisor de deuda, ya sean organismos internacionales, bilaterales, etc. y contiene la misma apertura de su insumo que es el SED-DGCP. Por igual, el Servicio de la Deuda Sector Publico a su vez contiene el pago de intereses y amortizaciones más comisión de la deuda y está dividida por emisor de deuda, ya sean organismos internacionales, bilaterales, etc. y contiene la misma apertura de su insumo que es el SED-DGCP. </w:t>
      </w:r>
    </w:p>
    <w:p w:rsidR="00ED3F2E" w:rsidRDefault="00ED3F2E" w:rsidP="00ED3F2E">
      <w:pPr>
        <w:spacing w:after="120"/>
        <w:ind w:firstLine="360"/>
        <w:contextualSpacing/>
        <w:jc w:val="both"/>
        <w:rPr>
          <w:rFonts w:ascii="Times New Roman" w:hAnsi="Times New Roman" w:cs="Times New Roman"/>
          <w:sz w:val="24"/>
          <w:szCs w:val="24"/>
        </w:rPr>
      </w:pPr>
    </w:p>
    <w:p w:rsidR="00970E74" w:rsidRDefault="00970E74" w:rsidP="00ED3F2E">
      <w:pPr>
        <w:spacing w:after="120"/>
        <w:ind w:firstLine="360"/>
        <w:contextualSpacing/>
        <w:jc w:val="both"/>
        <w:rPr>
          <w:rFonts w:ascii="Times New Roman" w:hAnsi="Times New Roman" w:cs="Times New Roman"/>
          <w:sz w:val="24"/>
          <w:szCs w:val="24"/>
        </w:rPr>
      </w:pPr>
      <w:r w:rsidRPr="00ED3F2E">
        <w:rPr>
          <w:rFonts w:ascii="Times New Roman" w:hAnsi="Times New Roman" w:cs="Times New Roman"/>
          <w:sz w:val="24"/>
          <w:szCs w:val="24"/>
        </w:rPr>
        <w:t>La Deuda Externa Total y Deuda Externa Sector Publico es una hoja que además de presentar la deuda del sector público, agrega el sector privado utilizando como insumo el SED-DGCP para la parte pública y la posición de inversión internacional (PII) del BCRD para el sector privado. A través de una transformación de la PII, específicamente de la parte de bancas y otros sectores de los créditos comerciales, prestamos, monedas y depósitos, y otros pasivos de otras inversiones de la PII se aproximan la deuda del sector privado y financiero y se agrega a la deuda total. Por último, la Sostenibilidad de la Deuda Externa es una hoja que toma la identidad de la deuda y expone su trayectoria en el tiempo para el análisis de su sostenibilidad.</w:t>
      </w:r>
    </w:p>
    <w:p w:rsidR="00ED3F2E" w:rsidRPr="00ED3F2E" w:rsidRDefault="00ED3F2E" w:rsidP="00ED3F2E">
      <w:pPr>
        <w:spacing w:after="120"/>
        <w:ind w:firstLine="360"/>
        <w:contextualSpacing/>
        <w:jc w:val="both"/>
        <w:rPr>
          <w:rFonts w:ascii="Times New Roman" w:hAnsi="Times New Roman" w:cs="Times New Roman"/>
          <w:sz w:val="24"/>
          <w:szCs w:val="24"/>
        </w:rPr>
      </w:pPr>
    </w:p>
    <w:p w:rsidR="00970E74" w:rsidRDefault="00970E74" w:rsidP="00ED3F2E">
      <w:pPr>
        <w:spacing w:after="120"/>
        <w:ind w:firstLine="360"/>
        <w:contextualSpacing/>
        <w:jc w:val="both"/>
        <w:rPr>
          <w:rFonts w:ascii="Times New Roman" w:hAnsi="Times New Roman" w:cs="Times New Roman"/>
          <w:sz w:val="24"/>
          <w:szCs w:val="24"/>
        </w:rPr>
      </w:pPr>
      <w:r w:rsidRPr="00ED3F2E">
        <w:rPr>
          <w:rFonts w:ascii="Times New Roman" w:hAnsi="Times New Roman" w:cs="Times New Roman"/>
          <w:sz w:val="24"/>
          <w:szCs w:val="24"/>
        </w:rPr>
        <w:t>Las hojas sucesivas a la Balanza de Pago, inclusive, contienen una contraparte o espejo expresados como porcentaje del PIB cuyo monto que proviene de la hoja de supuestos del master file.</w:t>
      </w:r>
    </w:p>
    <w:p w:rsidR="00ED3F2E" w:rsidRPr="00ED3F2E" w:rsidRDefault="00ED3F2E" w:rsidP="00ED3F2E">
      <w:pPr>
        <w:spacing w:after="120"/>
        <w:ind w:firstLine="360"/>
        <w:contextualSpacing/>
        <w:jc w:val="both"/>
        <w:rPr>
          <w:rFonts w:ascii="Times New Roman" w:hAnsi="Times New Roman" w:cs="Times New Roman"/>
          <w:sz w:val="24"/>
          <w:szCs w:val="24"/>
        </w:rPr>
      </w:pPr>
    </w:p>
    <w:p w:rsidR="00970E74" w:rsidRPr="00ED3F2E" w:rsidRDefault="00970E74" w:rsidP="00ED3F2E">
      <w:pPr>
        <w:spacing w:after="120"/>
        <w:ind w:firstLine="360"/>
        <w:contextualSpacing/>
        <w:jc w:val="both"/>
        <w:rPr>
          <w:rFonts w:ascii="Times New Roman" w:hAnsi="Times New Roman" w:cs="Times New Roman"/>
          <w:sz w:val="24"/>
          <w:szCs w:val="24"/>
        </w:rPr>
      </w:pPr>
      <w:r w:rsidRPr="00ED3F2E">
        <w:rPr>
          <w:rFonts w:ascii="Times New Roman" w:hAnsi="Times New Roman" w:cs="Times New Roman"/>
          <w:sz w:val="24"/>
          <w:szCs w:val="24"/>
        </w:rPr>
        <w:t>Además, el sector externo está compuesto por hojas de insumos que a través de transformaciones alimentan las pestañas de salida. Las pestañas de insumos (inputs) se encuentran ocultadas y conforman parte del sector externo las siguientes hojas: SE_BOP5, extraída de la publicación Balanza de Pago del BCRD versión MBP5; SE_BOP6, publicada como la Balanza de Pago del BCRD versión MBP6; SE_Exportaciones_Anuales5, que proviene de la publicación Exportaciones Anuales del BCRD versión MBP5; SE_Exportaciones_Anuales6, descargada y agregada de la publicación Exportaciones Anuales del BCRD versión MBP6; SE_Importaciones_Anuales5, obtenida de las Importaciones Anuales del BCRD versión MBP5; SE_Importaciones_Anuales6, proveniente de la publicación Importaciones Anuales del BCRD versión MBP6; SE_Saldo_2009 al que es una publicación de la Dirección General de Crédito Publico del Ministerio de Hacienda; y por último la hoja SE_PII_2005_2013, que proviene de la publicación de la Posición de Inversión Internacional del BCRD.</w:t>
      </w:r>
    </w:p>
    <w:p w:rsidR="00970E74" w:rsidRPr="002312E8" w:rsidRDefault="00ED3F2E" w:rsidP="006E1F36">
      <w:pPr>
        <w:pStyle w:val="Heading2"/>
        <w:rPr>
          <w:rFonts w:ascii="Times New Roman" w:hAnsi="Times New Roman" w:cs="Times New Roman"/>
          <w:sz w:val="26"/>
        </w:rPr>
      </w:pPr>
      <w:bookmarkStart w:id="12" w:name="_Toc397931699"/>
      <w:bookmarkStart w:id="13" w:name="_Toc398801699"/>
      <w:r w:rsidRPr="002312E8">
        <w:rPr>
          <w:rFonts w:ascii="Times New Roman" w:hAnsi="Times New Roman" w:cs="Times New Roman"/>
          <w:sz w:val="26"/>
        </w:rPr>
        <w:lastRenderedPageBreak/>
        <w:t xml:space="preserve">IV.B. </w:t>
      </w:r>
      <w:r w:rsidR="00970E74" w:rsidRPr="002312E8">
        <w:rPr>
          <w:rFonts w:ascii="Times New Roman" w:hAnsi="Times New Roman" w:cs="Times New Roman"/>
          <w:sz w:val="26"/>
        </w:rPr>
        <w:t>Periodo Comprendido</w:t>
      </w:r>
      <w:bookmarkEnd w:id="12"/>
      <w:bookmarkEnd w:id="13"/>
    </w:p>
    <w:p w:rsidR="00ED3F2E" w:rsidRPr="00ED3F2E" w:rsidRDefault="00ED3F2E" w:rsidP="00ED3F2E">
      <w:pPr>
        <w:pStyle w:val="NoSpacing"/>
      </w:pPr>
    </w:p>
    <w:p w:rsidR="00970E74" w:rsidRDefault="00970E74" w:rsidP="00ED3F2E">
      <w:pPr>
        <w:spacing w:after="120"/>
        <w:ind w:firstLine="360"/>
        <w:contextualSpacing/>
        <w:jc w:val="both"/>
        <w:rPr>
          <w:rFonts w:ascii="Times New Roman" w:hAnsi="Times New Roman" w:cs="Times New Roman"/>
          <w:sz w:val="24"/>
          <w:szCs w:val="24"/>
        </w:rPr>
      </w:pPr>
      <w:r w:rsidRPr="00ED3F2E">
        <w:rPr>
          <w:rFonts w:ascii="Times New Roman" w:hAnsi="Times New Roman" w:cs="Times New Roman"/>
          <w:sz w:val="24"/>
          <w:szCs w:val="24"/>
        </w:rPr>
        <w:t>El sector externo mantiene consistencia con el MMFRD en cuanto a los períodos comprendidos; inicia su histórico en el año 2009 y se mantiene hasta un año anterior al vigente (t-1). El año actual (t0) se registra como un estimado hasta finalizar el mismo y obtener los datos preliminares del cierre de año y los consiguientes cuatro años como proyectados en dos escenarios: el escenario base de acuerdo a los supuestos tripartitos del Marco Macro Económico de la República Dominicana, y el escenario alternativo con supuestos técnicos acordados por Unidad de Análisis y Política Fiscal (UPF) del Ministerio de Hacienda.</w:t>
      </w:r>
    </w:p>
    <w:p w:rsidR="00970E74" w:rsidRPr="002312E8" w:rsidRDefault="00ED3F2E" w:rsidP="006E1F36">
      <w:pPr>
        <w:pStyle w:val="Heading2"/>
        <w:rPr>
          <w:rFonts w:ascii="Times New Roman" w:hAnsi="Times New Roman" w:cs="Times New Roman"/>
          <w:sz w:val="26"/>
        </w:rPr>
      </w:pPr>
      <w:bookmarkStart w:id="14" w:name="_Toc397931701"/>
      <w:bookmarkStart w:id="15" w:name="_Toc398801700"/>
      <w:r w:rsidRPr="002312E8">
        <w:rPr>
          <w:rFonts w:ascii="Times New Roman" w:hAnsi="Times New Roman" w:cs="Times New Roman"/>
          <w:sz w:val="26"/>
        </w:rPr>
        <w:t>IV.</w:t>
      </w:r>
      <w:r w:rsidR="00571C85">
        <w:rPr>
          <w:rFonts w:ascii="Times New Roman" w:hAnsi="Times New Roman" w:cs="Times New Roman"/>
          <w:sz w:val="26"/>
        </w:rPr>
        <w:t>C</w:t>
      </w:r>
      <w:r w:rsidRPr="002312E8">
        <w:rPr>
          <w:rFonts w:ascii="Times New Roman" w:hAnsi="Times New Roman" w:cs="Times New Roman"/>
          <w:sz w:val="26"/>
        </w:rPr>
        <w:t xml:space="preserve">. </w:t>
      </w:r>
      <w:r w:rsidR="00970E74" w:rsidRPr="002312E8">
        <w:rPr>
          <w:rFonts w:ascii="Times New Roman" w:hAnsi="Times New Roman" w:cs="Times New Roman"/>
          <w:sz w:val="26"/>
        </w:rPr>
        <w:t>Fuentes de datos</w:t>
      </w:r>
      <w:bookmarkEnd w:id="14"/>
      <w:bookmarkEnd w:id="15"/>
    </w:p>
    <w:p w:rsidR="00ED3F2E" w:rsidRPr="00ED3F2E" w:rsidRDefault="00ED3F2E" w:rsidP="00ED3F2E">
      <w:pPr>
        <w:pStyle w:val="NoSpacing"/>
      </w:pPr>
    </w:p>
    <w:p w:rsidR="00970E74" w:rsidRPr="00ED3F2E" w:rsidRDefault="00970E74" w:rsidP="00ED3F2E">
      <w:pPr>
        <w:spacing w:after="120"/>
        <w:ind w:firstLine="360"/>
        <w:contextualSpacing/>
        <w:jc w:val="both"/>
        <w:rPr>
          <w:rFonts w:ascii="Times New Roman" w:hAnsi="Times New Roman" w:cs="Times New Roman"/>
          <w:sz w:val="24"/>
          <w:szCs w:val="24"/>
        </w:rPr>
      </w:pPr>
      <w:r w:rsidRPr="00ED3F2E">
        <w:rPr>
          <w:rFonts w:ascii="Times New Roman" w:hAnsi="Times New Roman" w:cs="Times New Roman"/>
          <w:sz w:val="24"/>
          <w:szCs w:val="24"/>
        </w:rPr>
        <w:t>Para el caso del sector externo, las fuentes de los datos son el Banco Central de la República Dominicana (BCRD) y de la Dirección General de Crédito Público (DGCP), del Ministerio de Hacienda.</w:t>
      </w:r>
    </w:p>
    <w:p w:rsidR="00970E74" w:rsidRPr="002312E8" w:rsidRDefault="00ED3F2E" w:rsidP="00ED3F2E">
      <w:pPr>
        <w:pStyle w:val="Heading2"/>
        <w:rPr>
          <w:rFonts w:ascii="Times New Roman" w:hAnsi="Times New Roman" w:cs="Times New Roman"/>
          <w:sz w:val="26"/>
        </w:rPr>
      </w:pPr>
      <w:bookmarkStart w:id="16" w:name="_Toc397931702"/>
      <w:bookmarkStart w:id="17" w:name="_Toc398801701"/>
      <w:r w:rsidRPr="002312E8">
        <w:rPr>
          <w:rFonts w:ascii="Times New Roman" w:hAnsi="Times New Roman" w:cs="Times New Roman"/>
          <w:sz w:val="26"/>
        </w:rPr>
        <w:t>IV.</w:t>
      </w:r>
      <w:r w:rsidR="00571C85">
        <w:rPr>
          <w:rFonts w:ascii="Times New Roman" w:hAnsi="Times New Roman" w:cs="Times New Roman"/>
          <w:sz w:val="26"/>
        </w:rPr>
        <w:t>D</w:t>
      </w:r>
      <w:r w:rsidRPr="002312E8">
        <w:rPr>
          <w:rFonts w:ascii="Times New Roman" w:hAnsi="Times New Roman" w:cs="Times New Roman"/>
          <w:sz w:val="26"/>
        </w:rPr>
        <w:t xml:space="preserve">. </w:t>
      </w:r>
      <w:r w:rsidR="00970E74" w:rsidRPr="002312E8">
        <w:rPr>
          <w:rFonts w:ascii="Times New Roman" w:hAnsi="Times New Roman" w:cs="Times New Roman"/>
          <w:sz w:val="26"/>
        </w:rPr>
        <w:t>Obtención de datos</w:t>
      </w:r>
      <w:bookmarkEnd w:id="16"/>
      <w:bookmarkEnd w:id="17"/>
    </w:p>
    <w:p w:rsidR="00970E74" w:rsidRDefault="00970E74" w:rsidP="00ED3F2E">
      <w:pPr>
        <w:spacing w:after="120"/>
        <w:ind w:firstLine="360"/>
        <w:contextualSpacing/>
        <w:jc w:val="both"/>
        <w:rPr>
          <w:rFonts w:ascii="Times New Roman" w:hAnsi="Times New Roman" w:cs="Times New Roman"/>
          <w:sz w:val="24"/>
          <w:szCs w:val="24"/>
        </w:rPr>
      </w:pPr>
      <w:r w:rsidRPr="00C53DB3">
        <w:rPr>
          <w:rFonts w:ascii="Arial" w:hAnsi="Arial" w:cs="Arial"/>
          <w:color w:val="000000" w:themeColor="text1"/>
        </w:rPr>
        <w:br/>
      </w:r>
      <w:r w:rsidRPr="00ED3F2E">
        <w:rPr>
          <w:rFonts w:ascii="Times New Roman" w:hAnsi="Times New Roman" w:cs="Times New Roman"/>
          <w:sz w:val="24"/>
          <w:szCs w:val="24"/>
        </w:rPr>
        <w:t>Los datos utilizados como insumos se obtienen de manera pública a través de los diferentes organismos donde originan el dato. Debajo se encuentran los detalles de los insumos utilizados y el emisor del dato:</w:t>
      </w:r>
    </w:p>
    <w:p w:rsidR="00ED3F2E" w:rsidRPr="00ED3F2E" w:rsidRDefault="00ED3F2E" w:rsidP="00ED3F2E">
      <w:pPr>
        <w:spacing w:after="120"/>
        <w:ind w:firstLine="360"/>
        <w:contextualSpacing/>
        <w:jc w:val="both"/>
        <w:rPr>
          <w:rFonts w:ascii="Times New Roman" w:hAnsi="Times New Roman" w:cs="Times New Roman"/>
          <w:sz w:val="24"/>
          <w:szCs w:val="24"/>
        </w:rPr>
      </w:pPr>
    </w:p>
    <w:p w:rsidR="00970E74" w:rsidRPr="00C53DB3" w:rsidRDefault="00970E74" w:rsidP="00970E74">
      <w:pPr>
        <w:spacing w:line="360" w:lineRule="auto"/>
        <w:jc w:val="center"/>
        <w:rPr>
          <w:rFonts w:ascii="Arial" w:hAnsi="Arial" w:cs="Arial"/>
        </w:rPr>
      </w:pPr>
      <w:r w:rsidRPr="00C53DB3">
        <w:rPr>
          <w:rFonts w:ascii="Arial" w:hAnsi="Arial" w:cs="Arial"/>
          <w:noProof/>
          <w:lang w:val="en-US"/>
        </w:rPr>
        <w:drawing>
          <wp:inline distT="0" distB="0" distL="0" distR="0">
            <wp:extent cx="4248150" cy="2105025"/>
            <wp:effectExtent l="1905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4248150" cy="2105025"/>
                    </a:xfrm>
                    <a:prstGeom prst="rect">
                      <a:avLst/>
                    </a:prstGeom>
                    <a:noFill/>
                    <a:ln w="9525">
                      <a:noFill/>
                      <a:miter lim="800000"/>
                      <a:headEnd/>
                      <a:tailEnd/>
                    </a:ln>
                  </pic:spPr>
                </pic:pic>
              </a:graphicData>
            </a:graphic>
          </wp:inline>
        </w:drawing>
      </w:r>
    </w:p>
    <w:p w:rsidR="00970E74" w:rsidRDefault="00970E74" w:rsidP="00ED3F2E">
      <w:pPr>
        <w:spacing w:after="120"/>
        <w:ind w:firstLine="360"/>
        <w:contextualSpacing/>
        <w:jc w:val="both"/>
        <w:rPr>
          <w:rFonts w:ascii="Times New Roman" w:hAnsi="Times New Roman" w:cs="Times New Roman"/>
          <w:sz w:val="24"/>
          <w:szCs w:val="24"/>
        </w:rPr>
      </w:pPr>
      <w:r w:rsidRPr="00ED3F2E">
        <w:rPr>
          <w:rFonts w:ascii="Times New Roman" w:hAnsi="Times New Roman" w:cs="Times New Roman"/>
          <w:sz w:val="24"/>
          <w:szCs w:val="24"/>
        </w:rPr>
        <w:t>Estos a su vez se transforman a través de hojas intermedias hasta resultar en una salida (output).</w:t>
      </w:r>
    </w:p>
    <w:p w:rsidR="00970E74" w:rsidRPr="002312E8" w:rsidRDefault="00ED3F2E" w:rsidP="006E1F36">
      <w:pPr>
        <w:pStyle w:val="Heading2"/>
        <w:rPr>
          <w:rFonts w:ascii="Times New Roman" w:hAnsi="Times New Roman" w:cs="Times New Roman"/>
          <w:sz w:val="26"/>
        </w:rPr>
      </w:pPr>
      <w:bookmarkStart w:id="18" w:name="_Toc397931703"/>
      <w:bookmarkStart w:id="19" w:name="_Toc398801702"/>
      <w:r w:rsidRPr="002312E8">
        <w:rPr>
          <w:rFonts w:ascii="Times New Roman" w:hAnsi="Times New Roman" w:cs="Times New Roman"/>
          <w:sz w:val="26"/>
        </w:rPr>
        <w:t>IV.</w:t>
      </w:r>
      <w:r w:rsidR="00571C85">
        <w:rPr>
          <w:rFonts w:ascii="Times New Roman" w:hAnsi="Times New Roman" w:cs="Times New Roman"/>
          <w:sz w:val="26"/>
        </w:rPr>
        <w:t>E</w:t>
      </w:r>
      <w:r w:rsidRPr="002312E8">
        <w:rPr>
          <w:rFonts w:ascii="Times New Roman" w:hAnsi="Times New Roman" w:cs="Times New Roman"/>
          <w:sz w:val="26"/>
        </w:rPr>
        <w:t xml:space="preserve">. </w:t>
      </w:r>
      <w:r w:rsidR="00970E74" w:rsidRPr="002312E8">
        <w:rPr>
          <w:rFonts w:ascii="Times New Roman" w:hAnsi="Times New Roman" w:cs="Times New Roman"/>
          <w:sz w:val="26"/>
        </w:rPr>
        <w:t>Frecuencia de producción de datos</w:t>
      </w:r>
      <w:bookmarkEnd w:id="18"/>
      <w:bookmarkEnd w:id="19"/>
    </w:p>
    <w:p w:rsidR="00ED3F2E" w:rsidRPr="00ED3F2E" w:rsidRDefault="00ED3F2E" w:rsidP="00ED3F2E">
      <w:pPr>
        <w:pStyle w:val="NoSpacing"/>
      </w:pPr>
    </w:p>
    <w:p w:rsidR="00970E74" w:rsidRPr="00ED3F2E" w:rsidRDefault="00970E74" w:rsidP="00ED3F2E">
      <w:pPr>
        <w:spacing w:after="120"/>
        <w:ind w:firstLine="360"/>
        <w:contextualSpacing/>
        <w:jc w:val="both"/>
        <w:rPr>
          <w:rFonts w:ascii="Times New Roman" w:hAnsi="Times New Roman" w:cs="Times New Roman"/>
          <w:sz w:val="24"/>
          <w:szCs w:val="24"/>
        </w:rPr>
      </w:pPr>
      <w:r w:rsidRPr="00ED3F2E">
        <w:rPr>
          <w:rFonts w:ascii="Times New Roman" w:hAnsi="Times New Roman" w:cs="Times New Roman"/>
          <w:sz w:val="24"/>
          <w:szCs w:val="24"/>
        </w:rPr>
        <w:t>Los datos utilizados en el sector externo en promedio son producidos por las entidades responsables con un retraso de 2 meses después de la fecha de corte. Debajo se encuentra un calendario con los detalles:</w:t>
      </w:r>
    </w:p>
    <w:p w:rsidR="00970E74" w:rsidRPr="00C53DB3" w:rsidRDefault="00970E74" w:rsidP="00970E74">
      <w:pPr>
        <w:spacing w:line="360" w:lineRule="auto"/>
        <w:jc w:val="center"/>
        <w:rPr>
          <w:rFonts w:ascii="Arial" w:hAnsi="Arial" w:cs="Arial"/>
        </w:rPr>
      </w:pPr>
      <w:r w:rsidRPr="00C53DB3">
        <w:rPr>
          <w:rFonts w:ascii="Arial" w:hAnsi="Arial" w:cs="Arial"/>
          <w:noProof/>
          <w:lang w:val="en-US"/>
        </w:rPr>
        <w:lastRenderedPageBreak/>
        <w:drawing>
          <wp:inline distT="0" distB="0" distL="0" distR="0">
            <wp:extent cx="5943600" cy="1848268"/>
            <wp:effectExtent l="1905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943600" cy="1848268"/>
                    </a:xfrm>
                    <a:prstGeom prst="rect">
                      <a:avLst/>
                    </a:prstGeom>
                    <a:noFill/>
                    <a:ln w="9525">
                      <a:noFill/>
                      <a:miter lim="800000"/>
                      <a:headEnd/>
                      <a:tailEnd/>
                    </a:ln>
                  </pic:spPr>
                </pic:pic>
              </a:graphicData>
            </a:graphic>
          </wp:inline>
        </w:drawing>
      </w:r>
    </w:p>
    <w:p w:rsidR="00970E74" w:rsidRPr="002312E8" w:rsidRDefault="00ED3F2E" w:rsidP="006E1F36">
      <w:pPr>
        <w:pStyle w:val="Heading2"/>
        <w:rPr>
          <w:rFonts w:ascii="Times New Roman" w:hAnsi="Times New Roman" w:cs="Times New Roman"/>
          <w:sz w:val="26"/>
        </w:rPr>
      </w:pPr>
      <w:bookmarkStart w:id="20" w:name="_Toc398801703"/>
      <w:r w:rsidRPr="002312E8">
        <w:rPr>
          <w:rFonts w:ascii="Times New Roman" w:hAnsi="Times New Roman" w:cs="Times New Roman"/>
          <w:sz w:val="26"/>
        </w:rPr>
        <w:t>IV.</w:t>
      </w:r>
      <w:r w:rsidR="00571C85">
        <w:rPr>
          <w:rFonts w:ascii="Times New Roman" w:hAnsi="Times New Roman" w:cs="Times New Roman"/>
          <w:sz w:val="26"/>
        </w:rPr>
        <w:t>F</w:t>
      </w:r>
      <w:r w:rsidRPr="002312E8">
        <w:rPr>
          <w:rFonts w:ascii="Times New Roman" w:hAnsi="Times New Roman" w:cs="Times New Roman"/>
          <w:sz w:val="26"/>
        </w:rPr>
        <w:t xml:space="preserve">. </w:t>
      </w:r>
      <w:bookmarkStart w:id="21" w:name="_Toc397931705"/>
      <w:r w:rsidR="00970E74" w:rsidRPr="002312E8">
        <w:rPr>
          <w:rFonts w:ascii="Times New Roman" w:hAnsi="Times New Roman" w:cs="Times New Roman"/>
          <w:sz w:val="26"/>
        </w:rPr>
        <w:t>Proyecciones</w:t>
      </w:r>
      <w:bookmarkEnd w:id="20"/>
      <w:r w:rsidR="00970E74" w:rsidRPr="002312E8">
        <w:rPr>
          <w:rFonts w:ascii="Times New Roman" w:hAnsi="Times New Roman" w:cs="Times New Roman"/>
          <w:sz w:val="26"/>
        </w:rPr>
        <w:t xml:space="preserve"> </w:t>
      </w:r>
      <w:bookmarkEnd w:id="21"/>
    </w:p>
    <w:p w:rsidR="00ED3F2E" w:rsidRPr="00ED3F2E" w:rsidRDefault="00ED3F2E" w:rsidP="00ED3F2E">
      <w:pPr>
        <w:pStyle w:val="NoSpacing"/>
      </w:pPr>
    </w:p>
    <w:p w:rsidR="00571C85" w:rsidRPr="00ED3F2E" w:rsidRDefault="00571C85" w:rsidP="00571C85">
      <w:pPr>
        <w:spacing w:after="120"/>
        <w:ind w:firstLine="360"/>
        <w:contextualSpacing/>
        <w:jc w:val="both"/>
        <w:rPr>
          <w:rFonts w:ascii="Times New Roman" w:hAnsi="Times New Roman" w:cs="Times New Roman"/>
          <w:sz w:val="24"/>
          <w:szCs w:val="24"/>
        </w:rPr>
      </w:pPr>
      <w:r w:rsidRPr="00ED3F2E">
        <w:rPr>
          <w:rFonts w:ascii="Times New Roman" w:hAnsi="Times New Roman" w:cs="Times New Roman"/>
          <w:sz w:val="24"/>
          <w:szCs w:val="24"/>
        </w:rPr>
        <w:t>Para la elaboración del sector externo es necesaria la proyección de supuestos base generales como son el PIB en valores corrientes y en dólares americanos, tipo de cambio promedio y al cierre de año, e inflación. Así por igual, se requiere las proyecciones de algunas variables como los precios de los commodities, crecimiento de los principales socios comerciales, y la inflación de los principales socios comerciales.</w:t>
      </w:r>
      <w:r>
        <w:rPr>
          <w:rFonts w:ascii="Times New Roman" w:hAnsi="Times New Roman" w:cs="Times New Roman"/>
          <w:sz w:val="24"/>
          <w:szCs w:val="24"/>
        </w:rPr>
        <w:t xml:space="preserve"> </w:t>
      </w:r>
      <w:r w:rsidRPr="00ED3F2E">
        <w:rPr>
          <w:rFonts w:ascii="Times New Roman" w:hAnsi="Times New Roman" w:cs="Times New Roman"/>
          <w:sz w:val="24"/>
          <w:szCs w:val="24"/>
        </w:rPr>
        <w:t>A partir de estas informaciones de proyecta la balanza de pago a los años consiguientes.</w:t>
      </w:r>
    </w:p>
    <w:p w:rsidR="00571C85" w:rsidRDefault="00571C85" w:rsidP="00ED3F2E">
      <w:pPr>
        <w:spacing w:after="120"/>
        <w:ind w:firstLine="360"/>
        <w:contextualSpacing/>
        <w:jc w:val="both"/>
        <w:rPr>
          <w:rFonts w:ascii="Times New Roman" w:hAnsi="Times New Roman" w:cs="Times New Roman"/>
          <w:sz w:val="24"/>
          <w:szCs w:val="24"/>
        </w:rPr>
      </w:pPr>
    </w:p>
    <w:p w:rsidR="00970E74" w:rsidRDefault="00970E74" w:rsidP="00ED3F2E">
      <w:pPr>
        <w:spacing w:after="120"/>
        <w:ind w:firstLine="360"/>
        <w:contextualSpacing/>
        <w:jc w:val="both"/>
        <w:rPr>
          <w:rFonts w:ascii="Times New Roman" w:hAnsi="Times New Roman" w:cs="Times New Roman"/>
          <w:sz w:val="24"/>
          <w:szCs w:val="24"/>
        </w:rPr>
      </w:pPr>
      <w:r w:rsidRPr="00ED3F2E">
        <w:rPr>
          <w:rFonts w:ascii="Times New Roman" w:hAnsi="Times New Roman" w:cs="Times New Roman"/>
          <w:sz w:val="24"/>
          <w:szCs w:val="24"/>
        </w:rPr>
        <w:t>Para la proyección de la balanza de pagos se utilizaron distintos métodos de proyección que incluyen ratios con respecto al PIB, crecimiento del PIB, índices de precios de los commodities, promedios históricos con respecto al PIB, supuestos de acumulación de reservas internacionales y una cuenta de cierre.</w:t>
      </w:r>
    </w:p>
    <w:p w:rsidR="00ED3F2E" w:rsidRPr="00ED3F2E" w:rsidRDefault="00ED3F2E" w:rsidP="00ED3F2E">
      <w:pPr>
        <w:spacing w:after="120"/>
        <w:ind w:firstLine="360"/>
        <w:contextualSpacing/>
        <w:jc w:val="both"/>
        <w:rPr>
          <w:rFonts w:ascii="Times New Roman" w:hAnsi="Times New Roman" w:cs="Times New Roman"/>
          <w:sz w:val="24"/>
          <w:szCs w:val="24"/>
        </w:rPr>
      </w:pPr>
    </w:p>
    <w:p w:rsidR="00970E74" w:rsidRDefault="00970E74" w:rsidP="00ED3F2E">
      <w:pPr>
        <w:spacing w:after="120"/>
        <w:ind w:firstLine="360"/>
        <w:contextualSpacing/>
        <w:jc w:val="both"/>
        <w:rPr>
          <w:rFonts w:ascii="Times New Roman" w:hAnsi="Times New Roman" w:cs="Times New Roman"/>
          <w:sz w:val="24"/>
          <w:szCs w:val="24"/>
        </w:rPr>
      </w:pPr>
      <w:r w:rsidRPr="00ED3F2E">
        <w:rPr>
          <w:rFonts w:ascii="Times New Roman" w:hAnsi="Times New Roman" w:cs="Times New Roman"/>
          <w:sz w:val="24"/>
          <w:szCs w:val="24"/>
        </w:rPr>
        <w:t>Para las exportaciones, se utilizó los precios de los commodities futuros del Global Economic Monitor (GEM) para crear un índice de precios. A partir del dato histórico, el crecimiento del PIB dado por los supuestos generales y el índice de precios por rublo de exportación de proyectaron los azucares y otros, el café y sus manufacturas, el cacao y sus manufacturas, y el tabaco y sus manufcaturas.</w:t>
      </w:r>
    </w:p>
    <w:p w:rsidR="00ED3F2E" w:rsidRPr="00ED3F2E" w:rsidRDefault="00ED3F2E" w:rsidP="00ED3F2E">
      <w:pPr>
        <w:spacing w:after="120"/>
        <w:ind w:firstLine="360"/>
        <w:contextualSpacing/>
        <w:jc w:val="both"/>
        <w:rPr>
          <w:rFonts w:ascii="Times New Roman" w:hAnsi="Times New Roman" w:cs="Times New Roman"/>
          <w:sz w:val="24"/>
          <w:szCs w:val="24"/>
        </w:rPr>
      </w:pPr>
    </w:p>
    <w:p w:rsidR="00970E74" w:rsidRDefault="00970E74" w:rsidP="00ED3F2E">
      <w:pPr>
        <w:spacing w:after="120"/>
        <w:ind w:firstLine="360"/>
        <w:contextualSpacing/>
        <w:jc w:val="both"/>
        <w:rPr>
          <w:rFonts w:ascii="Times New Roman" w:hAnsi="Times New Roman" w:cs="Times New Roman"/>
          <w:sz w:val="24"/>
          <w:szCs w:val="24"/>
        </w:rPr>
      </w:pPr>
      <w:r w:rsidRPr="00ED3F2E">
        <w:rPr>
          <w:rFonts w:ascii="Times New Roman" w:hAnsi="Times New Roman" w:cs="Times New Roman"/>
          <w:sz w:val="24"/>
          <w:szCs w:val="24"/>
        </w:rPr>
        <w:t>Para los minerales, se obtuvieron las proyecciones de precio y cantidad de la empresa minera Barrick Gold PVDC y asumiendo un ratio de total de minerales con respecto al oro se proyectó los años subsiguientes.  Los productos menores y las zonas francas crecen a la tasa crecimiento del PIB.</w:t>
      </w:r>
    </w:p>
    <w:p w:rsidR="00ED3F2E" w:rsidRPr="00ED3F2E" w:rsidRDefault="00ED3F2E" w:rsidP="00ED3F2E">
      <w:pPr>
        <w:spacing w:after="120"/>
        <w:ind w:firstLine="360"/>
        <w:contextualSpacing/>
        <w:jc w:val="both"/>
        <w:rPr>
          <w:rFonts w:ascii="Times New Roman" w:hAnsi="Times New Roman" w:cs="Times New Roman"/>
          <w:sz w:val="24"/>
          <w:szCs w:val="24"/>
        </w:rPr>
      </w:pPr>
    </w:p>
    <w:p w:rsidR="00970E74" w:rsidRDefault="00970E74" w:rsidP="00ED3F2E">
      <w:pPr>
        <w:spacing w:after="120"/>
        <w:ind w:firstLine="360"/>
        <w:contextualSpacing/>
        <w:jc w:val="both"/>
        <w:rPr>
          <w:rFonts w:ascii="Times New Roman" w:hAnsi="Times New Roman" w:cs="Times New Roman"/>
          <w:sz w:val="24"/>
          <w:szCs w:val="24"/>
        </w:rPr>
      </w:pPr>
      <w:r w:rsidRPr="00ED3F2E">
        <w:rPr>
          <w:rFonts w:ascii="Times New Roman" w:hAnsi="Times New Roman" w:cs="Times New Roman"/>
          <w:sz w:val="24"/>
          <w:szCs w:val="24"/>
        </w:rPr>
        <w:t>Las importaciones se crecieron con respecto al PIB cada línea y se totalizaron por rublos.</w:t>
      </w:r>
    </w:p>
    <w:p w:rsidR="00ED3F2E" w:rsidRPr="00ED3F2E" w:rsidRDefault="00ED3F2E" w:rsidP="00ED3F2E">
      <w:pPr>
        <w:spacing w:after="120"/>
        <w:ind w:firstLine="360"/>
        <w:contextualSpacing/>
        <w:jc w:val="both"/>
        <w:rPr>
          <w:rFonts w:ascii="Times New Roman" w:hAnsi="Times New Roman" w:cs="Times New Roman"/>
          <w:sz w:val="24"/>
          <w:szCs w:val="24"/>
        </w:rPr>
      </w:pPr>
    </w:p>
    <w:p w:rsidR="00970E74" w:rsidRPr="00D0613F" w:rsidRDefault="00970E74" w:rsidP="00D0613F">
      <w:pPr>
        <w:spacing w:after="120"/>
        <w:ind w:firstLine="360"/>
        <w:contextualSpacing/>
        <w:jc w:val="both"/>
        <w:rPr>
          <w:rFonts w:ascii="Times New Roman" w:hAnsi="Times New Roman" w:cs="Times New Roman"/>
          <w:sz w:val="24"/>
          <w:szCs w:val="24"/>
        </w:rPr>
      </w:pPr>
      <w:r w:rsidRPr="00D0613F">
        <w:rPr>
          <w:rFonts w:ascii="Times New Roman" w:hAnsi="Times New Roman" w:cs="Times New Roman"/>
          <w:sz w:val="24"/>
          <w:szCs w:val="24"/>
        </w:rPr>
        <w:t>Los ingresos, cuyos montos son relativamente estables en el tiempo como porcentaje del PIB, se proyectaron como un average histórico de los tres años anteriores con respecto al PIB y luego su monto nominal equivale al resultado multiplicado por el PIB nominal en dólares de los supuestos generales. El mismo criterio se utilizó para la cuenta de capital.</w:t>
      </w:r>
    </w:p>
    <w:p w:rsidR="00970E74" w:rsidRDefault="00970E74" w:rsidP="00D0613F">
      <w:pPr>
        <w:spacing w:after="120"/>
        <w:ind w:firstLine="360"/>
        <w:contextualSpacing/>
        <w:jc w:val="both"/>
        <w:rPr>
          <w:rFonts w:ascii="Times New Roman" w:hAnsi="Times New Roman" w:cs="Times New Roman"/>
          <w:sz w:val="24"/>
          <w:szCs w:val="24"/>
        </w:rPr>
      </w:pPr>
      <w:r w:rsidRPr="00D0613F">
        <w:rPr>
          <w:rFonts w:ascii="Times New Roman" w:hAnsi="Times New Roman" w:cs="Times New Roman"/>
          <w:sz w:val="24"/>
          <w:szCs w:val="24"/>
        </w:rPr>
        <w:lastRenderedPageBreak/>
        <w:t>Luego se fijaron las reservas internacionales brutas como el equivalente a 3.66 meses de importación del año próximo (incluyendo Zonas Francas). Es decir, las reservas equivalen a casi 4 meses de las necesidades futuras de financiamiento de importación.</w:t>
      </w:r>
    </w:p>
    <w:p w:rsidR="00D0613F" w:rsidRPr="00D0613F" w:rsidRDefault="00D0613F" w:rsidP="00D0613F">
      <w:pPr>
        <w:spacing w:after="120"/>
        <w:ind w:firstLine="360"/>
        <w:contextualSpacing/>
        <w:jc w:val="both"/>
        <w:rPr>
          <w:rFonts w:ascii="Times New Roman" w:hAnsi="Times New Roman" w:cs="Times New Roman"/>
          <w:sz w:val="24"/>
          <w:szCs w:val="24"/>
        </w:rPr>
      </w:pPr>
    </w:p>
    <w:p w:rsidR="00970E74" w:rsidRDefault="00970E74" w:rsidP="00D0613F">
      <w:pPr>
        <w:spacing w:after="120"/>
        <w:ind w:firstLine="360"/>
        <w:contextualSpacing/>
        <w:jc w:val="both"/>
        <w:rPr>
          <w:rFonts w:ascii="Times New Roman" w:hAnsi="Times New Roman" w:cs="Times New Roman"/>
          <w:sz w:val="24"/>
          <w:szCs w:val="24"/>
        </w:rPr>
      </w:pPr>
      <w:r w:rsidRPr="00D0613F">
        <w:rPr>
          <w:rFonts w:ascii="Times New Roman" w:hAnsi="Times New Roman" w:cs="Times New Roman"/>
          <w:sz w:val="24"/>
          <w:szCs w:val="24"/>
        </w:rPr>
        <w:t>Obteniendo este stock de reservas internacionales brutas, los activos de reservas en el financiamiento surgen de la diferencia o el flujo de esta variable de nivel.</w:t>
      </w:r>
    </w:p>
    <w:p w:rsidR="00D0613F" w:rsidRPr="00D0613F" w:rsidRDefault="00D0613F" w:rsidP="00D0613F">
      <w:pPr>
        <w:spacing w:after="120"/>
        <w:ind w:firstLine="360"/>
        <w:contextualSpacing/>
        <w:jc w:val="both"/>
        <w:rPr>
          <w:rFonts w:ascii="Times New Roman" w:hAnsi="Times New Roman" w:cs="Times New Roman"/>
          <w:sz w:val="24"/>
          <w:szCs w:val="24"/>
        </w:rPr>
      </w:pPr>
    </w:p>
    <w:p w:rsidR="00970E74" w:rsidRPr="00D0613F" w:rsidRDefault="00970E74" w:rsidP="00D0613F">
      <w:pPr>
        <w:spacing w:after="120"/>
        <w:ind w:firstLine="360"/>
        <w:contextualSpacing/>
        <w:jc w:val="both"/>
        <w:rPr>
          <w:rFonts w:ascii="Times New Roman" w:hAnsi="Times New Roman" w:cs="Times New Roman"/>
          <w:sz w:val="24"/>
          <w:szCs w:val="24"/>
        </w:rPr>
      </w:pPr>
      <w:r w:rsidRPr="00D0613F">
        <w:rPr>
          <w:rFonts w:ascii="Times New Roman" w:hAnsi="Times New Roman" w:cs="Times New Roman"/>
          <w:sz w:val="24"/>
          <w:szCs w:val="24"/>
        </w:rPr>
        <w:t>Ya con la cuenta corriente, de capital y el financiamiento proyectado, se utilizó como cuenta de cierre  la cuenta financiera que es la diferencia existente entre el financiamiento y el préstamo / endeudamiento neto.</w:t>
      </w:r>
    </w:p>
    <w:p w:rsidR="00652016" w:rsidRPr="00D0613F" w:rsidRDefault="00652016" w:rsidP="00FE551A">
      <w:pPr>
        <w:pStyle w:val="Heading1"/>
        <w:numPr>
          <w:ilvl w:val="0"/>
          <w:numId w:val="4"/>
        </w:numPr>
        <w:ind w:left="360" w:hanging="360"/>
        <w:rPr>
          <w:rFonts w:ascii="Times New Roman" w:hAnsi="Times New Roman" w:cs="Times New Roman"/>
          <w:sz w:val="28"/>
        </w:rPr>
      </w:pPr>
      <w:bookmarkStart w:id="22" w:name="_Toc398801704"/>
      <w:bookmarkStart w:id="23" w:name="_Toc397931707"/>
      <w:r w:rsidRPr="00D0613F">
        <w:rPr>
          <w:rFonts w:ascii="Times New Roman" w:hAnsi="Times New Roman" w:cs="Times New Roman"/>
          <w:sz w:val="28"/>
        </w:rPr>
        <w:t>Sector Fiscal</w:t>
      </w:r>
      <w:bookmarkEnd w:id="22"/>
    </w:p>
    <w:p w:rsidR="00652016" w:rsidRPr="002312E8" w:rsidRDefault="00D0613F" w:rsidP="006E1F36">
      <w:pPr>
        <w:pStyle w:val="Heading2"/>
        <w:rPr>
          <w:rFonts w:ascii="Times New Roman" w:hAnsi="Times New Roman" w:cs="Times New Roman"/>
          <w:sz w:val="26"/>
          <w:lang w:val="es-DO"/>
        </w:rPr>
      </w:pPr>
      <w:bookmarkStart w:id="24" w:name="_Toc398801705"/>
      <w:r w:rsidRPr="002312E8">
        <w:rPr>
          <w:rFonts w:ascii="Times New Roman" w:hAnsi="Times New Roman" w:cs="Times New Roman"/>
          <w:sz w:val="26"/>
          <w:lang w:val="es-DO"/>
        </w:rPr>
        <w:t xml:space="preserve">V.A. </w:t>
      </w:r>
      <w:r w:rsidR="00652016" w:rsidRPr="002312E8">
        <w:rPr>
          <w:rFonts w:ascii="Times New Roman" w:hAnsi="Times New Roman" w:cs="Times New Roman"/>
          <w:sz w:val="26"/>
          <w:lang w:val="es-DO"/>
        </w:rPr>
        <w:t>Descripción archivos por sector</w:t>
      </w:r>
      <w:bookmarkEnd w:id="24"/>
    </w:p>
    <w:p w:rsidR="00D0613F" w:rsidRPr="00D0613F" w:rsidRDefault="00D0613F" w:rsidP="00D0613F">
      <w:pPr>
        <w:pStyle w:val="NoSpacing"/>
        <w:rPr>
          <w:rFonts w:ascii="Times New Roman" w:hAnsi="Times New Roman" w:cs="Times New Roman"/>
          <w:sz w:val="28"/>
          <w:szCs w:val="28"/>
          <w:lang w:val="es-DO"/>
        </w:rPr>
      </w:pPr>
    </w:p>
    <w:p w:rsidR="00652016" w:rsidRDefault="00652016" w:rsidP="00D0613F">
      <w:pPr>
        <w:spacing w:after="120"/>
        <w:ind w:firstLine="360"/>
        <w:contextualSpacing/>
        <w:jc w:val="both"/>
        <w:rPr>
          <w:rFonts w:ascii="Times New Roman" w:hAnsi="Times New Roman" w:cs="Times New Roman"/>
          <w:sz w:val="24"/>
          <w:szCs w:val="24"/>
        </w:rPr>
      </w:pPr>
      <w:r w:rsidRPr="00D0613F">
        <w:rPr>
          <w:rFonts w:ascii="Times New Roman" w:hAnsi="Times New Roman" w:cs="Times New Roman"/>
          <w:sz w:val="24"/>
          <w:szCs w:val="24"/>
        </w:rPr>
        <w:t xml:space="preserve">Dentro del  Marco Macro Fiscal RD (MMFRD), la sección del Sector Fiscal abarca los siguientes componentes principales: </w:t>
      </w:r>
    </w:p>
    <w:p w:rsidR="00D0613F" w:rsidRPr="00D0613F" w:rsidRDefault="00D0613F" w:rsidP="00D0613F">
      <w:pPr>
        <w:spacing w:after="120"/>
        <w:ind w:firstLine="360"/>
        <w:contextualSpacing/>
        <w:jc w:val="both"/>
        <w:rPr>
          <w:rFonts w:ascii="Times New Roman" w:hAnsi="Times New Roman" w:cs="Times New Roman"/>
          <w:sz w:val="24"/>
          <w:szCs w:val="24"/>
        </w:rPr>
      </w:pPr>
    </w:p>
    <w:p w:rsidR="00652016" w:rsidRDefault="00652016" w:rsidP="00D0613F">
      <w:pPr>
        <w:spacing w:after="120"/>
        <w:ind w:firstLine="360"/>
        <w:contextualSpacing/>
        <w:jc w:val="both"/>
        <w:rPr>
          <w:rFonts w:ascii="Times New Roman" w:hAnsi="Times New Roman" w:cs="Times New Roman"/>
          <w:sz w:val="24"/>
          <w:szCs w:val="24"/>
        </w:rPr>
      </w:pPr>
      <w:r w:rsidRPr="00D0613F">
        <w:rPr>
          <w:rFonts w:ascii="Times New Roman" w:hAnsi="Times New Roman" w:cs="Times New Roman"/>
          <w:sz w:val="24"/>
          <w:szCs w:val="24"/>
        </w:rPr>
        <w:t>Tabla de Contenido, Calendario de insumos disponible, Indicadores claves, Gráficos claves, Sector Público Consolidado, Sector Público Consolidado (%PIB), Gobierno Central, Gobierno Central (%PIB), Resto Sector Público No financiero, Resto Sector Público No financiero (%PIB), Instituciones Descentralizadas, Ayuntamientos y Municipios, Empresas Públicas No financieras,</w:t>
      </w:r>
      <w:r w:rsidR="00D0613F">
        <w:rPr>
          <w:rFonts w:ascii="Times New Roman" w:hAnsi="Times New Roman" w:cs="Times New Roman"/>
          <w:sz w:val="24"/>
          <w:szCs w:val="24"/>
        </w:rPr>
        <w:t xml:space="preserve"> CD</w:t>
      </w:r>
      <w:r w:rsidRPr="00D0613F">
        <w:rPr>
          <w:rFonts w:ascii="Times New Roman" w:hAnsi="Times New Roman" w:cs="Times New Roman"/>
          <w:sz w:val="24"/>
          <w:szCs w:val="24"/>
        </w:rPr>
        <w:t>E</w:t>
      </w:r>
      <w:r w:rsidR="00D0613F">
        <w:rPr>
          <w:rFonts w:ascii="Times New Roman" w:hAnsi="Times New Roman" w:cs="Times New Roman"/>
          <w:sz w:val="24"/>
          <w:szCs w:val="24"/>
        </w:rPr>
        <w:t>E</w:t>
      </w:r>
      <w:r w:rsidRPr="00D0613F">
        <w:rPr>
          <w:rFonts w:ascii="Times New Roman" w:hAnsi="Times New Roman" w:cs="Times New Roman"/>
          <w:sz w:val="24"/>
          <w:szCs w:val="24"/>
        </w:rPr>
        <w:t xml:space="preserve">E, Resto Empresas Públicas No financieras, Balance Estructural, Reglas Fiscales, Deuda Pública, Deuda Pública (%PIB), Presupuesto, Presupuesto (%PIB), Sostenibilidad de la Deuda.    </w:t>
      </w:r>
    </w:p>
    <w:p w:rsidR="00D0613F" w:rsidRPr="00D0613F" w:rsidRDefault="00D0613F" w:rsidP="00D0613F">
      <w:pPr>
        <w:spacing w:after="120"/>
        <w:ind w:firstLine="360"/>
        <w:contextualSpacing/>
        <w:jc w:val="both"/>
        <w:rPr>
          <w:rFonts w:ascii="Times New Roman" w:hAnsi="Times New Roman" w:cs="Times New Roman"/>
          <w:sz w:val="24"/>
          <w:szCs w:val="24"/>
        </w:rPr>
      </w:pPr>
    </w:p>
    <w:p w:rsidR="00652016" w:rsidRPr="00D0613F" w:rsidRDefault="00652016" w:rsidP="00D0613F">
      <w:pPr>
        <w:spacing w:after="120"/>
        <w:ind w:firstLine="360"/>
        <w:contextualSpacing/>
        <w:jc w:val="both"/>
        <w:rPr>
          <w:rFonts w:ascii="Times New Roman" w:hAnsi="Times New Roman" w:cs="Times New Roman"/>
          <w:sz w:val="24"/>
          <w:szCs w:val="24"/>
        </w:rPr>
      </w:pPr>
      <w:r w:rsidRPr="00D0613F">
        <w:rPr>
          <w:rFonts w:ascii="Times New Roman" w:hAnsi="Times New Roman" w:cs="Times New Roman"/>
          <w:sz w:val="24"/>
          <w:szCs w:val="24"/>
        </w:rPr>
        <w:t xml:space="preserve">Adicionalmente, el Sector Fiscal se compone de hojas de insumos a través de las cuales se alimentan las pestañas de salida. Estas hojas de insumo (Inputs) se se transforman a través de hojas intermedias hasta resultar en una salida (output) y  encuentran ocultas en la sección del Sector Fiscal. Son las siguientes: SF_Balance UPF,  SF_GCTRANSF, SF_Balance CDEEE, SF_Ingresos Desagregados, SF_EvoDeuda, SF_Deuda Pública US$, SF_Ejecución Presupuestaria. </w:t>
      </w:r>
    </w:p>
    <w:p w:rsidR="00D0613F" w:rsidRDefault="00D0613F" w:rsidP="00D0613F">
      <w:pPr>
        <w:spacing w:after="120"/>
        <w:ind w:firstLine="360"/>
        <w:contextualSpacing/>
        <w:jc w:val="both"/>
        <w:rPr>
          <w:rFonts w:ascii="Arial" w:hAnsi="Arial" w:cs="Arial"/>
          <w:lang w:val="es-DO"/>
        </w:rPr>
      </w:pPr>
    </w:p>
    <w:p w:rsidR="00652016" w:rsidRPr="00D0613F" w:rsidRDefault="00652016" w:rsidP="00D0613F">
      <w:pPr>
        <w:spacing w:after="120"/>
        <w:ind w:firstLine="360"/>
        <w:contextualSpacing/>
        <w:jc w:val="both"/>
        <w:rPr>
          <w:rFonts w:ascii="Times New Roman" w:hAnsi="Times New Roman" w:cs="Times New Roman"/>
          <w:sz w:val="24"/>
          <w:szCs w:val="24"/>
        </w:rPr>
      </w:pPr>
      <w:r w:rsidRPr="00D0613F">
        <w:rPr>
          <w:rFonts w:ascii="Times New Roman" w:hAnsi="Times New Roman" w:cs="Times New Roman"/>
          <w:sz w:val="24"/>
          <w:szCs w:val="24"/>
        </w:rPr>
        <w:t xml:space="preserve">A continuación se detallan cada uno de los componentes principales:  </w:t>
      </w:r>
    </w:p>
    <w:p w:rsidR="00D0613F" w:rsidRPr="005E7EA1" w:rsidRDefault="00D0613F" w:rsidP="00D0613F">
      <w:pPr>
        <w:spacing w:after="120"/>
        <w:ind w:firstLine="360"/>
        <w:contextualSpacing/>
        <w:jc w:val="both"/>
        <w:rPr>
          <w:rFonts w:ascii="Arial" w:hAnsi="Arial" w:cs="Arial"/>
          <w:lang w:val="es-DO"/>
        </w:rPr>
      </w:pPr>
    </w:p>
    <w:p w:rsidR="00652016" w:rsidRDefault="00652016" w:rsidP="00D0613F">
      <w:pPr>
        <w:spacing w:after="120"/>
        <w:ind w:firstLine="360"/>
        <w:contextualSpacing/>
        <w:jc w:val="both"/>
        <w:rPr>
          <w:rFonts w:ascii="Times New Roman" w:hAnsi="Times New Roman" w:cs="Times New Roman"/>
          <w:sz w:val="24"/>
          <w:szCs w:val="24"/>
        </w:rPr>
      </w:pPr>
      <w:r w:rsidRPr="00D0613F">
        <w:rPr>
          <w:rFonts w:ascii="Times New Roman" w:hAnsi="Times New Roman" w:cs="Times New Roman"/>
          <w:sz w:val="24"/>
          <w:szCs w:val="24"/>
        </w:rPr>
        <w:t xml:space="preserve">En la tabla de contenido se presentan en orden las hojas que abarca la sección del Sector Fiscal. Dicha tabla de contenido permite acceso directo a cada una de los componentes principales. </w:t>
      </w:r>
    </w:p>
    <w:p w:rsidR="00D0613F" w:rsidRPr="00D0613F" w:rsidRDefault="00D0613F" w:rsidP="00D0613F">
      <w:pPr>
        <w:spacing w:after="120"/>
        <w:ind w:firstLine="360"/>
        <w:contextualSpacing/>
        <w:jc w:val="both"/>
        <w:rPr>
          <w:rFonts w:ascii="Times New Roman" w:hAnsi="Times New Roman" w:cs="Times New Roman"/>
          <w:sz w:val="24"/>
          <w:szCs w:val="24"/>
        </w:rPr>
      </w:pPr>
    </w:p>
    <w:p w:rsidR="00652016" w:rsidRDefault="00652016" w:rsidP="00D0613F">
      <w:pPr>
        <w:spacing w:after="120"/>
        <w:ind w:firstLine="360"/>
        <w:contextualSpacing/>
        <w:jc w:val="both"/>
        <w:rPr>
          <w:rFonts w:ascii="Times New Roman" w:hAnsi="Times New Roman" w:cs="Times New Roman"/>
          <w:sz w:val="24"/>
          <w:szCs w:val="24"/>
        </w:rPr>
      </w:pPr>
      <w:r w:rsidRPr="00D0613F">
        <w:rPr>
          <w:rFonts w:ascii="Times New Roman" w:hAnsi="Times New Roman" w:cs="Times New Roman"/>
          <w:sz w:val="24"/>
          <w:szCs w:val="24"/>
        </w:rPr>
        <w:t xml:space="preserve">El Calendario de Disponibilidad de Insumos contiene: Balance Fiscal UPF y la Tabla 8 los cuales son los insumos principales para la construcción del Sector Fiscal.  Este calendario recoge las informaciones correspondientes a la fecha y la frecuencia  de publicación de los insumos utilizados así como el carácter de los datos. </w:t>
      </w:r>
    </w:p>
    <w:p w:rsidR="002312E8" w:rsidRPr="00D0613F" w:rsidRDefault="002312E8" w:rsidP="00D0613F">
      <w:pPr>
        <w:spacing w:after="120"/>
        <w:ind w:firstLine="360"/>
        <w:contextualSpacing/>
        <w:jc w:val="both"/>
        <w:rPr>
          <w:rFonts w:ascii="Times New Roman" w:hAnsi="Times New Roman" w:cs="Times New Roman"/>
          <w:sz w:val="24"/>
          <w:szCs w:val="24"/>
        </w:rPr>
      </w:pPr>
    </w:p>
    <w:p w:rsidR="00652016" w:rsidRDefault="00652016" w:rsidP="00D0613F">
      <w:pPr>
        <w:spacing w:after="120"/>
        <w:ind w:firstLine="360"/>
        <w:contextualSpacing/>
        <w:jc w:val="both"/>
        <w:rPr>
          <w:rFonts w:ascii="Times New Roman" w:hAnsi="Times New Roman" w:cs="Times New Roman"/>
          <w:sz w:val="24"/>
          <w:szCs w:val="24"/>
        </w:rPr>
      </w:pPr>
      <w:r w:rsidRPr="00D0613F">
        <w:rPr>
          <w:rFonts w:ascii="Times New Roman" w:hAnsi="Times New Roman" w:cs="Times New Roman"/>
          <w:sz w:val="24"/>
          <w:szCs w:val="24"/>
        </w:rPr>
        <w:t xml:space="preserve">La hoja Indicadores Macro fiscales Claves resume los indicadores relevantes del sector fiscal. Estos indicadores son: Total Ingresos Gobierno Central (Incluyendo donaciones), Total Ingresos Gobierno Central (Incluyendo donaciones) (%PIB), Ingresos Tributarios Gobierno Central, Ingresos Tributarios Gobierno Central (%PIB), Total de Gasto Gobierno Central, Total de Gasto Gobierno Central (%PIB), Sueldos y Salarios, Sueldos y Salarios (%PIB), Bienes y Servicios, Bienes y Servicios (%PIB), Gasto de Capital (Inversión del Gobierno), Gasto de Capital (Inversión del Gobierno) (%PIB), Total Servicio Intereses, Total Servicio Intereses (%PIB),  Transferencias a Sector Eléctrico, Transferencias a Sector Eléctrico (%PIB),  Balance Global, Balance Global (%PIB),  Balance Cuasifiscal y  Balance Cuasifiscal (%PIB). </w:t>
      </w:r>
    </w:p>
    <w:p w:rsidR="00D0613F" w:rsidRPr="00D0613F" w:rsidRDefault="00D0613F" w:rsidP="00D0613F">
      <w:pPr>
        <w:spacing w:after="120"/>
        <w:ind w:firstLine="360"/>
        <w:contextualSpacing/>
        <w:jc w:val="both"/>
        <w:rPr>
          <w:rFonts w:ascii="Times New Roman" w:hAnsi="Times New Roman" w:cs="Times New Roman"/>
          <w:sz w:val="24"/>
          <w:szCs w:val="24"/>
        </w:rPr>
      </w:pPr>
    </w:p>
    <w:p w:rsidR="00652016" w:rsidRDefault="00652016" w:rsidP="00D0613F">
      <w:pPr>
        <w:spacing w:after="120"/>
        <w:ind w:firstLine="360"/>
        <w:contextualSpacing/>
        <w:jc w:val="both"/>
        <w:rPr>
          <w:rFonts w:ascii="Times New Roman" w:hAnsi="Times New Roman" w:cs="Times New Roman"/>
          <w:sz w:val="24"/>
          <w:szCs w:val="24"/>
        </w:rPr>
      </w:pPr>
      <w:r w:rsidRPr="00D0613F">
        <w:rPr>
          <w:rFonts w:ascii="Times New Roman" w:hAnsi="Times New Roman" w:cs="Times New Roman"/>
          <w:sz w:val="24"/>
          <w:szCs w:val="24"/>
        </w:rPr>
        <w:t xml:space="preserve">Para la construcción de estos indicadores se utilizan las informaciones recogidas en la hoja Gobierno Central, a excepción del indicador Balance Cuasi fiscal cuya información se obtiene de la hoja Sector Público Consolidado. Para obtener estos indicadores como porcentaje del PIB se extraen los datos del PIB en valores corrientes de la hoja Supuestos Generales. </w:t>
      </w:r>
    </w:p>
    <w:p w:rsidR="00D0613F" w:rsidRPr="00D0613F" w:rsidRDefault="00D0613F" w:rsidP="00D0613F">
      <w:pPr>
        <w:spacing w:after="120"/>
        <w:ind w:firstLine="360"/>
        <w:contextualSpacing/>
        <w:jc w:val="both"/>
        <w:rPr>
          <w:rFonts w:ascii="Times New Roman" w:hAnsi="Times New Roman" w:cs="Times New Roman"/>
          <w:sz w:val="24"/>
          <w:szCs w:val="24"/>
        </w:rPr>
      </w:pPr>
    </w:p>
    <w:p w:rsidR="00115F41" w:rsidRDefault="00652016" w:rsidP="00D0613F">
      <w:pPr>
        <w:spacing w:after="120"/>
        <w:ind w:firstLine="360"/>
        <w:contextualSpacing/>
        <w:jc w:val="both"/>
        <w:rPr>
          <w:rFonts w:ascii="Times New Roman" w:hAnsi="Times New Roman" w:cs="Times New Roman"/>
          <w:sz w:val="24"/>
          <w:szCs w:val="24"/>
        </w:rPr>
      </w:pPr>
      <w:r w:rsidRPr="00D0613F">
        <w:rPr>
          <w:rFonts w:ascii="Times New Roman" w:hAnsi="Times New Roman" w:cs="Times New Roman"/>
          <w:sz w:val="24"/>
          <w:szCs w:val="24"/>
        </w:rPr>
        <w:t xml:space="preserve">La hoja de  Gráficos Claves  contiene los siguientes gráficos: Del Gobierno Central % PIB : </w:t>
      </w:r>
    </w:p>
    <w:p w:rsidR="00115F41" w:rsidRDefault="00115F41" w:rsidP="00D0613F">
      <w:pPr>
        <w:spacing w:after="120"/>
        <w:ind w:firstLine="360"/>
        <w:contextualSpacing/>
        <w:jc w:val="both"/>
        <w:rPr>
          <w:rFonts w:ascii="Times New Roman" w:hAnsi="Times New Roman" w:cs="Times New Roman"/>
          <w:sz w:val="24"/>
          <w:szCs w:val="24"/>
        </w:rPr>
      </w:pPr>
    </w:p>
    <w:p w:rsidR="00652016" w:rsidRDefault="00652016" w:rsidP="00D0613F">
      <w:pPr>
        <w:spacing w:after="120"/>
        <w:ind w:firstLine="360"/>
        <w:contextualSpacing/>
        <w:jc w:val="both"/>
        <w:rPr>
          <w:rFonts w:ascii="Times New Roman" w:hAnsi="Times New Roman" w:cs="Times New Roman"/>
          <w:sz w:val="24"/>
          <w:szCs w:val="24"/>
        </w:rPr>
      </w:pPr>
      <w:r w:rsidRPr="00D0613F">
        <w:rPr>
          <w:rFonts w:ascii="Times New Roman" w:hAnsi="Times New Roman" w:cs="Times New Roman"/>
          <w:sz w:val="24"/>
          <w:szCs w:val="24"/>
        </w:rPr>
        <w:t>Ingresos totales e Ingresos Tributarios, Gobierno Central: Estructura % Ingresos: Impuesto a los Ingresos, patrimonio y consumo, Gobierno Central: Estructura % Impuesto a los Ingresos: Personales y Empresas, Gobierno Central: Estructura % Gasto: Gasto Total, Gasto Corriente, Gasto de Capital, Deuda SPNF % PIB, Deuda Gobierno Central %PIB, Balance Global  Gobierno Central % PIB, Gobierno Central Estructura % Impuesto a los bienes y servicios: ITBIS, Aranceles a las Importaciones, Selectivos, Resto, Gobierno Central % PIB: Balance, Ingresos totales, Gasto Total, Gobierno Central Estructura % Gasto Corriente: Remuneraciones, bienes y servicios, intereses, y transferencias/subsidios. Servicio de la Deuda Gobierno Central: Intereses y amortizaciones, Financiamiento Gobierno SPNF y Gobierno Central % PIB,  Gobierno Central: Presupuesto Original, Presupuesto Modificado Final, y Actual % PIB, Balance SPNF, instituciones descentralizadas, seguridad social y empresas publicas no financieras % PIB, Gobierno Central Transferencias y Subsidios % Gasto Total: Sector eléctrico, seguridad social, recapitalización banco central, Balance Gobierno Central: actual, proyectado, estructurales % PIB, Gobierno Central: Presupuesto Original, Presupuesto Modificado, Ejecutado, Gobierno Central Ingresos totales (actuales, proyectados, y estructurales)</w:t>
      </w:r>
      <w:r w:rsidR="00D0613F">
        <w:rPr>
          <w:rFonts w:ascii="Times New Roman" w:hAnsi="Times New Roman" w:cs="Times New Roman"/>
          <w:sz w:val="24"/>
          <w:szCs w:val="24"/>
        </w:rPr>
        <w:t>.</w:t>
      </w:r>
    </w:p>
    <w:p w:rsidR="00D0613F" w:rsidRPr="00D0613F" w:rsidRDefault="00D0613F" w:rsidP="00D0613F">
      <w:pPr>
        <w:spacing w:after="120"/>
        <w:ind w:firstLine="360"/>
        <w:contextualSpacing/>
        <w:jc w:val="both"/>
        <w:rPr>
          <w:rFonts w:ascii="Times New Roman" w:hAnsi="Times New Roman" w:cs="Times New Roman"/>
          <w:sz w:val="24"/>
          <w:szCs w:val="24"/>
        </w:rPr>
      </w:pPr>
    </w:p>
    <w:p w:rsidR="00652016" w:rsidRDefault="00652016" w:rsidP="00D0613F">
      <w:pPr>
        <w:spacing w:after="120"/>
        <w:ind w:firstLine="360"/>
        <w:contextualSpacing/>
        <w:jc w:val="both"/>
        <w:rPr>
          <w:rFonts w:ascii="Times New Roman" w:hAnsi="Times New Roman" w:cs="Times New Roman"/>
          <w:sz w:val="24"/>
          <w:szCs w:val="24"/>
        </w:rPr>
      </w:pPr>
      <w:r w:rsidRPr="00D0613F">
        <w:rPr>
          <w:rFonts w:ascii="Times New Roman" w:hAnsi="Times New Roman" w:cs="Times New Roman"/>
          <w:sz w:val="24"/>
          <w:szCs w:val="24"/>
        </w:rPr>
        <w:t>El componente Sector Público Consolidado contiene las informaciones que se detallan en la hoja Gobierno Central  y  en la hoja Resto del Sector Público no financiero. Además, esta hoja se alimenta de las siguientes hojas de insumo: SF_Balance UPF y SF_Balance CDEEE</w:t>
      </w:r>
      <w:r w:rsidR="00D0613F">
        <w:rPr>
          <w:rFonts w:ascii="Times New Roman" w:hAnsi="Times New Roman" w:cs="Times New Roman"/>
          <w:sz w:val="24"/>
          <w:szCs w:val="24"/>
        </w:rPr>
        <w:t>.</w:t>
      </w:r>
    </w:p>
    <w:p w:rsidR="00D0613F" w:rsidRPr="00D0613F" w:rsidRDefault="00D0613F" w:rsidP="00D0613F">
      <w:pPr>
        <w:spacing w:after="120"/>
        <w:ind w:firstLine="360"/>
        <w:contextualSpacing/>
        <w:jc w:val="both"/>
        <w:rPr>
          <w:rFonts w:ascii="Times New Roman" w:hAnsi="Times New Roman" w:cs="Times New Roman"/>
          <w:sz w:val="24"/>
          <w:szCs w:val="24"/>
        </w:rPr>
      </w:pPr>
    </w:p>
    <w:p w:rsidR="00652016" w:rsidRDefault="00652016" w:rsidP="00D0613F">
      <w:pPr>
        <w:spacing w:after="120"/>
        <w:ind w:firstLine="360"/>
        <w:contextualSpacing/>
        <w:jc w:val="both"/>
        <w:rPr>
          <w:rFonts w:ascii="Times New Roman" w:hAnsi="Times New Roman" w:cs="Times New Roman"/>
          <w:sz w:val="24"/>
          <w:szCs w:val="24"/>
        </w:rPr>
      </w:pPr>
      <w:r w:rsidRPr="00D0613F">
        <w:rPr>
          <w:rFonts w:ascii="Times New Roman" w:hAnsi="Times New Roman" w:cs="Times New Roman"/>
          <w:sz w:val="24"/>
          <w:szCs w:val="24"/>
        </w:rPr>
        <w:t xml:space="preserve">La hoja Gobierno Central cubre únicamente las finanzas del gobierno central. Para su construcción se toman los datos de la hoja de insumo SF_Balance UPF, la hoja insumo </w:t>
      </w:r>
      <w:r w:rsidRPr="00D0613F">
        <w:rPr>
          <w:rFonts w:ascii="Times New Roman" w:hAnsi="Times New Roman" w:cs="Times New Roman"/>
          <w:sz w:val="24"/>
          <w:szCs w:val="24"/>
        </w:rPr>
        <w:lastRenderedPageBreak/>
        <w:t xml:space="preserve">SF_GCTRANSF para el caso específico de las transferencias corrientes al Sector Público y la hoja de insumo SF_Ingresos Desagregados para la apertura de algunos impuestos.  </w:t>
      </w:r>
    </w:p>
    <w:p w:rsidR="002312E8" w:rsidRPr="00D0613F" w:rsidRDefault="002312E8" w:rsidP="00D0613F">
      <w:pPr>
        <w:spacing w:after="120"/>
        <w:ind w:firstLine="360"/>
        <w:contextualSpacing/>
        <w:jc w:val="both"/>
        <w:rPr>
          <w:rFonts w:ascii="Times New Roman" w:hAnsi="Times New Roman" w:cs="Times New Roman"/>
          <w:sz w:val="24"/>
          <w:szCs w:val="24"/>
        </w:rPr>
      </w:pPr>
    </w:p>
    <w:p w:rsidR="00652016" w:rsidRDefault="00652016" w:rsidP="00D0613F">
      <w:pPr>
        <w:spacing w:after="120"/>
        <w:ind w:firstLine="360"/>
        <w:contextualSpacing/>
        <w:jc w:val="both"/>
        <w:rPr>
          <w:rFonts w:ascii="Times New Roman" w:hAnsi="Times New Roman" w:cs="Times New Roman"/>
          <w:sz w:val="24"/>
          <w:szCs w:val="24"/>
        </w:rPr>
      </w:pPr>
      <w:r w:rsidRPr="00D0613F">
        <w:rPr>
          <w:rFonts w:ascii="Times New Roman" w:hAnsi="Times New Roman" w:cs="Times New Roman"/>
          <w:sz w:val="24"/>
          <w:szCs w:val="24"/>
        </w:rPr>
        <w:t xml:space="preserve">A esta hoja le sigue el Gobierno Central expresado en términos del PIB en valores corrientes. Se construye con los datos del Gobierno Central y los datos del PIB en valores corrientes que se extraen  de la hoja Supuestos Generales.    </w:t>
      </w:r>
    </w:p>
    <w:p w:rsidR="00D0613F" w:rsidRPr="00D0613F" w:rsidRDefault="00D0613F" w:rsidP="00D0613F">
      <w:pPr>
        <w:spacing w:after="120"/>
        <w:ind w:firstLine="360"/>
        <w:contextualSpacing/>
        <w:jc w:val="both"/>
        <w:rPr>
          <w:rFonts w:ascii="Times New Roman" w:hAnsi="Times New Roman" w:cs="Times New Roman"/>
          <w:sz w:val="24"/>
          <w:szCs w:val="24"/>
        </w:rPr>
      </w:pPr>
    </w:p>
    <w:p w:rsidR="00652016" w:rsidRDefault="00652016" w:rsidP="00D0613F">
      <w:pPr>
        <w:spacing w:after="120"/>
        <w:ind w:firstLine="360"/>
        <w:contextualSpacing/>
        <w:jc w:val="both"/>
        <w:rPr>
          <w:rFonts w:ascii="Times New Roman" w:hAnsi="Times New Roman" w:cs="Times New Roman"/>
          <w:sz w:val="24"/>
          <w:szCs w:val="24"/>
        </w:rPr>
      </w:pPr>
      <w:r w:rsidRPr="00D0613F">
        <w:rPr>
          <w:rFonts w:ascii="Times New Roman" w:hAnsi="Times New Roman" w:cs="Times New Roman"/>
          <w:sz w:val="24"/>
          <w:szCs w:val="24"/>
        </w:rPr>
        <w:t xml:space="preserve">Con relación a las hojas de las Empresas Públicas No Financieras, las Instituciones Descentralizadas,  los Ayuntamientos y Municipios y  Resto Empresas Públicas No financieras no están disponible. El Ministerio de Hacienda (MH), a través de la Unidad de Análisis y Política Fiscal está en proceso de compilar los datos de esas entidades para posteriormente incorporarlos a las hojas correspondientes. Esto permitirá tener un  sector público consolidado más acabado.  </w:t>
      </w:r>
    </w:p>
    <w:p w:rsidR="00D0613F" w:rsidRPr="00D0613F" w:rsidRDefault="00D0613F" w:rsidP="00D0613F">
      <w:pPr>
        <w:spacing w:after="120"/>
        <w:ind w:firstLine="360"/>
        <w:contextualSpacing/>
        <w:jc w:val="both"/>
        <w:rPr>
          <w:rFonts w:ascii="Times New Roman" w:hAnsi="Times New Roman" w:cs="Times New Roman"/>
          <w:sz w:val="24"/>
          <w:szCs w:val="24"/>
        </w:rPr>
      </w:pPr>
    </w:p>
    <w:p w:rsidR="00652016" w:rsidRPr="00D0613F" w:rsidRDefault="00652016" w:rsidP="00D0613F">
      <w:pPr>
        <w:spacing w:after="120"/>
        <w:ind w:firstLine="360"/>
        <w:contextualSpacing/>
        <w:jc w:val="both"/>
        <w:rPr>
          <w:rFonts w:ascii="Times New Roman" w:hAnsi="Times New Roman" w:cs="Times New Roman"/>
          <w:sz w:val="24"/>
          <w:szCs w:val="24"/>
        </w:rPr>
      </w:pPr>
      <w:r w:rsidRPr="00D0613F">
        <w:rPr>
          <w:rFonts w:ascii="Times New Roman" w:hAnsi="Times New Roman" w:cs="Times New Roman"/>
          <w:sz w:val="24"/>
          <w:szCs w:val="24"/>
        </w:rPr>
        <w:t xml:space="preserve">Dada la fuerte incidencia que tiene el  Sector Eléctrico en las finanzas públicas, se ha incorporado en esta sección una hoja CDEEE que contiene las informaciones de ingreso, gasto y financiamiento de la Corporación Dominicana de Empresas Eléctricas Estatales. Esta hoja  se alimenta de la hoja insumo SF_Balance CDEE y se hacen las transformaciones de lugar ajustadas a la estructura de variables definida para el sector fiscal.  </w:t>
      </w:r>
    </w:p>
    <w:p w:rsidR="00D0613F" w:rsidRDefault="00D0613F" w:rsidP="00D0613F">
      <w:pPr>
        <w:spacing w:after="120"/>
        <w:ind w:firstLine="360"/>
        <w:contextualSpacing/>
        <w:jc w:val="both"/>
        <w:rPr>
          <w:rFonts w:ascii="Times New Roman" w:hAnsi="Times New Roman" w:cs="Times New Roman"/>
          <w:sz w:val="24"/>
          <w:szCs w:val="24"/>
        </w:rPr>
      </w:pPr>
    </w:p>
    <w:p w:rsidR="00D0613F" w:rsidRDefault="00E25426" w:rsidP="00E25426">
      <w:pPr>
        <w:spacing w:after="120"/>
        <w:ind w:firstLine="360"/>
        <w:contextualSpacing/>
        <w:jc w:val="both"/>
        <w:rPr>
          <w:rFonts w:ascii="Times New Roman" w:hAnsi="Times New Roman" w:cs="Times New Roman"/>
          <w:sz w:val="24"/>
          <w:szCs w:val="24"/>
        </w:rPr>
      </w:pPr>
      <w:r w:rsidRPr="00E25426">
        <w:rPr>
          <w:rFonts w:ascii="Times New Roman" w:hAnsi="Times New Roman" w:cs="Times New Roman"/>
          <w:sz w:val="24"/>
          <w:szCs w:val="24"/>
        </w:rPr>
        <w:t>Para analizar el gasto con respecto al ciclo se añadió una hoja de balance estructural.</w:t>
      </w:r>
      <w:r>
        <w:rPr>
          <w:rFonts w:ascii="Times New Roman" w:hAnsi="Times New Roman" w:cs="Times New Roman"/>
          <w:sz w:val="24"/>
          <w:szCs w:val="24"/>
        </w:rPr>
        <w:t xml:space="preserve"> El balance fiscal corregido permite medir bien la posición fiscal y la contribución  a la demanda agregada, así como evaluar la sostenibilidad. Para esto se modificaron los ingresos, ajustándolos como porcentaje del PIB potencial calculado en el sector real en conjunto con el mismo nivel de gasto se obtuvo un nuevo balance estructurado.</w:t>
      </w:r>
    </w:p>
    <w:p w:rsidR="00E25426" w:rsidRPr="00E25426" w:rsidRDefault="00E25426" w:rsidP="00E25426">
      <w:pPr>
        <w:spacing w:after="120"/>
        <w:ind w:firstLine="360"/>
        <w:contextualSpacing/>
        <w:jc w:val="both"/>
        <w:rPr>
          <w:rStyle w:val="hps"/>
          <w:rFonts w:ascii="Arial" w:hAnsi="Arial" w:cs="Arial"/>
          <w:color w:val="222222"/>
        </w:rPr>
      </w:pPr>
    </w:p>
    <w:p w:rsidR="00E25426" w:rsidRDefault="00E25426" w:rsidP="00E25426">
      <w:pPr>
        <w:spacing w:after="120"/>
        <w:ind w:firstLine="360"/>
        <w:contextualSpacing/>
        <w:jc w:val="both"/>
        <w:rPr>
          <w:rFonts w:ascii="Times New Roman" w:hAnsi="Times New Roman" w:cs="Times New Roman"/>
          <w:sz w:val="24"/>
          <w:szCs w:val="24"/>
        </w:rPr>
      </w:pPr>
      <w:r w:rsidRPr="00E25426">
        <w:rPr>
          <w:rFonts w:ascii="Times New Roman" w:hAnsi="Times New Roman" w:cs="Times New Roman"/>
          <w:sz w:val="24"/>
          <w:szCs w:val="24"/>
        </w:rPr>
        <w:t>Una regla fiscal es una que restringe la capacidad de un gobierno de decidir su política fiscal futura.</w:t>
      </w:r>
      <w:r w:rsidR="00950159">
        <w:rPr>
          <w:rFonts w:ascii="Times New Roman" w:hAnsi="Times New Roman" w:cs="Times New Roman"/>
          <w:sz w:val="24"/>
          <w:szCs w:val="24"/>
        </w:rPr>
        <w:t xml:space="preserve"> En general, la regla se expresa como una función de un indicador del desempeño fiscal. Para exponer las consecuencias y/o requerimientos del funcionamiento de una regla fiscal, se creó una hoja de regla fiscal del gobierno central. La unidad decidió vincular las finanzas del gobierno central a una regla de endeudamiento siendo la variable clave la razón de deuda/PIB. Para esto, </w:t>
      </w:r>
      <w:r w:rsidR="00DB00D8">
        <w:rPr>
          <w:rFonts w:ascii="Times New Roman" w:hAnsi="Times New Roman" w:cs="Times New Roman"/>
          <w:sz w:val="24"/>
          <w:szCs w:val="24"/>
        </w:rPr>
        <w:t>la hoja de regla fiscal</w:t>
      </w:r>
      <w:r w:rsidR="00950159">
        <w:rPr>
          <w:rFonts w:ascii="Times New Roman" w:hAnsi="Times New Roman" w:cs="Times New Roman"/>
          <w:sz w:val="24"/>
          <w:szCs w:val="24"/>
        </w:rPr>
        <w:t xml:space="preserve"> está conectada a un modelo de sostenibilidad de deuda </w:t>
      </w:r>
      <w:r w:rsidR="00DB00D8">
        <w:rPr>
          <w:rFonts w:ascii="Times New Roman" w:hAnsi="Times New Roman" w:cs="Times New Roman"/>
          <w:sz w:val="24"/>
          <w:szCs w:val="24"/>
        </w:rPr>
        <w:t>donde se puede visualizar la senda de deuda como porcentaje del PIB. La hoja de regla fiscal relaciona los niveles de ingresos proyectados en el GC y el nivel de balance calculado por el modelo de sostenibilidad de deuda requerido para cumplir la regla elegida, y ajusta el gasto en inversión para cumplir dicho balance primario.</w:t>
      </w:r>
    </w:p>
    <w:p w:rsidR="00E25426" w:rsidRPr="00E25426" w:rsidRDefault="00E25426" w:rsidP="00E25426">
      <w:pPr>
        <w:spacing w:after="120"/>
        <w:ind w:firstLine="360"/>
        <w:contextualSpacing/>
        <w:jc w:val="both"/>
        <w:rPr>
          <w:rFonts w:ascii="Times New Roman" w:hAnsi="Times New Roman" w:cs="Times New Roman"/>
          <w:sz w:val="24"/>
          <w:szCs w:val="24"/>
        </w:rPr>
      </w:pPr>
    </w:p>
    <w:p w:rsidR="00652016" w:rsidRDefault="00652016" w:rsidP="00D0613F">
      <w:pPr>
        <w:spacing w:after="120"/>
        <w:ind w:firstLine="360"/>
        <w:contextualSpacing/>
        <w:jc w:val="both"/>
        <w:rPr>
          <w:rFonts w:ascii="Times New Roman" w:hAnsi="Times New Roman" w:cs="Times New Roman"/>
          <w:sz w:val="24"/>
          <w:szCs w:val="24"/>
        </w:rPr>
      </w:pPr>
      <w:r w:rsidRPr="00D0613F">
        <w:rPr>
          <w:rFonts w:ascii="Times New Roman" w:hAnsi="Times New Roman" w:cs="Times New Roman"/>
          <w:sz w:val="24"/>
          <w:szCs w:val="24"/>
        </w:rPr>
        <w:t xml:space="preserve">La hoja Deuda Pública  contiene los datos referentes a la deuda pública.  Para su construcción se utiliza la hoja insumo SF_EvoDeuda según el año correspondiente, la cual recoge las informaciones de evolución servicio de la deuda pública. Es importante especificar que la hoja insumo SF_EvoDeuda contiene los datos de deuda en moneda extranjera (US$) por lo que se realiza la transformación a moneda local utilizando la Tasa de Cambio Fin de Período ( DOP/US$) extraída de la hoja de Supuestos Generales. </w:t>
      </w:r>
    </w:p>
    <w:p w:rsidR="00D0613F" w:rsidRPr="00D0613F" w:rsidRDefault="00D0613F" w:rsidP="00D0613F">
      <w:pPr>
        <w:spacing w:after="120"/>
        <w:ind w:firstLine="360"/>
        <w:contextualSpacing/>
        <w:jc w:val="both"/>
        <w:rPr>
          <w:rFonts w:ascii="Times New Roman" w:hAnsi="Times New Roman" w:cs="Times New Roman"/>
          <w:sz w:val="24"/>
          <w:szCs w:val="24"/>
        </w:rPr>
      </w:pPr>
    </w:p>
    <w:p w:rsidR="00652016" w:rsidRDefault="00652016" w:rsidP="00D0613F">
      <w:pPr>
        <w:spacing w:after="120"/>
        <w:ind w:firstLine="360"/>
        <w:contextualSpacing/>
        <w:jc w:val="both"/>
        <w:rPr>
          <w:rFonts w:ascii="Arial" w:hAnsi="Arial" w:cs="Arial"/>
          <w:lang w:val="es-DO"/>
        </w:rPr>
      </w:pPr>
      <w:r w:rsidRPr="00D0613F">
        <w:rPr>
          <w:rFonts w:ascii="Times New Roman" w:hAnsi="Times New Roman" w:cs="Times New Roman"/>
          <w:sz w:val="24"/>
          <w:szCs w:val="24"/>
        </w:rPr>
        <w:lastRenderedPageBreak/>
        <w:t>A esta hoja le sigue Deuda Pública expresado en términos del PIB en valores corrientes. Se construye con los datos de Deuda Pública y los datos del PIB en valores corrientes que se extraen  de la hoja Supuestos Generales.</w:t>
      </w:r>
      <w:r w:rsidRPr="005E7EA1">
        <w:rPr>
          <w:rFonts w:ascii="Arial" w:hAnsi="Arial" w:cs="Arial"/>
          <w:lang w:val="es-DO"/>
        </w:rPr>
        <w:t xml:space="preserve">    </w:t>
      </w:r>
    </w:p>
    <w:p w:rsidR="00D0613F" w:rsidRPr="005E7EA1" w:rsidRDefault="00D0613F" w:rsidP="00D0613F">
      <w:pPr>
        <w:spacing w:after="120"/>
        <w:ind w:firstLine="360"/>
        <w:contextualSpacing/>
        <w:jc w:val="both"/>
        <w:rPr>
          <w:rFonts w:ascii="Arial" w:hAnsi="Arial" w:cs="Arial"/>
          <w:lang w:val="es-DO"/>
        </w:rPr>
      </w:pPr>
    </w:p>
    <w:p w:rsidR="00652016" w:rsidRDefault="00652016" w:rsidP="00D0613F">
      <w:pPr>
        <w:spacing w:after="120"/>
        <w:ind w:firstLine="360"/>
        <w:contextualSpacing/>
        <w:jc w:val="both"/>
        <w:rPr>
          <w:rFonts w:ascii="Times New Roman" w:hAnsi="Times New Roman" w:cs="Times New Roman"/>
          <w:sz w:val="24"/>
          <w:szCs w:val="24"/>
        </w:rPr>
      </w:pPr>
      <w:r w:rsidRPr="00D0613F">
        <w:rPr>
          <w:rFonts w:ascii="Times New Roman" w:hAnsi="Times New Roman" w:cs="Times New Roman"/>
          <w:sz w:val="24"/>
          <w:szCs w:val="24"/>
        </w:rPr>
        <w:t xml:space="preserve">Las hojas Presupuesto y Presupuesto (%PIB) contienen las informaciones generales de presupuesto del Estado. Se construyen con la hoja insumo SF_Ejecución Presupuestaria. Estas informaciones son útiles para analizar las posibles desviaciones entre  presupuesto inicial y el presupuesto ejecutado.  </w:t>
      </w:r>
    </w:p>
    <w:p w:rsidR="00D0613F" w:rsidRPr="005E7EA1" w:rsidRDefault="00D0613F" w:rsidP="00D0613F">
      <w:pPr>
        <w:spacing w:after="120"/>
        <w:ind w:firstLine="360"/>
        <w:contextualSpacing/>
        <w:jc w:val="both"/>
        <w:rPr>
          <w:rFonts w:ascii="Arial" w:hAnsi="Arial" w:cs="Arial"/>
          <w:lang w:val="es-DO"/>
        </w:rPr>
      </w:pPr>
    </w:p>
    <w:p w:rsidR="00652016" w:rsidRPr="00DB00D8" w:rsidRDefault="00DB00D8" w:rsidP="00DB00D8">
      <w:pPr>
        <w:spacing w:after="120"/>
        <w:ind w:firstLine="360"/>
        <w:contextualSpacing/>
        <w:jc w:val="both"/>
        <w:rPr>
          <w:rFonts w:ascii="Times New Roman" w:hAnsi="Times New Roman" w:cs="Times New Roman"/>
          <w:sz w:val="24"/>
          <w:szCs w:val="24"/>
        </w:rPr>
      </w:pPr>
      <w:r w:rsidRPr="00DB00D8">
        <w:rPr>
          <w:rFonts w:ascii="Times New Roman" w:hAnsi="Times New Roman" w:cs="Times New Roman"/>
          <w:sz w:val="24"/>
          <w:szCs w:val="24"/>
        </w:rPr>
        <w:t xml:space="preserve">El modelo de sostenibilidad de deuda </w:t>
      </w:r>
      <w:r>
        <w:rPr>
          <w:rFonts w:ascii="Times New Roman" w:hAnsi="Times New Roman" w:cs="Times New Roman"/>
          <w:sz w:val="24"/>
          <w:szCs w:val="24"/>
        </w:rPr>
        <w:t xml:space="preserve">está vinculado a los supuestos generales y los resultados del gobierno central. A través de la identidad de la dinámica de deuda y recogiendo el crecimiento del PIB real, la tasa de interés efectiva, el balance primario del GC, el cambio en el tipo de cambio, la inflación, tasa de interés nominal efectiva, composición de deuda, índice del PIB, ingresos, gasto primario, y la descomposición de las tasas de interés por deuda (externa e interna), </w:t>
      </w:r>
      <w:r w:rsidR="00B47722">
        <w:rPr>
          <w:rFonts w:ascii="Times New Roman" w:hAnsi="Times New Roman" w:cs="Times New Roman"/>
          <w:sz w:val="24"/>
          <w:szCs w:val="24"/>
        </w:rPr>
        <w:t>el modelo traza una senda de deuda.</w:t>
      </w:r>
      <w:r w:rsidR="00B47722">
        <w:rPr>
          <w:rStyle w:val="FootnoteReference"/>
          <w:rFonts w:ascii="Times New Roman" w:hAnsi="Times New Roman" w:cs="Times New Roman"/>
          <w:sz w:val="24"/>
          <w:szCs w:val="24"/>
        </w:rPr>
        <w:footnoteReference w:id="3"/>
      </w:r>
      <w:r>
        <w:rPr>
          <w:rFonts w:ascii="Times New Roman" w:hAnsi="Times New Roman" w:cs="Times New Roman"/>
          <w:sz w:val="24"/>
          <w:szCs w:val="24"/>
        </w:rPr>
        <w:t xml:space="preserve"> </w:t>
      </w:r>
    </w:p>
    <w:p w:rsidR="00652016" w:rsidRPr="002312E8" w:rsidRDefault="00D0613F" w:rsidP="006E1F36">
      <w:pPr>
        <w:pStyle w:val="Heading2"/>
        <w:rPr>
          <w:rFonts w:ascii="Times New Roman" w:hAnsi="Times New Roman" w:cs="Times New Roman"/>
          <w:sz w:val="26"/>
          <w:lang w:val="es-DO"/>
        </w:rPr>
      </w:pPr>
      <w:bookmarkStart w:id="25" w:name="_Toc398801706"/>
      <w:r w:rsidRPr="002312E8">
        <w:rPr>
          <w:rFonts w:ascii="Times New Roman" w:hAnsi="Times New Roman" w:cs="Times New Roman"/>
          <w:sz w:val="26"/>
          <w:lang w:val="es-DO"/>
        </w:rPr>
        <w:t xml:space="preserve">V.B. </w:t>
      </w:r>
      <w:r w:rsidR="00652016" w:rsidRPr="002312E8">
        <w:rPr>
          <w:rFonts w:ascii="Times New Roman" w:hAnsi="Times New Roman" w:cs="Times New Roman"/>
          <w:sz w:val="26"/>
          <w:lang w:val="es-DO"/>
        </w:rPr>
        <w:t>Período comprendido</w:t>
      </w:r>
      <w:bookmarkEnd w:id="25"/>
    </w:p>
    <w:p w:rsidR="00D0613F" w:rsidRPr="00D0613F" w:rsidRDefault="00D0613F" w:rsidP="00D0613F">
      <w:pPr>
        <w:pStyle w:val="NoSpacing"/>
        <w:rPr>
          <w:lang w:val="es-DO"/>
        </w:rPr>
      </w:pPr>
    </w:p>
    <w:p w:rsidR="00652016" w:rsidRPr="00D0613F" w:rsidRDefault="00652016" w:rsidP="00D0613F">
      <w:pPr>
        <w:spacing w:after="120"/>
        <w:ind w:firstLine="360"/>
        <w:contextualSpacing/>
        <w:jc w:val="both"/>
        <w:rPr>
          <w:rFonts w:ascii="Times New Roman" w:hAnsi="Times New Roman" w:cs="Times New Roman"/>
          <w:sz w:val="24"/>
          <w:szCs w:val="24"/>
        </w:rPr>
      </w:pPr>
      <w:r w:rsidRPr="00D0613F">
        <w:rPr>
          <w:rFonts w:ascii="Times New Roman" w:hAnsi="Times New Roman" w:cs="Times New Roman"/>
          <w:sz w:val="24"/>
          <w:szCs w:val="24"/>
        </w:rPr>
        <w:t xml:space="preserve">El Sector Fiscal comprende dos períodos: Un periodo histórico que inicia en el año 2009 y se mantiene hasta el año 2013. Y un período proyectado que comprende el año 2014 hasta el año 2018. </w:t>
      </w:r>
    </w:p>
    <w:p w:rsidR="00652016" w:rsidRPr="002312E8" w:rsidRDefault="00D0613F" w:rsidP="006E1F36">
      <w:pPr>
        <w:pStyle w:val="Heading2"/>
        <w:rPr>
          <w:rFonts w:ascii="Times New Roman" w:hAnsi="Times New Roman" w:cs="Times New Roman"/>
          <w:sz w:val="26"/>
          <w:lang w:val="es-DO"/>
        </w:rPr>
      </w:pPr>
      <w:bookmarkStart w:id="26" w:name="_Toc398801707"/>
      <w:r w:rsidRPr="002312E8">
        <w:rPr>
          <w:rFonts w:ascii="Times New Roman" w:hAnsi="Times New Roman" w:cs="Times New Roman"/>
          <w:sz w:val="26"/>
          <w:lang w:val="es-DO"/>
        </w:rPr>
        <w:t xml:space="preserve">V.C. </w:t>
      </w:r>
      <w:r w:rsidR="00652016" w:rsidRPr="002312E8">
        <w:rPr>
          <w:rFonts w:ascii="Times New Roman" w:hAnsi="Times New Roman" w:cs="Times New Roman"/>
          <w:sz w:val="26"/>
          <w:lang w:val="es-DO"/>
        </w:rPr>
        <w:t>Fuente de datos</w:t>
      </w:r>
      <w:bookmarkEnd w:id="26"/>
    </w:p>
    <w:p w:rsidR="00D0613F" w:rsidRPr="00D0613F" w:rsidRDefault="00D0613F" w:rsidP="00D0613F">
      <w:pPr>
        <w:pStyle w:val="NoSpacing"/>
        <w:rPr>
          <w:lang w:val="es-DO"/>
        </w:rPr>
      </w:pPr>
    </w:p>
    <w:p w:rsidR="00652016" w:rsidRPr="00D0613F" w:rsidRDefault="00652016" w:rsidP="00D0613F">
      <w:pPr>
        <w:spacing w:after="120"/>
        <w:ind w:firstLine="360"/>
        <w:contextualSpacing/>
        <w:jc w:val="both"/>
        <w:rPr>
          <w:rFonts w:ascii="Times New Roman" w:hAnsi="Times New Roman" w:cs="Times New Roman"/>
          <w:sz w:val="24"/>
          <w:szCs w:val="24"/>
        </w:rPr>
      </w:pPr>
      <w:r w:rsidRPr="00D0613F">
        <w:rPr>
          <w:rFonts w:ascii="Times New Roman" w:hAnsi="Times New Roman" w:cs="Times New Roman"/>
          <w:sz w:val="24"/>
          <w:szCs w:val="24"/>
        </w:rPr>
        <w:t xml:space="preserve">La fuente de datos para el Sector Fiscal, son el Balance Fiscal realizado en la Unidad de Análisis y Política Fiscal del Ministerio de Hacienda y la Tabla 8. </w:t>
      </w:r>
    </w:p>
    <w:p w:rsidR="00652016" w:rsidRPr="002312E8" w:rsidRDefault="00115F41" w:rsidP="006E1F36">
      <w:pPr>
        <w:pStyle w:val="Heading2"/>
        <w:rPr>
          <w:rFonts w:ascii="Times New Roman" w:hAnsi="Times New Roman" w:cs="Times New Roman"/>
          <w:sz w:val="26"/>
          <w:lang w:val="es-DO"/>
        </w:rPr>
      </w:pPr>
      <w:bookmarkStart w:id="27" w:name="_Toc398801708"/>
      <w:r w:rsidRPr="002312E8">
        <w:rPr>
          <w:rFonts w:ascii="Times New Roman" w:hAnsi="Times New Roman" w:cs="Times New Roman"/>
          <w:sz w:val="26"/>
          <w:lang w:val="es-DO"/>
        </w:rPr>
        <w:t xml:space="preserve">V.D. </w:t>
      </w:r>
      <w:r w:rsidR="00652016" w:rsidRPr="002312E8">
        <w:rPr>
          <w:rFonts w:ascii="Times New Roman" w:hAnsi="Times New Roman" w:cs="Times New Roman"/>
          <w:sz w:val="26"/>
          <w:lang w:val="es-DO"/>
        </w:rPr>
        <w:t>Obtención de datos</w:t>
      </w:r>
      <w:bookmarkEnd w:id="27"/>
    </w:p>
    <w:p w:rsidR="00D0613F" w:rsidRPr="00D0613F" w:rsidRDefault="00D0613F" w:rsidP="00D0613F">
      <w:pPr>
        <w:pStyle w:val="NoSpacing"/>
        <w:rPr>
          <w:lang w:val="es-DO"/>
        </w:rPr>
      </w:pPr>
    </w:p>
    <w:p w:rsidR="00652016" w:rsidRDefault="00652016" w:rsidP="00D0613F">
      <w:pPr>
        <w:spacing w:after="120"/>
        <w:ind w:firstLine="360"/>
        <w:contextualSpacing/>
        <w:jc w:val="both"/>
        <w:rPr>
          <w:rFonts w:ascii="Times New Roman" w:hAnsi="Times New Roman" w:cs="Times New Roman"/>
          <w:sz w:val="24"/>
          <w:szCs w:val="24"/>
        </w:rPr>
      </w:pPr>
      <w:r w:rsidRPr="00D0613F">
        <w:rPr>
          <w:rFonts w:ascii="Times New Roman" w:hAnsi="Times New Roman" w:cs="Times New Roman"/>
          <w:sz w:val="24"/>
          <w:szCs w:val="24"/>
        </w:rPr>
        <w:t xml:space="preserve">Los datos utilizados como insumos se obtienen del: </w:t>
      </w:r>
    </w:p>
    <w:p w:rsidR="00D0613F" w:rsidRPr="00D0613F" w:rsidRDefault="00D0613F" w:rsidP="00D0613F">
      <w:pPr>
        <w:spacing w:after="120"/>
        <w:ind w:firstLine="360"/>
        <w:contextualSpacing/>
        <w:jc w:val="both"/>
        <w:rPr>
          <w:rFonts w:ascii="Times New Roman" w:hAnsi="Times New Roman" w:cs="Times New Roman"/>
          <w:sz w:val="24"/>
          <w:szCs w:val="24"/>
        </w:rPr>
      </w:pPr>
    </w:p>
    <w:p w:rsidR="00652016" w:rsidRDefault="00652016" w:rsidP="00D0613F">
      <w:pPr>
        <w:spacing w:after="120"/>
        <w:ind w:firstLine="360"/>
        <w:contextualSpacing/>
        <w:jc w:val="both"/>
        <w:rPr>
          <w:rFonts w:ascii="Times New Roman" w:hAnsi="Times New Roman" w:cs="Times New Roman"/>
          <w:sz w:val="24"/>
          <w:szCs w:val="24"/>
        </w:rPr>
      </w:pPr>
      <w:r w:rsidRPr="00D0613F">
        <w:rPr>
          <w:rFonts w:ascii="Times New Roman" w:hAnsi="Times New Roman" w:cs="Times New Roman"/>
          <w:sz w:val="24"/>
          <w:szCs w:val="24"/>
        </w:rPr>
        <w:t xml:space="preserve">Balance Fiscal UPF es elaborado en el Ministerio de Hacienda por la Unidad de Análisis y Política Fiscal. Los datos se obtienen a partir de las actualizaciones disponibles en dicha unidad. </w:t>
      </w:r>
    </w:p>
    <w:p w:rsidR="00115F41" w:rsidRPr="00D0613F" w:rsidRDefault="00115F41" w:rsidP="00D0613F">
      <w:pPr>
        <w:spacing w:after="120"/>
        <w:ind w:firstLine="360"/>
        <w:contextualSpacing/>
        <w:jc w:val="both"/>
        <w:rPr>
          <w:rFonts w:ascii="Times New Roman" w:hAnsi="Times New Roman" w:cs="Times New Roman"/>
          <w:sz w:val="24"/>
          <w:szCs w:val="24"/>
        </w:rPr>
      </w:pPr>
    </w:p>
    <w:p w:rsidR="00652016" w:rsidRDefault="00652016" w:rsidP="00115F41">
      <w:pPr>
        <w:spacing w:after="120"/>
        <w:ind w:firstLine="360"/>
        <w:contextualSpacing/>
        <w:jc w:val="both"/>
        <w:rPr>
          <w:rFonts w:ascii="Times New Roman" w:hAnsi="Times New Roman" w:cs="Times New Roman"/>
          <w:sz w:val="24"/>
          <w:szCs w:val="24"/>
        </w:rPr>
      </w:pPr>
      <w:r w:rsidRPr="00115F41">
        <w:rPr>
          <w:rFonts w:ascii="Times New Roman" w:hAnsi="Times New Roman" w:cs="Times New Roman"/>
          <w:sz w:val="24"/>
          <w:szCs w:val="24"/>
        </w:rPr>
        <w:t xml:space="preserve"> Las Transferencias Corrientes al Sector Público se obtienen de manera desagregada al generar un reporte a través del Sistema Integrado de Gestión Financiera (SIGEF) del Ministerio de Hacienda. </w:t>
      </w:r>
    </w:p>
    <w:p w:rsidR="00115F41" w:rsidRPr="00115F41" w:rsidRDefault="00115F41" w:rsidP="00115F41">
      <w:pPr>
        <w:spacing w:after="120"/>
        <w:ind w:firstLine="360"/>
        <w:contextualSpacing/>
        <w:jc w:val="both"/>
        <w:rPr>
          <w:rFonts w:ascii="Times New Roman" w:hAnsi="Times New Roman" w:cs="Times New Roman"/>
          <w:sz w:val="24"/>
          <w:szCs w:val="24"/>
        </w:rPr>
      </w:pPr>
    </w:p>
    <w:p w:rsidR="00652016" w:rsidRDefault="00652016" w:rsidP="00115F41">
      <w:pPr>
        <w:spacing w:after="120"/>
        <w:ind w:firstLine="360"/>
        <w:contextualSpacing/>
        <w:jc w:val="both"/>
        <w:rPr>
          <w:rFonts w:ascii="Times New Roman" w:hAnsi="Times New Roman" w:cs="Times New Roman"/>
          <w:sz w:val="24"/>
          <w:szCs w:val="24"/>
        </w:rPr>
      </w:pPr>
      <w:r w:rsidRPr="00115F41">
        <w:rPr>
          <w:rFonts w:ascii="Times New Roman" w:hAnsi="Times New Roman" w:cs="Times New Roman"/>
          <w:sz w:val="24"/>
          <w:szCs w:val="24"/>
        </w:rPr>
        <w:t xml:space="preserve">Los ingresos Fiscales Desagregados se generan en el Ministerio de Hacienda por la Dirección General de Política y Legislación Tributaria y están disponibles en la página Web de dicha dirección. </w:t>
      </w:r>
    </w:p>
    <w:p w:rsidR="00115F41" w:rsidRPr="00115F41" w:rsidRDefault="00115F41" w:rsidP="00115F41">
      <w:pPr>
        <w:spacing w:after="120"/>
        <w:ind w:firstLine="360"/>
        <w:contextualSpacing/>
        <w:jc w:val="both"/>
        <w:rPr>
          <w:rFonts w:ascii="Times New Roman" w:hAnsi="Times New Roman" w:cs="Times New Roman"/>
          <w:sz w:val="24"/>
          <w:szCs w:val="24"/>
        </w:rPr>
      </w:pPr>
    </w:p>
    <w:p w:rsidR="00652016" w:rsidRDefault="00652016" w:rsidP="00115F41">
      <w:pPr>
        <w:spacing w:after="120"/>
        <w:ind w:firstLine="360"/>
        <w:contextualSpacing/>
        <w:jc w:val="both"/>
        <w:rPr>
          <w:rFonts w:ascii="Times New Roman" w:hAnsi="Times New Roman" w:cs="Times New Roman"/>
          <w:sz w:val="24"/>
          <w:szCs w:val="24"/>
        </w:rPr>
      </w:pPr>
      <w:r w:rsidRPr="00115F41">
        <w:rPr>
          <w:rFonts w:ascii="Times New Roman" w:hAnsi="Times New Roman" w:cs="Times New Roman"/>
          <w:sz w:val="24"/>
          <w:szCs w:val="24"/>
        </w:rPr>
        <w:lastRenderedPageBreak/>
        <w:t>El Balance CDEE es elaborado en el Ministerio de Hacienda por la Unidad de Análisis y Política Fiscal utilizando la Tabla 8.</w:t>
      </w:r>
    </w:p>
    <w:p w:rsidR="00115F41" w:rsidRPr="00115F41" w:rsidRDefault="00115F41" w:rsidP="00115F41">
      <w:pPr>
        <w:spacing w:after="120"/>
        <w:ind w:firstLine="360"/>
        <w:contextualSpacing/>
        <w:jc w:val="both"/>
        <w:rPr>
          <w:rFonts w:ascii="Times New Roman" w:hAnsi="Times New Roman" w:cs="Times New Roman"/>
          <w:sz w:val="24"/>
          <w:szCs w:val="24"/>
        </w:rPr>
      </w:pPr>
    </w:p>
    <w:p w:rsidR="00652016" w:rsidRPr="00115F41" w:rsidRDefault="00652016" w:rsidP="00115F41">
      <w:pPr>
        <w:spacing w:after="120"/>
        <w:ind w:firstLine="360"/>
        <w:contextualSpacing/>
        <w:jc w:val="both"/>
        <w:rPr>
          <w:rFonts w:ascii="Times New Roman" w:hAnsi="Times New Roman" w:cs="Times New Roman"/>
          <w:sz w:val="24"/>
          <w:szCs w:val="24"/>
        </w:rPr>
      </w:pPr>
      <w:r w:rsidRPr="00115F41">
        <w:rPr>
          <w:rFonts w:ascii="Times New Roman" w:hAnsi="Times New Roman" w:cs="Times New Roman"/>
          <w:sz w:val="24"/>
          <w:szCs w:val="24"/>
        </w:rPr>
        <w:t>El Reporte Evolución Servicio Deuda Pública se realiza en el Ministerio de Hacienda a través de la Dirección General de Crédito Público. Los datos están disponibles en la página Web de dicha dirección.</w:t>
      </w:r>
    </w:p>
    <w:p w:rsidR="00652016" w:rsidRPr="002312E8" w:rsidRDefault="00115F41" w:rsidP="006E1F36">
      <w:pPr>
        <w:pStyle w:val="Heading2"/>
        <w:rPr>
          <w:rFonts w:ascii="Times New Roman" w:hAnsi="Times New Roman" w:cs="Times New Roman"/>
          <w:sz w:val="26"/>
          <w:lang w:val="es-DO"/>
        </w:rPr>
      </w:pPr>
      <w:bookmarkStart w:id="28" w:name="_Toc398801709"/>
      <w:r w:rsidRPr="002312E8">
        <w:rPr>
          <w:rFonts w:ascii="Times New Roman" w:hAnsi="Times New Roman" w:cs="Times New Roman"/>
          <w:sz w:val="26"/>
          <w:lang w:val="es-DO"/>
        </w:rPr>
        <w:t xml:space="preserve">V.E. </w:t>
      </w:r>
      <w:r w:rsidR="00652016" w:rsidRPr="002312E8">
        <w:rPr>
          <w:rFonts w:ascii="Times New Roman" w:hAnsi="Times New Roman" w:cs="Times New Roman"/>
          <w:sz w:val="26"/>
          <w:lang w:val="es-DO"/>
        </w:rPr>
        <w:t>Frecuencia de producción de datos</w:t>
      </w:r>
      <w:bookmarkEnd w:id="28"/>
    </w:p>
    <w:p w:rsidR="00115F41" w:rsidRPr="00115F41" w:rsidRDefault="00115F41" w:rsidP="00115F41">
      <w:pPr>
        <w:pStyle w:val="NoSpacing"/>
        <w:rPr>
          <w:lang w:val="es-DO"/>
        </w:rPr>
      </w:pPr>
    </w:p>
    <w:p w:rsidR="00077779" w:rsidRPr="00077779" w:rsidRDefault="00652016" w:rsidP="00077779">
      <w:pPr>
        <w:spacing w:after="120"/>
        <w:ind w:firstLine="360"/>
        <w:contextualSpacing/>
        <w:jc w:val="both"/>
        <w:rPr>
          <w:rFonts w:ascii="Times New Roman" w:hAnsi="Times New Roman" w:cs="Times New Roman"/>
          <w:sz w:val="24"/>
          <w:szCs w:val="24"/>
        </w:rPr>
      </w:pPr>
      <w:r w:rsidRPr="00115F41">
        <w:rPr>
          <w:rFonts w:ascii="Times New Roman" w:hAnsi="Times New Roman" w:cs="Times New Roman"/>
          <w:sz w:val="24"/>
          <w:szCs w:val="24"/>
        </w:rPr>
        <w:t>La frecuencia de producción de los datos se detalla en el siguiente cuadro:</w:t>
      </w:r>
      <w:r w:rsidR="00077779">
        <w:rPr>
          <w:rFonts w:ascii="Arial" w:hAnsi="Arial" w:cs="Arial"/>
          <w:lang w:val="es-DO"/>
        </w:rPr>
        <w:tab/>
      </w:r>
    </w:p>
    <w:p w:rsidR="00652016" w:rsidRPr="005E7EA1" w:rsidRDefault="00077779" w:rsidP="00652016">
      <w:pPr>
        <w:spacing w:line="360" w:lineRule="auto"/>
        <w:jc w:val="center"/>
        <w:rPr>
          <w:rFonts w:ascii="Arial" w:hAnsi="Arial" w:cs="Arial"/>
          <w:lang w:val="es-DO"/>
        </w:rPr>
      </w:pPr>
      <w:r w:rsidRPr="00077779">
        <w:rPr>
          <w:noProof/>
          <w:lang w:val="en-US"/>
        </w:rPr>
        <w:drawing>
          <wp:inline distT="0" distB="0" distL="0" distR="0">
            <wp:extent cx="5731510" cy="486262"/>
            <wp:effectExtent l="19050" t="0" r="254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731510" cy="486262"/>
                    </a:xfrm>
                    <a:prstGeom prst="rect">
                      <a:avLst/>
                    </a:prstGeom>
                    <a:noFill/>
                    <a:ln w="9525">
                      <a:noFill/>
                      <a:miter lim="800000"/>
                      <a:headEnd/>
                      <a:tailEnd/>
                    </a:ln>
                  </pic:spPr>
                </pic:pic>
              </a:graphicData>
            </a:graphic>
          </wp:inline>
        </w:drawing>
      </w:r>
    </w:p>
    <w:p w:rsidR="00652016" w:rsidRPr="002312E8" w:rsidRDefault="00115F41" w:rsidP="006E1F36">
      <w:pPr>
        <w:pStyle w:val="Heading2"/>
        <w:rPr>
          <w:rFonts w:ascii="Times New Roman" w:hAnsi="Times New Roman" w:cs="Times New Roman"/>
          <w:sz w:val="26"/>
          <w:lang w:val="es-DO"/>
        </w:rPr>
      </w:pPr>
      <w:bookmarkStart w:id="29" w:name="_Toc398801710"/>
      <w:r w:rsidRPr="002312E8">
        <w:rPr>
          <w:rFonts w:ascii="Times New Roman" w:hAnsi="Times New Roman" w:cs="Times New Roman"/>
          <w:sz w:val="26"/>
          <w:lang w:val="es-DO"/>
        </w:rPr>
        <w:t>V</w:t>
      </w:r>
      <w:r w:rsidR="002312E8" w:rsidRPr="002312E8">
        <w:rPr>
          <w:rFonts w:ascii="Times New Roman" w:hAnsi="Times New Roman" w:cs="Times New Roman"/>
          <w:sz w:val="26"/>
          <w:lang w:val="es-DO"/>
        </w:rPr>
        <w:t>.F</w:t>
      </w:r>
      <w:r w:rsidRPr="002312E8">
        <w:rPr>
          <w:rFonts w:ascii="Times New Roman" w:hAnsi="Times New Roman" w:cs="Times New Roman"/>
          <w:sz w:val="26"/>
          <w:lang w:val="es-DO"/>
        </w:rPr>
        <w:t xml:space="preserve">. </w:t>
      </w:r>
      <w:r w:rsidR="00652016" w:rsidRPr="002312E8">
        <w:rPr>
          <w:rFonts w:ascii="Times New Roman" w:hAnsi="Times New Roman" w:cs="Times New Roman"/>
          <w:sz w:val="26"/>
          <w:lang w:val="es-DO"/>
        </w:rPr>
        <w:t>Proyecciones</w:t>
      </w:r>
      <w:bookmarkEnd w:id="29"/>
      <w:r w:rsidR="00652016" w:rsidRPr="002312E8">
        <w:rPr>
          <w:rFonts w:ascii="Times New Roman" w:hAnsi="Times New Roman" w:cs="Times New Roman"/>
          <w:sz w:val="26"/>
          <w:lang w:val="es-DO"/>
        </w:rPr>
        <w:t xml:space="preserve"> </w:t>
      </w:r>
    </w:p>
    <w:p w:rsidR="00115F41" w:rsidRDefault="00115F41" w:rsidP="00115F41">
      <w:pPr>
        <w:spacing w:after="120"/>
        <w:ind w:firstLine="360"/>
        <w:contextualSpacing/>
        <w:jc w:val="both"/>
        <w:rPr>
          <w:rFonts w:ascii="Times New Roman" w:hAnsi="Times New Roman" w:cs="Times New Roman"/>
          <w:b/>
          <w:sz w:val="24"/>
          <w:szCs w:val="24"/>
        </w:rPr>
      </w:pPr>
    </w:p>
    <w:p w:rsidR="00652016" w:rsidRDefault="00B47722" w:rsidP="00115F41">
      <w:pPr>
        <w:spacing w:after="120"/>
        <w:ind w:firstLine="360"/>
        <w:contextualSpacing/>
        <w:jc w:val="both"/>
        <w:rPr>
          <w:rFonts w:ascii="Times New Roman" w:hAnsi="Times New Roman" w:cs="Times New Roman"/>
          <w:sz w:val="24"/>
          <w:szCs w:val="24"/>
        </w:rPr>
      </w:pPr>
      <w:r>
        <w:rPr>
          <w:rFonts w:ascii="Times New Roman" w:hAnsi="Times New Roman" w:cs="Times New Roman"/>
          <w:sz w:val="24"/>
          <w:szCs w:val="24"/>
        </w:rPr>
        <w:t>El sector fiscal cuenta con los estimados según el presupuesto para el año t</w:t>
      </w:r>
      <w:r w:rsidRPr="00B47722">
        <w:rPr>
          <w:rFonts w:ascii="Times New Roman" w:hAnsi="Times New Roman" w:cs="Times New Roman"/>
          <w:sz w:val="24"/>
          <w:szCs w:val="24"/>
          <w:vertAlign w:val="subscript"/>
        </w:rPr>
        <w:t>+1</w:t>
      </w:r>
      <w:r>
        <w:rPr>
          <w:rFonts w:ascii="Times New Roman" w:hAnsi="Times New Roman" w:cs="Times New Roman"/>
          <w:sz w:val="24"/>
          <w:szCs w:val="24"/>
          <w:vertAlign w:val="subscript"/>
        </w:rPr>
        <w:t xml:space="preserve"> </w:t>
      </w:r>
      <w:r w:rsidRPr="00B47722">
        <w:rPr>
          <w:rFonts w:ascii="Times New Roman" w:hAnsi="Times New Roman" w:cs="Times New Roman"/>
          <w:sz w:val="24"/>
          <w:szCs w:val="24"/>
        </w:rPr>
        <w:t>y</w:t>
      </w:r>
      <w:r>
        <w:rPr>
          <w:rFonts w:ascii="Times New Roman" w:hAnsi="Times New Roman" w:cs="Times New Roman"/>
          <w:sz w:val="24"/>
          <w:szCs w:val="24"/>
        </w:rPr>
        <w:t xml:space="preserve"> los consecuentes vienen como proyecciones que utilizan como supuestos los supuestos generales del marco macro fiscal.</w:t>
      </w:r>
    </w:p>
    <w:p w:rsidR="00B47722" w:rsidRDefault="00B47722" w:rsidP="00115F41">
      <w:pPr>
        <w:spacing w:after="120"/>
        <w:ind w:firstLine="360"/>
        <w:contextualSpacing/>
        <w:jc w:val="both"/>
        <w:rPr>
          <w:rFonts w:ascii="Times New Roman" w:hAnsi="Times New Roman" w:cs="Times New Roman"/>
          <w:sz w:val="24"/>
          <w:szCs w:val="24"/>
        </w:rPr>
      </w:pPr>
    </w:p>
    <w:p w:rsidR="00B47722" w:rsidRDefault="00B47722" w:rsidP="00115F41">
      <w:pPr>
        <w:spacing w:after="120"/>
        <w:ind w:firstLine="360"/>
        <w:contextualSpacing/>
        <w:jc w:val="both"/>
        <w:rPr>
          <w:rFonts w:ascii="Times New Roman" w:hAnsi="Times New Roman" w:cs="Times New Roman"/>
          <w:sz w:val="24"/>
          <w:szCs w:val="24"/>
        </w:rPr>
      </w:pPr>
      <w:r>
        <w:rPr>
          <w:rFonts w:ascii="Times New Roman" w:hAnsi="Times New Roman" w:cs="Times New Roman"/>
          <w:sz w:val="24"/>
          <w:szCs w:val="24"/>
        </w:rPr>
        <w:t>Para proyectar los ingresos por impuestos se utilizó la tasa de tributación efectiva histórica como porcentaje del PIB en cada desglose y se mantuvo el ratio hacia el futuro. Los ingresos por minería fueron calculados por la Dirección de Política y Legislación Tributaria a partir de datos de la empresa minera Barrick Gold PVDC. Los otros ingresos se proyectaron al menor nivel, resultando como un el promedio histórica de los últimos dos años ajustados por el crecimiento del PIB nominal.</w:t>
      </w:r>
      <w:r w:rsidR="00101D7B">
        <w:rPr>
          <w:rFonts w:ascii="Times New Roman" w:hAnsi="Times New Roman" w:cs="Times New Roman"/>
          <w:sz w:val="24"/>
          <w:szCs w:val="24"/>
        </w:rPr>
        <w:t xml:space="preserve"> La misma metodología se utilizó para las donaciones recibidas.</w:t>
      </w:r>
    </w:p>
    <w:p w:rsidR="00101D7B" w:rsidRDefault="00101D7B" w:rsidP="00115F41">
      <w:pPr>
        <w:spacing w:after="120"/>
        <w:ind w:firstLine="360"/>
        <w:contextualSpacing/>
        <w:jc w:val="both"/>
        <w:rPr>
          <w:rFonts w:ascii="Times New Roman" w:hAnsi="Times New Roman" w:cs="Times New Roman"/>
          <w:sz w:val="24"/>
          <w:szCs w:val="24"/>
        </w:rPr>
      </w:pPr>
    </w:p>
    <w:p w:rsidR="00101D7B" w:rsidRDefault="00101D7B" w:rsidP="00115F41">
      <w:pPr>
        <w:spacing w:after="120"/>
        <w:ind w:firstLine="360"/>
        <w:contextualSpacing/>
        <w:jc w:val="both"/>
        <w:rPr>
          <w:rFonts w:ascii="Times New Roman" w:hAnsi="Times New Roman" w:cs="Times New Roman"/>
          <w:sz w:val="24"/>
          <w:szCs w:val="24"/>
        </w:rPr>
      </w:pPr>
      <w:r>
        <w:rPr>
          <w:rFonts w:ascii="Times New Roman" w:hAnsi="Times New Roman" w:cs="Times New Roman"/>
          <w:sz w:val="24"/>
          <w:szCs w:val="24"/>
        </w:rPr>
        <w:t>Los gastos totales vienen como sumatoria de las proyecciones del gasto corriente y el gasto de capital. El gasto corriente se proyectó como un promedio histórico de los últimos dos años y la apertura de sueldos y salarios, y compra de bienes y servicios se proyectaron. Los sueldos y salarios crecen al ritmo de la inflación mientras que las compras de bienes y servicios se mantuvieron como un ratio fijo del PIB al ser una variable relativamente estable en el tiempo (excluyendo el año 2012).  Por igual, el gasto de capital es estable (excluyendo el año 2012) por lo que se mantuvo constante como un ratio del porcentaje del PIB.</w:t>
      </w:r>
    </w:p>
    <w:p w:rsidR="00101D7B" w:rsidRDefault="00101D7B" w:rsidP="00115F41">
      <w:pPr>
        <w:spacing w:after="120"/>
        <w:ind w:firstLine="360"/>
        <w:contextualSpacing/>
        <w:jc w:val="both"/>
        <w:rPr>
          <w:rFonts w:ascii="Times New Roman" w:hAnsi="Times New Roman" w:cs="Times New Roman"/>
          <w:sz w:val="24"/>
          <w:szCs w:val="24"/>
        </w:rPr>
      </w:pPr>
    </w:p>
    <w:p w:rsidR="00101D7B" w:rsidRPr="00B47722" w:rsidRDefault="00101D7B" w:rsidP="00115F41">
      <w:pPr>
        <w:spacing w:after="120"/>
        <w:ind w:firstLine="360"/>
        <w:contextualSpacing/>
        <w:jc w:val="both"/>
        <w:rPr>
          <w:rFonts w:ascii="Times New Roman" w:hAnsi="Times New Roman" w:cs="Times New Roman"/>
          <w:sz w:val="24"/>
          <w:szCs w:val="24"/>
        </w:rPr>
      </w:pPr>
      <w:r>
        <w:rPr>
          <w:rFonts w:ascii="Times New Roman" w:hAnsi="Times New Roman" w:cs="Times New Roman"/>
          <w:sz w:val="24"/>
          <w:szCs w:val="24"/>
        </w:rPr>
        <w:t>A partir de estas proyecciones vienen como resultado el balance p</w:t>
      </w:r>
      <w:r w:rsidR="006F4C1C">
        <w:rPr>
          <w:rFonts w:ascii="Times New Roman" w:hAnsi="Times New Roman" w:cs="Times New Roman"/>
          <w:sz w:val="24"/>
          <w:szCs w:val="24"/>
        </w:rPr>
        <w:t xml:space="preserve">rimario y el balance global del gobierno central. De forma conceptual, el balance del resto del sector público no financiero excluyendo el sector eléctrico debe ser cero hacia el futuro por lo que el balance del SPNF incluyendo el sector eléctrico resulta de la proyección del balance del sector eléctrico que es igual al promedio de los últimos dos años como porcentaje del PIB. Obteniendo el resultado del SPNF y sumando el balance cuasi fiscal, cuyos valores en el tiempo son estables y se mantuvieron como un ratio del PIB, se obtiene por construcción el Balance del Sector Público Consolidado. </w:t>
      </w:r>
    </w:p>
    <w:p w:rsidR="00970E74" w:rsidRPr="00115F41" w:rsidRDefault="00970E74" w:rsidP="00FE551A">
      <w:pPr>
        <w:pStyle w:val="Heading1"/>
        <w:numPr>
          <w:ilvl w:val="0"/>
          <w:numId w:val="4"/>
        </w:numPr>
        <w:ind w:left="360" w:hanging="360"/>
        <w:rPr>
          <w:rFonts w:ascii="Times New Roman" w:hAnsi="Times New Roman" w:cs="Times New Roman"/>
          <w:sz w:val="28"/>
        </w:rPr>
      </w:pPr>
      <w:bookmarkStart w:id="30" w:name="_Toc398801711"/>
      <w:r w:rsidRPr="00115F41">
        <w:rPr>
          <w:rFonts w:ascii="Times New Roman" w:hAnsi="Times New Roman" w:cs="Times New Roman"/>
          <w:sz w:val="28"/>
        </w:rPr>
        <w:lastRenderedPageBreak/>
        <w:t>S</w:t>
      </w:r>
      <w:r w:rsidR="00FE551A">
        <w:rPr>
          <w:rFonts w:ascii="Times New Roman" w:hAnsi="Times New Roman" w:cs="Times New Roman"/>
          <w:sz w:val="28"/>
        </w:rPr>
        <w:t>ector Monetario</w:t>
      </w:r>
      <w:bookmarkEnd w:id="23"/>
      <w:bookmarkEnd w:id="30"/>
    </w:p>
    <w:p w:rsidR="00970E74" w:rsidRPr="002312E8" w:rsidRDefault="00115F41" w:rsidP="00115F41">
      <w:pPr>
        <w:pStyle w:val="Heading2"/>
        <w:rPr>
          <w:rFonts w:ascii="Times New Roman" w:hAnsi="Times New Roman" w:cs="Times New Roman"/>
          <w:sz w:val="26"/>
          <w:lang w:val="es-DO"/>
        </w:rPr>
      </w:pPr>
      <w:bookmarkStart w:id="31" w:name="_Toc397931708"/>
      <w:bookmarkStart w:id="32" w:name="_Toc398801712"/>
      <w:r w:rsidRPr="002312E8">
        <w:rPr>
          <w:rFonts w:ascii="Times New Roman" w:hAnsi="Times New Roman" w:cs="Times New Roman"/>
          <w:sz w:val="26"/>
          <w:lang w:val="es-DO"/>
        </w:rPr>
        <w:t xml:space="preserve">VI.A. </w:t>
      </w:r>
      <w:r w:rsidR="00970E74" w:rsidRPr="002312E8">
        <w:rPr>
          <w:rFonts w:ascii="Times New Roman" w:hAnsi="Times New Roman" w:cs="Times New Roman"/>
          <w:sz w:val="26"/>
          <w:lang w:val="es-DO"/>
        </w:rPr>
        <w:t>Descripción archivos por sector</w:t>
      </w:r>
      <w:bookmarkEnd w:id="31"/>
      <w:bookmarkEnd w:id="32"/>
    </w:p>
    <w:p w:rsidR="00115F41" w:rsidRPr="00115F41" w:rsidRDefault="00115F41" w:rsidP="00115F41">
      <w:pPr>
        <w:pStyle w:val="NoSpacing"/>
      </w:pPr>
    </w:p>
    <w:p w:rsidR="00970E74" w:rsidRDefault="00970E74" w:rsidP="00115F41">
      <w:pPr>
        <w:spacing w:after="120"/>
        <w:ind w:firstLine="360"/>
        <w:contextualSpacing/>
        <w:jc w:val="both"/>
        <w:rPr>
          <w:rFonts w:ascii="Times New Roman" w:hAnsi="Times New Roman" w:cs="Times New Roman"/>
          <w:sz w:val="24"/>
          <w:szCs w:val="24"/>
        </w:rPr>
      </w:pPr>
      <w:r w:rsidRPr="00115F41">
        <w:rPr>
          <w:rFonts w:ascii="Times New Roman" w:hAnsi="Times New Roman" w:cs="Times New Roman"/>
          <w:sz w:val="24"/>
          <w:szCs w:val="24"/>
        </w:rPr>
        <w:t>La sección del Sector Monetario, incluye los siguientes archivos: Tabla de Contenido, Calendario Disponibilidad Insumos Sector Monetario y Financiero, Indicadores claves propios del Sector, Gráficos Sector Monetario y Financiero Claves, Panorama Monetario de las Sociedades de Depósitos en niveles anual, Panorama Monetario de las Sociedades de Depósitos en niveles trimestral,  Panorama Monetario de las Sociedades de Depósito en niveles como porcentaje del Producto Interno Bruto (PIB), Porcentaje de variación anual de los niveles del Panorama Monetario de las Sociedades de Depósitos, Porcentaje de variación anual de los flujos del Panorama Monetario de las Sociedades de Depósitos, Panorama Monetario de las Sociedades de Depósitos en flujos anual, Panorama Monetario de las Sociedades de Depósitos en flujos trimestral, Flujo de la masa monetaria y su crecimiento anual, Flujo de la masa monetaria y su crecimiento trimestral, Indicadores Trimestrales Crédito Total y Financiamiento Interno al Sector Publico y Tasas de interés trimestrales.</w:t>
      </w:r>
    </w:p>
    <w:p w:rsidR="00115F41" w:rsidRPr="00115F41" w:rsidRDefault="00115F41" w:rsidP="00115F41">
      <w:pPr>
        <w:spacing w:after="120"/>
        <w:ind w:firstLine="360"/>
        <w:contextualSpacing/>
        <w:jc w:val="both"/>
        <w:rPr>
          <w:rFonts w:ascii="Times New Roman" w:hAnsi="Times New Roman" w:cs="Times New Roman"/>
          <w:sz w:val="24"/>
          <w:szCs w:val="24"/>
        </w:rPr>
      </w:pPr>
    </w:p>
    <w:p w:rsidR="00970E74" w:rsidRDefault="00970E74" w:rsidP="00115F41">
      <w:pPr>
        <w:spacing w:after="120"/>
        <w:ind w:firstLine="360"/>
        <w:contextualSpacing/>
        <w:jc w:val="both"/>
        <w:rPr>
          <w:rFonts w:ascii="Times New Roman" w:hAnsi="Times New Roman" w:cs="Times New Roman"/>
          <w:sz w:val="24"/>
          <w:szCs w:val="24"/>
        </w:rPr>
      </w:pPr>
      <w:r w:rsidRPr="00115F41">
        <w:rPr>
          <w:rFonts w:ascii="Times New Roman" w:hAnsi="Times New Roman" w:cs="Times New Roman"/>
          <w:sz w:val="24"/>
          <w:szCs w:val="24"/>
        </w:rPr>
        <w:t>La Tabla de Contenido, resume las hojas dentro del Sector Monetario. La misma permite ver de manera rápida el contenido y estructura del sector</w:t>
      </w:r>
      <w:r w:rsidR="00115F41">
        <w:rPr>
          <w:rFonts w:ascii="Times New Roman" w:hAnsi="Times New Roman" w:cs="Times New Roman"/>
          <w:sz w:val="24"/>
          <w:szCs w:val="24"/>
        </w:rPr>
        <w:t>.</w:t>
      </w:r>
      <w:r w:rsidRPr="00115F41">
        <w:rPr>
          <w:rFonts w:ascii="Times New Roman" w:hAnsi="Times New Roman" w:cs="Times New Roman"/>
          <w:sz w:val="24"/>
          <w:szCs w:val="24"/>
        </w:rPr>
        <w:t xml:space="preserve">  </w:t>
      </w:r>
    </w:p>
    <w:p w:rsidR="00115F41" w:rsidRPr="00115F41" w:rsidRDefault="00115F41" w:rsidP="00115F41">
      <w:pPr>
        <w:spacing w:after="120"/>
        <w:ind w:firstLine="360"/>
        <w:contextualSpacing/>
        <w:jc w:val="both"/>
        <w:rPr>
          <w:rFonts w:ascii="Times New Roman" w:hAnsi="Times New Roman" w:cs="Times New Roman"/>
          <w:sz w:val="24"/>
          <w:szCs w:val="24"/>
        </w:rPr>
      </w:pPr>
    </w:p>
    <w:p w:rsidR="00970E74" w:rsidRDefault="00970E74" w:rsidP="00115F41">
      <w:pPr>
        <w:spacing w:after="120"/>
        <w:ind w:firstLine="360"/>
        <w:contextualSpacing/>
        <w:jc w:val="both"/>
        <w:rPr>
          <w:rFonts w:ascii="Times New Roman" w:hAnsi="Times New Roman" w:cs="Times New Roman"/>
          <w:sz w:val="24"/>
          <w:szCs w:val="24"/>
        </w:rPr>
      </w:pPr>
      <w:r w:rsidRPr="00115F41">
        <w:rPr>
          <w:rFonts w:ascii="Times New Roman" w:hAnsi="Times New Roman" w:cs="Times New Roman"/>
          <w:sz w:val="24"/>
          <w:szCs w:val="24"/>
        </w:rPr>
        <w:t>La hoja de Calendario Disponibilidad Insumos Sector Monetario y Financiero, contiene las fechas relevantes de la publicación de los insumos que permiten construir el Sector Monetario. Este calendario se extrajo de la página web del Banco Central de la República Dominicana.</w:t>
      </w:r>
    </w:p>
    <w:p w:rsidR="00115F41" w:rsidRPr="00115F41" w:rsidRDefault="00115F41" w:rsidP="00115F41">
      <w:pPr>
        <w:spacing w:after="120"/>
        <w:ind w:firstLine="360"/>
        <w:contextualSpacing/>
        <w:jc w:val="both"/>
        <w:rPr>
          <w:rFonts w:ascii="Times New Roman" w:hAnsi="Times New Roman" w:cs="Times New Roman"/>
          <w:sz w:val="24"/>
          <w:szCs w:val="24"/>
        </w:rPr>
      </w:pPr>
    </w:p>
    <w:p w:rsidR="00970E74" w:rsidRDefault="00970E74" w:rsidP="00115F41">
      <w:pPr>
        <w:spacing w:after="120"/>
        <w:ind w:firstLine="360"/>
        <w:contextualSpacing/>
        <w:jc w:val="both"/>
        <w:rPr>
          <w:rFonts w:ascii="Times New Roman" w:hAnsi="Times New Roman" w:cs="Times New Roman"/>
          <w:sz w:val="24"/>
          <w:szCs w:val="24"/>
        </w:rPr>
      </w:pPr>
      <w:r w:rsidRPr="00115F41">
        <w:rPr>
          <w:rFonts w:ascii="Times New Roman" w:hAnsi="Times New Roman" w:cs="Times New Roman"/>
          <w:sz w:val="24"/>
          <w:szCs w:val="24"/>
        </w:rPr>
        <w:t>La hoja de Indicadores Claves del Sector Monetario, muestra cinco indicadores que permiten de manera rápida, tener una visión de la situación del sector. Estos indicadores son: Variación Anual del Crédito Doméstico,  Variación Anual del Crédito (neto) al Gobierno, Dinero y Quasi-dinero (M3), como % del PIB, M1 como % del PIB nominal y M2 como % del PIB nominal.</w:t>
      </w:r>
    </w:p>
    <w:p w:rsidR="002312E8" w:rsidRPr="00115F41" w:rsidRDefault="002312E8" w:rsidP="00115F41">
      <w:pPr>
        <w:spacing w:after="120"/>
        <w:ind w:firstLine="360"/>
        <w:contextualSpacing/>
        <w:jc w:val="both"/>
        <w:rPr>
          <w:rFonts w:ascii="Times New Roman" w:hAnsi="Times New Roman" w:cs="Times New Roman"/>
          <w:sz w:val="24"/>
          <w:szCs w:val="24"/>
        </w:rPr>
      </w:pPr>
    </w:p>
    <w:p w:rsidR="00970E74" w:rsidRDefault="00970E74" w:rsidP="00115F41">
      <w:pPr>
        <w:spacing w:after="120"/>
        <w:ind w:firstLine="360"/>
        <w:contextualSpacing/>
        <w:jc w:val="both"/>
        <w:rPr>
          <w:rFonts w:ascii="Times New Roman" w:hAnsi="Times New Roman" w:cs="Times New Roman"/>
          <w:sz w:val="24"/>
          <w:szCs w:val="24"/>
        </w:rPr>
      </w:pPr>
      <w:r w:rsidRPr="00115F41">
        <w:rPr>
          <w:rFonts w:ascii="Times New Roman" w:hAnsi="Times New Roman" w:cs="Times New Roman"/>
          <w:sz w:val="24"/>
          <w:szCs w:val="24"/>
        </w:rPr>
        <w:t>La Variación Anual del Crédito Doméstico se obtiene de la línea crédito domestico, incluida dentro de las Sociedades de depósito que se encuentra en la hoja Porcentaje de variación anual de los flujos del Panorama Monetario de las Sociedades de Depósito.</w:t>
      </w:r>
    </w:p>
    <w:p w:rsidR="00115F41" w:rsidRPr="00115F41" w:rsidRDefault="00115F41" w:rsidP="00115F41">
      <w:pPr>
        <w:spacing w:after="120"/>
        <w:ind w:firstLine="360"/>
        <w:contextualSpacing/>
        <w:jc w:val="both"/>
        <w:rPr>
          <w:rFonts w:ascii="Times New Roman" w:hAnsi="Times New Roman" w:cs="Times New Roman"/>
          <w:sz w:val="24"/>
          <w:szCs w:val="24"/>
        </w:rPr>
      </w:pPr>
    </w:p>
    <w:p w:rsidR="00970E74" w:rsidRDefault="00970E74" w:rsidP="00115F41">
      <w:pPr>
        <w:spacing w:after="120"/>
        <w:ind w:firstLine="360"/>
        <w:contextualSpacing/>
        <w:jc w:val="both"/>
        <w:rPr>
          <w:rFonts w:ascii="Times New Roman" w:hAnsi="Times New Roman" w:cs="Times New Roman"/>
          <w:sz w:val="24"/>
          <w:szCs w:val="24"/>
        </w:rPr>
      </w:pPr>
      <w:r w:rsidRPr="00115F41">
        <w:rPr>
          <w:rFonts w:ascii="Times New Roman" w:hAnsi="Times New Roman" w:cs="Times New Roman"/>
          <w:sz w:val="24"/>
          <w:szCs w:val="24"/>
        </w:rPr>
        <w:t>Asimismo, el indicador Variación Anual del Crédito (neto) al Gobierno, se obtiene de la línea de crédito al gobierno, incluida dentro de las Sociedades de depósito que se encuentra en la hoja Porcentaje de variación anual de los flujos del Panorama Monetario de las Sociedades de Depósito.</w:t>
      </w:r>
    </w:p>
    <w:p w:rsidR="00115F41" w:rsidRPr="00115F41" w:rsidRDefault="00115F41" w:rsidP="00115F41">
      <w:pPr>
        <w:spacing w:after="120"/>
        <w:ind w:firstLine="360"/>
        <w:contextualSpacing/>
        <w:jc w:val="both"/>
        <w:rPr>
          <w:rFonts w:ascii="Times New Roman" w:hAnsi="Times New Roman" w:cs="Times New Roman"/>
          <w:sz w:val="24"/>
          <w:szCs w:val="24"/>
        </w:rPr>
      </w:pPr>
    </w:p>
    <w:p w:rsidR="00970E74" w:rsidRDefault="00970E74" w:rsidP="00115F41">
      <w:pPr>
        <w:spacing w:after="120"/>
        <w:ind w:firstLine="360"/>
        <w:contextualSpacing/>
        <w:jc w:val="both"/>
        <w:rPr>
          <w:rFonts w:ascii="Times New Roman" w:hAnsi="Times New Roman" w:cs="Times New Roman"/>
          <w:sz w:val="24"/>
          <w:szCs w:val="24"/>
        </w:rPr>
      </w:pPr>
      <w:r w:rsidRPr="00115F41">
        <w:rPr>
          <w:rFonts w:ascii="Times New Roman" w:hAnsi="Times New Roman" w:cs="Times New Roman"/>
          <w:sz w:val="24"/>
          <w:szCs w:val="24"/>
        </w:rPr>
        <w:t xml:space="preserve">Los indicadores Dinero y Quasi-dinero (M3) como % del PIB nominal, M2 como % del PIB nominal y M1 como % del PIB nominal, se construyen a partir de las líneas M3, M2 y M1 respectivamente, incluidas en el Panorama de las Sociedades de Depósito. Estas líneas se </w:t>
      </w:r>
      <w:r w:rsidRPr="00115F41">
        <w:rPr>
          <w:rFonts w:ascii="Times New Roman" w:hAnsi="Times New Roman" w:cs="Times New Roman"/>
          <w:sz w:val="24"/>
          <w:szCs w:val="24"/>
        </w:rPr>
        <w:lastRenderedPageBreak/>
        <w:t>encuentran en la hoja de Panorama Monetario de las Sociedades de Depósitos en nivel anual. Luego se dividen por el PIB nominal extraído de la hoja de Supuestos Generales.</w:t>
      </w:r>
    </w:p>
    <w:p w:rsidR="00115F41" w:rsidRPr="00115F41" w:rsidRDefault="00115F41" w:rsidP="00115F41">
      <w:pPr>
        <w:spacing w:after="120"/>
        <w:ind w:firstLine="360"/>
        <w:contextualSpacing/>
        <w:jc w:val="both"/>
        <w:rPr>
          <w:rFonts w:ascii="Times New Roman" w:hAnsi="Times New Roman" w:cs="Times New Roman"/>
          <w:sz w:val="24"/>
          <w:szCs w:val="24"/>
        </w:rPr>
      </w:pPr>
    </w:p>
    <w:p w:rsidR="00970E74" w:rsidRDefault="00970E74" w:rsidP="00115F41">
      <w:pPr>
        <w:spacing w:after="120"/>
        <w:ind w:firstLine="360"/>
        <w:contextualSpacing/>
        <w:jc w:val="both"/>
        <w:rPr>
          <w:rFonts w:ascii="Times New Roman" w:hAnsi="Times New Roman" w:cs="Times New Roman"/>
          <w:sz w:val="24"/>
          <w:szCs w:val="24"/>
        </w:rPr>
      </w:pPr>
      <w:r w:rsidRPr="00115F41">
        <w:rPr>
          <w:rFonts w:ascii="Times New Roman" w:hAnsi="Times New Roman" w:cs="Times New Roman"/>
          <w:sz w:val="24"/>
          <w:szCs w:val="24"/>
        </w:rPr>
        <w:t>En la hoja de Gráficos Claves del sector Monetario presenta nueve gráficos. Estos son: Inflación (IPC diciembre) y M1 variación % anual, Inflación (IPC diciembre) y M1 variación % Trimestral, Inflación (IPC) Meta  Anual y Actual % variación anual, Inflación (IPC) Meta  anual y Mensual interanual % variación anual, PIB nominal y M1, M2, M3 variación % anual, PIB nominal y M1, M2, M3 variación % Trimestral, Crédito Domestico total y Crédito al Gobierno variación % anual, Crédito Domestico total y Crédito al Gobierno variación % trimestral y Crédito Domestico total, Crédito al Gobierno y Reservas Internacionales Netas.</w:t>
      </w:r>
    </w:p>
    <w:p w:rsidR="00115F41" w:rsidRPr="00115F41" w:rsidRDefault="00115F41" w:rsidP="00115F41">
      <w:pPr>
        <w:spacing w:after="120"/>
        <w:ind w:firstLine="360"/>
        <w:contextualSpacing/>
        <w:jc w:val="both"/>
        <w:rPr>
          <w:rFonts w:ascii="Times New Roman" w:hAnsi="Times New Roman" w:cs="Times New Roman"/>
          <w:sz w:val="24"/>
          <w:szCs w:val="24"/>
        </w:rPr>
      </w:pPr>
    </w:p>
    <w:p w:rsidR="00970E74" w:rsidRDefault="00970E74" w:rsidP="00115F41">
      <w:pPr>
        <w:spacing w:after="120"/>
        <w:ind w:firstLine="360"/>
        <w:contextualSpacing/>
        <w:jc w:val="both"/>
        <w:rPr>
          <w:rFonts w:ascii="Times New Roman" w:hAnsi="Times New Roman" w:cs="Times New Roman"/>
          <w:sz w:val="24"/>
          <w:szCs w:val="24"/>
        </w:rPr>
      </w:pPr>
      <w:r w:rsidRPr="00115F41">
        <w:rPr>
          <w:rFonts w:ascii="Times New Roman" w:hAnsi="Times New Roman" w:cs="Times New Roman"/>
          <w:sz w:val="24"/>
          <w:szCs w:val="24"/>
        </w:rPr>
        <w:t xml:space="preserve">La hoja de Panorama Monetario de las Sociedades de Depósitos en niveles anual y la hoja de Panorama Monetario de las Sociedades de Depósitos en niveles trimestral están dividida en tres partes: Banco Central de la República Dominicana, Otras Sociedades de Depósito y Sociedades de Depósito. Estas a su vez se obtienen de las hojas fuentes SM_Panorama BC, SM_Panorama OSD y SM_Panorama SD respectivamente que provienen del Banco Central de la República Dominicana. Asimismo, contiene la base monetaria desagregada, que proviene de la hoja SM_Base Monetaria. Estas hojas además, contienen datos del PIB, provenientes de la hoja de Supuestos Generales y datos sobre los agregados Monetarios, que provienen de la hoja fuente SM_Agregados Monetarios. </w:t>
      </w:r>
    </w:p>
    <w:p w:rsidR="00115F41" w:rsidRPr="00115F41" w:rsidRDefault="00115F41" w:rsidP="00115F41">
      <w:pPr>
        <w:spacing w:after="120"/>
        <w:ind w:firstLine="360"/>
        <w:contextualSpacing/>
        <w:jc w:val="both"/>
        <w:rPr>
          <w:rFonts w:ascii="Times New Roman" w:hAnsi="Times New Roman" w:cs="Times New Roman"/>
          <w:sz w:val="24"/>
          <w:szCs w:val="24"/>
        </w:rPr>
      </w:pPr>
    </w:p>
    <w:p w:rsidR="00970E74" w:rsidRDefault="00970E74" w:rsidP="00115F41">
      <w:pPr>
        <w:spacing w:after="120"/>
        <w:ind w:firstLine="360"/>
        <w:contextualSpacing/>
        <w:jc w:val="both"/>
        <w:rPr>
          <w:rFonts w:ascii="Times New Roman" w:hAnsi="Times New Roman" w:cs="Times New Roman"/>
          <w:sz w:val="24"/>
          <w:szCs w:val="24"/>
        </w:rPr>
      </w:pPr>
      <w:r w:rsidRPr="00115F41">
        <w:rPr>
          <w:rFonts w:ascii="Times New Roman" w:hAnsi="Times New Roman" w:cs="Times New Roman"/>
          <w:sz w:val="24"/>
          <w:szCs w:val="24"/>
        </w:rPr>
        <w:t>La hoja de Panorama Monetario de las Sociedades de Depósito en niveles como porcentaje del Producto Interno Bruto (PIB), se calcula como el cociente de los componentes de la hoja de Panorama Monetario de las Sociedades de Depósitos en niveles anual y el Producto Interno Bruto a valores Corrientes, que se encuentra en la hoja de Supuestos Generales.</w:t>
      </w:r>
    </w:p>
    <w:p w:rsidR="00115F41" w:rsidRPr="00115F41" w:rsidRDefault="00115F41" w:rsidP="00115F41">
      <w:pPr>
        <w:spacing w:after="120"/>
        <w:ind w:firstLine="360"/>
        <w:contextualSpacing/>
        <w:jc w:val="both"/>
        <w:rPr>
          <w:rFonts w:ascii="Times New Roman" w:hAnsi="Times New Roman" w:cs="Times New Roman"/>
          <w:sz w:val="24"/>
          <w:szCs w:val="24"/>
        </w:rPr>
      </w:pPr>
    </w:p>
    <w:p w:rsidR="00970E74" w:rsidRDefault="00970E74" w:rsidP="00115F41">
      <w:pPr>
        <w:spacing w:after="120"/>
        <w:ind w:firstLine="360"/>
        <w:contextualSpacing/>
        <w:jc w:val="both"/>
        <w:rPr>
          <w:rFonts w:ascii="Times New Roman" w:hAnsi="Times New Roman" w:cs="Times New Roman"/>
          <w:sz w:val="24"/>
          <w:szCs w:val="24"/>
        </w:rPr>
      </w:pPr>
      <w:r w:rsidRPr="00115F41">
        <w:rPr>
          <w:rFonts w:ascii="Times New Roman" w:hAnsi="Times New Roman" w:cs="Times New Roman"/>
          <w:sz w:val="24"/>
          <w:szCs w:val="24"/>
        </w:rPr>
        <w:t xml:space="preserve">De igual forma, la hoja de Porcentaje de variación anual de los niveles del Panorama Monetario de las Sociedades de Depósitos se calcula a partir de la hoja de Panorama Monetario de las Sociedades de Depósitos en niveles anual. Consiste en calcular el porcentaje de crecimiento de cada línea.  </w:t>
      </w:r>
    </w:p>
    <w:p w:rsidR="00115F41" w:rsidRPr="00115F41" w:rsidRDefault="00115F41" w:rsidP="00115F41">
      <w:pPr>
        <w:spacing w:after="120"/>
        <w:ind w:firstLine="360"/>
        <w:contextualSpacing/>
        <w:jc w:val="both"/>
        <w:rPr>
          <w:rFonts w:ascii="Times New Roman" w:hAnsi="Times New Roman" w:cs="Times New Roman"/>
          <w:sz w:val="24"/>
          <w:szCs w:val="24"/>
        </w:rPr>
      </w:pPr>
    </w:p>
    <w:p w:rsidR="00970E74" w:rsidRDefault="00970E74" w:rsidP="00115F41">
      <w:pPr>
        <w:spacing w:after="120"/>
        <w:ind w:firstLine="360"/>
        <w:contextualSpacing/>
        <w:jc w:val="both"/>
        <w:rPr>
          <w:rFonts w:ascii="Times New Roman" w:hAnsi="Times New Roman" w:cs="Times New Roman"/>
          <w:sz w:val="24"/>
          <w:szCs w:val="24"/>
        </w:rPr>
      </w:pPr>
      <w:r w:rsidRPr="00115F41">
        <w:rPr>
          <w:rFonts w:ascii="Times New Roman" w:hAnsi="Times New Roman" w:cs="Times New Roman"/>
          <w:sz w:val="24"/>
          <w:szCs w:val="24"/>
        </w:rPr>
        <w:t xml:space="preserve">La hoja de Porcentaje de variación anual de los flujos del Panorama Monetario de las Sociedades de Depósitos, se construye a partir de la hoja de Panorama Monetario de las Sociedades de Depósitos en flujos anual. Consiste en calcular el porcentaje de crecimiento de cada línea.  </w:t>
      </w:r>
    </w:p>
    <w:p w:rsidR="00115F41" w:rsidRPr="00115F41" w:rsidRDefault="00115F41" w:rsidP="00115F41">
      <w:pPr>
        <w:spacing w:after="120"/>
        <w:ind w:firstLine="360"/>
        <w:contextualSpacing/>
        <w:jc w:val="both"/>
        <w:rPr>
          <w:rFonts w:ascii="Times New Roman" w:hAnsi="Times New Roman" w:cs="Times New Roman"/>
          <w:sz w:val="24"/>
          <w:szCs w:val="24"/>
        </w:rPr>
      </w:pPr>
    </w:p>
    <w:p w:rsidR="00970E74" w:rsidRDefault="00970E74" w:rsidP="00115F41">
      <w:pPr>
        <w:spacing w:after="120"/>
        <w:ind w:firstLine="360"/>
        <w:contextualSpacing/>
        <w:jc w:val="both"/>
        <w:rPr>
          <w:rFonts w:ascii="Times New Roman" w:hAnsi="Times New Roman" w:cs="Times New Roman"/>
          <w:sz w:val="24"/>
          <w:szCs w:val="24"/>
        </w:rPr>
      </w:pPr>
      <w:r w:rsidRPr="00115F41">
        <w:rPr>
          <w:rFonts w:ascii="Times New Roman" w:hAnsi="Times New Roman" w:cs="Times New Roman"/>
          <w:sz w:val="24"/>
          <w:szCs w:val="24"/>
        </w:rPr>
        <w:t>La hoja de Panorama Monetario de las Sociedades de Depósitos en flujos anual, se construye a partir de la hoja de Panorama Monetario de las Sociedades de Depósitos en niveles anual. Se calcula la variación absoluta de cada línea con respecto al año anterior.</w:t>
      </w:r>
    </w:p>
    <w:p w:rsidR="00115F41" w:rsidRPr="00115F41" w:rsidRDefault="00115F41" w:rsidP="00115F41">
      <w:pPr>
        <w:spacing w:after="120"/>
        <w:ind w:firstLine="360"/>
        <w:contextualSpacing/>
        <w:jc w:val="both"/>
        <w:rPr>
          <w:rFonts w:ascii="Times New Roman" w:hAnsi="Times New Roman" w:cs="Times New Roman"/>
          <w:sz w:val="24"/>
          <w:szCs w:val="24"/>
        </w:rPr>
      </w:pPr>
    </w:p>
    <w:p w:rsidR="00970E74" w:rsidRPr="00115F41" w:rsidRDefault="00970E74" w:rsidP="00115F41">
      <w:pPr>
        <w:spacing w:after="120"/>
        <w:ind w:firstLine="360"/>
        <w:contextualSpacing/>
        <w:jc w:val="both"/>
        <w:rPr>
          <w:rFonts w:ascii="Times New Roman" w:hAnsi="Times New Roman" w:cs="Times New Roman"/>
          <w:sz w:val="24"/>
          <w:szCs w:val="24"/>
        </w:rPr>
      </w:pPr>
      <w:r w:rsidRPr="00115F41">
        <w:rPr>
          <w:rFonts w:ascii="Times New Roman" w:hAnsi="Times New Roman" w:cs="Times New Roman"/>
          <w:sz w:val="24"/>
          <w:szCs w:val="24"/>
        </w:rPr>
        <w:t xml:space="preserve">La hoja de Panorama Monetario de las Sociedades de Depósitos en flujos trimestral,  se construye a partir del Panorama Monetario de las Sociedades de Depósitos en niveles </w:t>
      </w:r>
      <w:r w:rsidRPr="00115F41">
        <w:rPr>
          <w:rFonts w:ascii="Times New Roman" w:hAnsi="Times New Roman" w:cs="Times New Roman"/>
          <w:sz w:val="24"/>
          <w:szCs w:val="24"/>
        </w:rPr>
        <w:lastRenderedPageBreak/>
        <w:t>trimestral. Se calcula la variación trimestral de cada línea con respecto al trimestre del año anterior.</w:t>
      </w:r>
    </w:p>
    <w:p w:rsidR="00970E74" w:rsidRDefault="00970E74" w:rsidP="00115F41">
      <w:pPr>
        <w:spacing w:after="120"/>
        <w:ind w:firstLine="360"/>
        <w:contextualSpacing/>
        <w:jc w:val="both"/>
        <w:rPr>
          <w:rFonts w:ascii="Times New Roman" w:hAnsi="Times New Roman" w:cs="Times New Roman"/>
          <w:sz w:val="24"/>
          <w:szCs w:val="24"/>
        </w:rPr>
      </w:pPr>
      <w:r w:rsidRPr="00115F41">
        <w:rPr>
          <w:rFonts w:ascii="Times New Roman" w:hAnsi="Times New Roman" w:cs="Times New Roman"/>
          <w:sz w:val="24"/>
          <w:szCs w:val="24"/>
        </w:rPr>
        <w:t>La hoja de Flujo de la masa monetaria y su crecimiento anual, se construye utilizando la fuente de Agregados Monetarios provenientes del Banco Central. Esta se presenta de forma desagregada y su tasa de crecimiento de cada ítem. El flujo anual de la masa monetaria se calcula restando en la línea correspondiente, la celda correspondiente  menos la correspondiente del año anterior. Asimismo, se calcula debajo del cuadro, la variación porcentual que tuvo cada ítem respecto al año anterior.</w:t>
      </w:r>
    </w:p>
    <w:p w:rsidR="00115F41" w:rsidRPr="00115F41" w:rsidRDefault="00115F41" w:rsidP="00115F41">
      <w:pPr>
        <w:spacing w:after="120"/>
        <w:ind w:firstLine="360"/>
        <w:contextualSpacing/>
        <w:jc w:val="both"/>
        <w:rPr>
          <w:rFonts w:ascii="Times New Roman" w:hAnsi="Times New Roman" w:cs="Times New Roman"/>
          <w:sz w:val="24"/>
          <w:szCs w:val="24"/>
        </w:rPr>
      </w:pPr>
    </w:p>
    <w:p w:rsidR="00970E74" w:rsidRDefault="00970E74" w:rsidP="00115F41">
      <w:pPr>
        <w:spacing w:after="120"/>
        <w:ind w:firstLine="360"/>
        <w:contextualSpacing/>
        <w:jc w:val="both"/>
        <w:rPr>
          <w:rFonts w:ascii="Times New Roman" w:hAnsi="Times New Roman" w:cs="Times New Roman"/>
          <w:sz w:val="24"/>
          <w:szCs w:val="24"/>
        </w:rPr>
      </w:pPr>
      <w:r w:rsidRPr="00115F41">
        <w:rPr>
          <w:rFonts w:ascii="Times New Roman" w:hAnsi="Times New Roman" w:cs="Times New Roman"/>
          <w:sz w:val="24"/>
          <w:szCs w:val="24"/>
        </w:rPr>
        <w:t>Flujo de la masa monetaria y su crecimiento trimestral, se construye utilizando la hoja fuente de SM_Agregados Monetarios provenientes del Banco Central. Esta se presenta de forma desagregada y su tasa de crecimiento de cada ítem. El flujo trimestral de la masa monetaria se calcula restando en la línea correspondiente, la celda correspondiente  menos la correspondiente del trimestre del año anterior. Asimismo, se calcula debajo del cuadro, la variación porcentual que tuvo cada ítem respecto al trimestre del año anterior.</w:t>
      </w:r>
    </w:p>
    <w:p w:rsidR="00115F41" w:rsidRPr="00115F41" w:rsidRDefault="00115F41" w:rsidP="00115F41">
      <w:pPr>
        <w:spacing w:after="120"/>
        <w:ind w:firstLine="360"/>
        <w:contextualSpacing/>
        <w:jc w:val="both"/>
        <w:rPr>
          <w:rFonts w:ascii="Times New Roman" w:hAnsi="Times New Roman" w:cs="Times New Roman"/>
          <w:sz w:val="24"/>
          <w:szCs w:val="24"/>
        </w:rPr>
      </w:pPr>
    </w:p>
    <w:p w:rsidR="00970E74" w:rsidRDefault="00970E74" w:rsidP="00115F41">
      <w:pPr>
        <w:spacing w:after="120"/>
        <w:ind w:firstLine="360"/>
        <w:contextualSpacing/>
        <w:jc w:val="both"/>
        <w:rPr>
          <w:rFonts w:ascii="Times New Roman" w:hAnsi="Times New Roman" w:cs="Times New Roman"/>
          <w:sz w:val="24"/>
          <w:szCs w:val="24"/>
        </w:rPr>
      </w:pPr>
      <w:r w:rsidRPr="00115F41">
        <w:rPr>
          <w:rFonts w:ascii="Times New Roman" w:hAnsi="Times New Roman" w:cs="Times New Roman"/>
          <w:sz w:val="24"/>
          <w:szCs w:val="24"/>
        </w:rPr>
        <w:t>La hoja de Indicadores Trimestrales Crédito Total se construye utilizando como fuente, la hoja de  Panorama Monetario de las Sociedades de Depósitos en flujos anual, que permite obtener las líneas de Crédito neto al Gobierno, tanto del Banco Central como de las Otras Sociedades de Depósito. La línea de crédito domestico se obtiene de la línea de crédito domestico dentro del Panorama de las Sociedades de Deposito de la hoja mencionada anteriormente. Luego se calcula el porcentaje de variación que tuvo cada una de estas líneas.</w:t>
      </w:r>
    </w:p>
    <w:p w:rsidR="00115F41" w:rsidRPr="00115F41" w:rsidRDefault="00115F41" w:rsidP="00115F41">
      <w:pPr>
        <w:spacing w:after="120"/>
        <w:ind w:firstLine="360"/>
        <w:contextualSpacing/>
        <w:jc w:val="both"/>
        <w:rPr>
          <w:rFonts w:ascii="Times New Roman" w:hAnsi="Times New Roman" w:cs="Times New Roman"/>
          <w:sz w:val="24"/>
          <w:szCs w:val="24"/>
        </w:rPr>
      </w:pPr>
    </w:p>
    <w:p w:rsidR="00970E74" w:rsidRDefault="00970E74" w:rsidP="00115F41">
      <w:pPr>
        <w:spacing w:after="120"/>
        <w:ind w:firstLine="360"/>
        <w:contextualSpacing/>
        <w:jc w:val="both"/>
        <w:rPr>
          <w:rFonts w:ascii="Times New Roman" w:hAnsi="Times New Roman" w:cs="Times New Roman"/>
          <w:sz w:val="24"/>
          <w:szCs w:val="24"/>
        </w:rPr>
      </w:pPr>
      <w:r w:rsidRPr="00115F41">
        <w:rPr>
          <w:rFonts w:ascii="Times New Roman" w:hAnsi="Times New Roman" w:cs="Times New Roman"/>
          <w:sz w:val="24"/>
          <w:szCs w:val="24"/>
        </w:rPr>
        <w:t xml:space="preserve">La variables de la hoja de Tasas de interés trimestrales, se extraen a partir de las hojas fuentes: SM TBM Activas 08-11, SM TBM Pasivas 08-11, SM TBM Activas 12-actual, SM TBM Pasivas 12-actual y la tasa de política monetaria SM_Tasa int BC_val subast. </w:t>
      </w:r>
    </w:p>
    <w:p w:rsidR="00970E74" w:rsidRPr="002312E8" w:rsidRDefault="002312E8" w:rsidP="006E1F36">
      <w:pPr>
        <w:pStyle w:val="Heading2"/>
        <w:rPr>
          <w:rFonts w:ascii="Times New Roman" w:hAnsi="Times New Roman" w:cs="Times New Roman"/>
          <w:sz w:val="26"/>
          <w:lang w:val="es-DO"/>
        </w:rPr>
      </w:pPr>
      <w:bookmarkStart w:id="33" w:name="_Toc397931709"/>
      <w:bookmarkStart w:id="34" w:name="_Toc398801713"/>
      <w:r w:rsidRPr="002312E8">
        <w:rPr>
          <w:rFonts w:ascii="Times New Roman" w:hAnsi="Times New Roman" w:cs="Times New Roman"/>
          <w:sz w:val="26"/>
          <w:lang w:val="es-DO"/>
        </w:rPr>
        <w:t>VI</w:t>
      </w:r>
      <w:r w:rsidR="00115F41" w:rsidRPr="002312E8">
        <w:rPr>
          <w:rFonts w:ascii="Times New Roman" w:hAnsi="Times New Roman" w:cs="Times New Roman"/>
          <w:sz w:val="26"/>
          <w:lang w:val="es-DO"/>
        </w:rPr>
        <w:t xml:space="preserve">.B. </w:t>
      </w:r>
      <w:r w:rsidR="00970E74" w:rsidRPr="002312E8">
        <w:rPr>
          <w:rFonts w:ascii="Times New Roman" w:hAnsi="Times New Roman" w:cs="Times New Roman"/>
          <w:sz w:val="26"/>
          <w:lang w:val="es-DO"/>
        </w:rPr>
        <w:t>Periodo comprendido</w:t>
      </w:r>
      <w:bookmarkEnd w:id="33"/>
      <w:bookmarkEnd w:id="34"/>
    </w:p>
    <w:p w:rsidR="00115F41" w:rsidRPr="00115F41" w:rsidRDefault="00115F41" w:rsidP="00115F41">
      <w:pPr>
        <w:pStyle w:val="NoSpacing"/>
        <w:rPr>
          <w:lang w:val="es-DO"/>
        </w:rPr>
      </w:pPr>
    </w:p>
    <w:p w:rsidR="00970E74" w:rsidRPr="00115F41" w:rsidRDefault="00970E74" w:rsidP="00115F41">
      <w:pPr>
        <w:spacing w:after="120"/>
        <w:ind w:firstLine="360"/>
        <w:contextualSpacing/>
        <w:jc w:val="both"/>
        <w:rPr>
          <w:rFonts w:ascii="Times New Roman" w:hAnsi="Times New Roman" w:cs="Times New Roman"/>
          <w:sz w:val="24"/>
          <w:szCs w:val="24"/>
        </w:rPr>
      </w:pPr>
      <w:r w:rsidRPr="00115F41">
        <w:rPr>
          <w:rFonts w:ascii="Times New Roman" w:hAnsi="Times New Roman" w:cs="Times New Roman"/>
          <w:sz w:val="24"/>
          <w:szCs w:val="24"/>
        </w:rPr>
        <w:t xml:space="preserve">El Sector Monetario comprende del año 2009 al 2013. Cabe destacar que contiene datos con frecuencia anual y trimestral. Las proyecciones calculadas abarcan del año 2014 al año 2018. </w:t>
      </w:r>
    </w:p>
    <w:p w:rsidR="00970E74" w:rsidRPr="002312E8" w:rsidRDefault="002312E8" w:rsidP="006E1F36">
      <w:pPr>
        <w:pStyle w:val="Heading2"/>
        <w:rPr>
          <w:rFonts w:ascii="Times New Roman" w:hAnsi="Times New Roman" w:cs="Times New Roman"/>
          <w:sz w:val="26"/>
          <w:lang w:val="es-DO"/>
        </w:rPr>
      </w:pPr>
      <w:bookmarkStart w:id="35" w:name="_Toc397931710"/>
      <w:bookmarkStart w:id="36" w:name="_Toc398801714"/>
      <w:r w:rsidRPr="002312E8">
        <w:rPr>
          <w:rFonts w:ascii="Times New Roman" w:hAnsi="Times New Roman" w:cs="Times New Roman"/>
          <w:sz w:val="26"/>
          <w:lang w:val="es-DO"/>
        </w:rPr>
        <w:t xml:space="preserve">VI.C. </w:t>
      </w:r>
      <w:r w:rsidR="00970E74" w:rsidRPr="002312E8">
        <w:rPr>
          <w:rFonts w:ascii="Times New Roman" w:hAnsi="Times New Roman" w:cs="Times New Roman"/>
          <w:sz w:val="26"/>
          <w:lang w:val="es-DO"/>
        </w:rPr>
        <w:t>Fuente de datos</w:t>
      </w:r>
      <w:bookmarkEnd w:id="35"/>
      <w:bookmarkEnd w:id="36"/>
      <w:r w:rsidR="00970E74" w:rsidRPr="002312E8">
        <w:rPr>
          <w:rFonts w:ascii="Times New Roman" w:hAnsi="Times New Roman" w:cs="Times New Roman"/>
          <w:sz w:val="26"/>
          <w:lang w:val="es-DO"/>
        </w:rPr>
        <w:t xml:space="preserve"> </w:t>
      </w:r>
    </w:p>
    <w:p w:rsidR="00115F41" w:rsidRPr="00115F41" w:rsidRDefault="00115F41" w:rsidP="00115F41">
      <w:pPr>
        <w:pStyle w:val="NoSpacing"/>
      </w:pPr>
    </w:p>
    <w:p w:rsidR="00970E74" w:rsidRDefault="00970E74" w:rsidP="002312E8">
      <w:pPr>
        <w:spacing w:after="120"/>
        <w:ind w:firstLine="360"/>
        <w:contextualSpacing/>
        <w:jc w:val="both"/>
        <w:rPr>
          <w:rFonts w:ascii="Times New Roman" w:hAnsi="Times New Roman" w:cs="Times New Roman"/>
          <w:sz w:val="24"/>
          <w:szCs w:val="24"/>
        </w:rPr>
      </w:pPr>
      <w:r w:rsidRPr="002312E8">
        <w:rPr>
          <w:rFonts w:ascii="Times New Roman" w:hAnsi="Times New Roman" w:cs="Times New Roman"/>
          <w:sz w:val="24"/>
          <w:szCs w:val="24"/>
        </w:rPr>
        <w:t>La fuente de datos para el Sector Monetario, son principalmente las Estadísticas Monetarias y Financieras, publicadas en la página web del Banco Central de la República Dominicana. Se utilizan los datos que provienen del Panorama Monetario del Banco Central, el Panorama Monetario de las Otras Sociedades  de Depósitos, el Panorama Monetario de las Sociedades de Depósitos y los Agregados Monetarios.</w:t>
      </w:r>
    </w:p>
    <w:p w:rsidR="002312E8" w:rsidRPr="002312E8" w:rsidRDefault="002312E8" w:rsidP="002312E8">
      <w:pPr>
        <w:spacing w:after="120"/>
        <w:ind w:firstLine="360"/>
        <w:contextualSpacing/>
        <w:jc w:val="both"/>
        <w:rPr>
          <w:rFonts w:ascii="Times New Roman" w:hAnsi="Times New Roman" w:cs="Times New Roman"/>
          <w:sz w:val="24"/>
          <w:szCs w:val="24"/>
        </w:rPr>
      </w:pPr>
    </w:p>
    <w:p w:rsidR="00970E74" w:rsidRPr="002312E8" w:rsidRDefault="00970E74" w:rsidP="002312E8">
      <w:pPr>
        <w:spacing w:after="120"/>
        <w:ind w:firstLine="360"/>
        <w:contextualSpacing/>
        <w:jc w:val="both"/>
        <w:rPr>
          <w:rFonts w:ascii="Times New Roman" w:hAnsi="Times New Roman" w:cs="Times New Roman"/>
          <w:sz w:val="24"/>
          <w:szCs w:val="24"/>
        </w:rPr>
      </w:pPr>
      <w:r w:rsidRPr="002312E8">
        <w:rPr>
          <w:rFonts w:ascii="Times New Roman" w:hAnsi="Times New Roman" w:cs="Times New Roman"/>
          <w:sz w:val="24"/>
          <w:szCs w:val="24"/>
        </w:rPr>
        <w:t>Asimismo, se utilizan como fuente de información las tasas de interés activa y pasiva de la banca múltiple. La tasa de política Monetaria se extrae de la hoja de Valores Subastados del Banco Central por Plazo de Colocación en Moneda Nacional.</w:t>
      </w:r>
    </w:p>
    <w:p w:rsidR="00970E74" w:rsidRPr="002312E8" w:rsidRDefault="002312E8" w:rsidP="006E1F36">
      <w:pPr>
        <w:pStyle w:val="Heading2"/>
        <w:rPr>
          <w:rFonts w:ascii="Times New Roman" w:hAnsi="Times New Roman" w:cs="Times New Roman"/>
          <w:sz w:val="26"/>
          <w:lang w:val="es-DO"/>
        </w:rPr>
      </w:pPr>
      <w:bookmarkStart w:id="37" w:name="_Toc397931711"/>
      <w:bookmarkStart w:id="38" w:name="_Toc398801715"/>
      <w:r w:rsidRPr="002312E8">
        <w:rPr>
          <w:rFonts w:ascii="Times New Roman" w:hAnsi="Times New Roman" w:cs="Times New Roman"/>
          <w:sz w:val="26"/>
          <w:lang w:val="es-DO"/>
        </w:rPr>
        <w:lastRenderedPageBreak/>
        <w:t xml:space="preserve">VI.D. </w:t>
      </w:r>
      <w:r w:rsidR="00970E74" w:rsidRPr="002312E8">
        <w:rPr>
          <w:rFonts w:ascii="Times New Roman" w:hAnsi="Times New Roman" w:cs="Times New Roman"/>
          <w:sz w:val="26"/>
          <w:lang w:val="es-DO"/>
        </w:rPr>
        <w:t>Obtención de datos</w:t>
      </w:r>
      <w:bookmarkEnd w:id="37"/>
      <w:bookmarkEnd w:id="38"/>
    </w:p>
    <w:p w:rsidR="002312E8" w:rsidRPr="002312E8" w:rsidRDefault="002312E8" w:rsidP="002312E8">
      <w:pPr>
        <w:pStyle w:val="NoSpacing"/>
      </w:pPr>
    </w:p>
    <w:p w:rsidR="002312E8" w:rsidRPr="002312E8" w:rsidRDefault="00970E74" w:rsidP="002312E8">
      <w:pPr>
        <w:spacing w:after="120"/>
        <w:ind w:firstLine="360"/>
        <w:contextualSpacing/>
        <w:jc w:val="both"/>
        <w:rPr>
          <w:rFonts w:ascii="Times New Roman" w:hAnsi="Times New Roman" w:cs="Times New Roman"/>
          <w:sz w:val="24"/>
          <w:szCs w:val="24"/>
        </w:rPr>
      </w:pPr>
      <w:r w:rsidRPr="002312E8">
        <w:rPr>
          <w:rFonts w:ascii="Times New Roman" w:hAnsi="Times New Roman" w:cs="Times New Roman"/>
          <w:sz w:val="24"/>
          <w:szCs w:val="24"/>
        </w:rPr>
        <w:t>Los datos se obtienen a partir de las publicaciones disponibles en la página web del Banco Central.</w:t>
      </w:r>
      <w:r w:rsidR="002312E8">
        <w:rPr>
          <w:rFonts w:ascii="Times New Roman" w:hAnsi="Times New Roman" w:cs="Times New Roman"/>
          <w:sz w:val="24"/>
          <w:szCs w:val="24"/>
        </w:rPr>
        <w:t xml:space="preserve"> </w:t>
      </w:r>
      <w:r w:rsidRPr="002312E8">
        <w:rPr>
          <w:rFonts w:ascii="Times New Roman" w:hAnsi="Times New Roman" w:cs="Times New Roman"/>
          <w:sz w:val="24"/>
          <w:szCs w:val="24"/>
        </w:rPr>
        <w:t>La</w:t>
      </w:r>
      <w:r w:rsidR="002312E8">
        <w:rPr>
          <w:rFonts w:ascii="Times New Roman" w:hAnsi="Times New Roman" w:cs="Times New Roman"/>
          <w:sz w:val="24"/>
          <w:szCs w:val="24"/>
        </w:rPr>
        <w:t xml:space="preserve"> </w:t>
      </w:r>
      <w:r w:rsidRPr="002312E8">
        <w:rPr>
          <w:rFonts w:ascii="Times New Roman" w:hAnsi="Times New Roman" w:cs="Times New Roman"/>
          <w:sz w:val="24"/>
          <w:szCs w:val="24"/>
        </w:rPr>
        <w:t xml:space="preserve">ruta para acceder a dichas estadísticas es: </w:t>
      </w:r>
    </w:p>
    <w:p w:rsidR="00970E74" w:rsidRPr="00BC79B5" w:rsidRDefault="007D5346" w:rsidP="00BC79B5">
      <w:pPr>
        <w:spacing w:line="360" w:lineRule="auto"/>
        <w:jc w:val="both"/>
        <w:rPr>
          <w:rFonts w:ascii="Arial" w:hAnsi="Arial" w:cs="Arial"/>
        </w:rPr>
      </w:pPr>
      <w:hyperlink r:id="rId12" w:history="1">
        <w:r w:rsidR="00970E74" w:rsidRPr="00BC79B5">
          <w:rPr>
            <w:rStyle w:val="Hyperlink"/>
            <w:rFonts w:ascii="Arial" w:hAnsi="Arial" w:cs="Arial"/>
          </w:rPr>
          <w:t>http://www.bancentral.gov.do/estadisticas_economicas/armonizadas/</w:t>
        </w:r>
      </w:hyperlink>
    </w:p>
    <w:p w:rsidR="00970E74" w:rsidRPr="002312E8" w:rsidRDefault="00970E74" w:rsidP="002312E8">
      <w:pPr>
        <w:pStyle w:val="Heading2"/>
        <w:rPr>
          <w:rFonts w:ascii="Times New Roman" w:hAnsi="Times New Roman" w:cs="Times New Roman"/>
          <w:sz w:val="26"/>
          <w:lang w:val="es-DO"/>
        </w:rPr>
      </w:pPr>
      <w:bookmarkStart w:id="39" w:name="_Toc397931712"/>
      <w:r w:rsidRPr="002312E8">
        <w:rPr>
          <w:rFonts w:ascii="Times New Roman" w:hAnsi="Times New Roman" w:cs="Times New Roman"/>
          <w:sz w:val="26"/>
        </w:rPr>
        <w:t xml:space="preserve"> </w:t>
      </w:r>
      <w:bookmarkStart w:id="40" w:name="_Toc398801716"/>
      <w:r w:rsidR="002312E8" w:rsidRPr="002312E8">
        <w:rPr>
          <w:rFonts w:ascii="Times New Roman" w:hAnsi="Times New Roman" w:cs="Times New Roman"/>
          <w:sz w:val="26"/>
          <w:lang w:val="es-DO"/>
        </w:rPr>
        <w:t xml:space="preserve">VI.E. </w:t>
      </w:r>
      <w:r w:rsidRPr="002312E8">
        <w:rPr>
          <w:rFonts w:ascii="Times New Roman" w:hAnsi="Times New Roman" w:cs="Times New Roman"/>
          <w:sz w:val="26"/>
          <w:lang w:val="es-DO"/>
        </w:rPr>
        <w:t>Frecuencia de producción de datos</w:t>
      </w:r>
      <w:bookmarkEnd w:id="39"/>
      <w:bookmarkEnd w:id="40"/>
    </w:p>
    <w:p w:rsidR="002312E8" w:rsidRPr="002312E8" w:rsidRDefault="002312E8" w:rsidP="002312E8">
      <w:pPr>
        <w:spacing w:after="120"/>
        <w:contextualSpacing/>
        <w:jc w:val="both"/>
        <w:rPr>
          <w:rFonts w:ascii="Times New Roman" w:hAnsi="Times New Roman" w:cs="Times New Roman"/>
          <w:sz w:val="24"/>
          <w:szCs w:val="24"/>
        </w:rPr>
      </w:pPr>
    </w:p>
    <w:p w:rsidR="00970E74" w:rsidRPr="002312E8" w:rsidRDefault="00970E74" w:rsidP="002312E8">
      <w:pPr>
        <w:spacing w:after="120"/>
        <w:ind w:firstLine="360"/>
        <w:contextualSpacing/>
        <w:jc w:val="both"/>
        <w:rPr>
          <w:rFonts w:ascii="Times New Roman" w:hAnsi="Times New Roman" w:cs="Times New Roman"/>
          <w:sz w:val="24"/>
          <w:szCs w:val="24"/>
        </w:rPr>
      </w:pPr>
      <w:r w:rsidRPr="002312E8">
        <w:rPr>
          <w:rFonts w:ascii="Times New Roman" w:hAnsi="Times New Roman" w:cs="Times New Roman"/>
          <w:sz w:val="24"/>
          <w:szCs w:val="24"/>
        </w:rPr>
        <w:t xml:space="preserve">Todas las estadísticas utilizadas para la construcción del Sector Monetario tienen la misma frecuencia. Estas se publican mensualmente, 25 días después del período. El carácter del dato es definitivo. </w:t>
      </w:r>
    </w:p>
    <w:tbl>
      <w:tblPr>
        <w:tblW w:w="0" w:type="auto"/>
        <w:tblLayout w:type="fixed"/>
        <w:tblCellMar>
          <w:left w:w="70" w:type="dxa"/>
          <w:right w:w="70" w:type="dxa"/>
        </w:tblCellMar>
        <w:tblLook w:val="04A0"/>
      </w:tblPr>
      <w:tblGrid>
        <w:gridCol w:w="4323"/>
        <w:gridCol w:w="1417"/>
        <w:gridCol w:w="1985"/>
        <w:gridCol w:w="919"/>
      </w:tblGrid>
      <w:tr w:rsidR="00970E74" w:rsidRPr="00BC79B5" w:rsidTr="00B6434C">
        <w:trPr>
          <w:trHeight w:val="300"/>
        </w:trPr>
        <w:tc>
          <w:tcPr>
            <w:tcW w:w="4323" w:type="dxa"/>
            <w:tcBorders>
              <w:top w:val="nil"/>
              <w:left w:val="nil"/>
              <w:bottom w:val="nil"/>
              <w:right w:val="nil"/>
            </w:tcBorders>
            <w:shd w:val="clear" w:color="auto" w:fill="auto"/>
            <w:noWrap/>
            <w:vAlign w:val="bottom"/>
            <w:hideMark/>
          </w:tcPr>
          <w:p w:rsidR="00970E74" w:rsidRPr="00BC79B5" w:rsidRDefault="00970E74" w:rsidP="00BC79B5">
            <w:pPr>
              <w:spacing w:line="360" w:lineRule="auto"/>
              <w:jc w:val="both"/>
              <w:rPr>
                <w:rFonts w:ascii="Arial" w:eastAsia="Times New Roman" w:hAnsi="Arial" w:cs="Arial"/>
                <w:lang w:eastAsia="es-ES"/>
              </w:rPr>
            </w:pPr>
          </w:p>
        </w:tc>
        <w:tc>
          <w:tcPr>
            <w:tcW w:w="4321" w:type="dxa"/>
            <w:gridSpan w:val="3"/>
            <w:tcBorders>
              <w:top w:val="single" w:sz="4" w:space="0" w:color="auto"/>
              <w:left w:val="single" w:sz="4" w:space="0" w:color="auto"/>
              <w:bottom w:val="single" w:sz="4" w:space="0" w:color="auto"/>
              <w:right w:val="single" w:sz="4" w:space="0" w:color="000000"/>
            </w:tcBorders>
            <w:shd w:val="clear" w:color="000000" w:fill="002060"/>
            <w:noWrap/>
            <w:vAlign w:val="bottom"/>
            <w:hideMark/>
          </w:tcPr>
          <w:p w:rsidR="00970E74" w:rsidRPr="00BC79B5" w:rsidRDefault="00970E74" w:rsidP="00BC79B5">
            <w:pPr>
              <w:spacing w:line="360" w:lineRule="auto"/>
              <w:jc w:val="both"/>
              <w:rPr>
                <w:rFonts w:ascii="Arial" w:eastAsia="Times New Roman" w:hAnsi="Arial" w:cs="Arial"/>
                <w:b/>
                <w:bCs/>
                <w:color w:val="FFFFFF"/>
                <w:lang w:eastAsia="es-ES"/>
              </w:rPr>
            </w:pPr>
            <w:r w:rsidRPr="00BC79B5">
              <w:rPr>
                <w:rFonts w:ascii="Arial" w:eastAsia="Times New Roman" w:hAnsi="Arial" w:cs="Arial"/>
                <w:b/>
                <w:bCs/>
                <w:color w:val="FFFFFF"/>
                <w:lang w:eastAsia="es-ES"/>
              </w:rPr>
              <w:t>Actualización</w:t>
            </w:r>
          </w:p>
        </w:tc>
      </w:tr>
      <w:tr w:rsidR="00970E74" w:rsidRPr="00BC79B5" w:rsidTr="00B6434C">
        <w:trPr>
          <w:trHeight w:val="300"/>
        </w:trPr>
        <w:tc>
          <w:tcPr>
            <w:tcW w:w="4323" w:type="dxa"/>
            <w:tcBorders>
              <w:top w:val="single" w:sz="4" w:space="0" w:color="auto"/>
              <w:left w:val="single" w:sz="4" w:space="0" w:color="auto"/>
              <w:bottom w:val="single" w:sz="4" w:space="0" w:color="auto"/>
              <w:right w:val="single" w:sz="4" w:space="0" w:color="auto"/>
            </w:tcBorders>
            <w:shd w:val="clear" w:color="000000" w:fill="002060"/>
            <w:noWrap/>
            <w:vAlign w:val="bottom"/>
            <w:hideMark/>
          </w:tcPr>
          <w:p w:rsidR="00970E74" w:rsidRPr="00BC79B5" w:rsidRDefault="00970E74" w:rsidP="00BC79B5">
            <w:pPr>
              <w:spacing w:line="360" w:lineRule="auto"/>
              <w:jc w:val="both"/>
              <w:rPr>
                <w:rFonts w:ascii="Arial" w:eastAsia="Times New Roman" w:hAnsi="Arial" w:cs="Arial"/>
                <w:b/>
                <w:bCs/>
                <w:color w:val="FFFFFF"/>
                <w:sz w:val="18"/>
                <w:lang w:eastAsia="es-ES"/>
              </w:rPr>
            </w:pPr>
            <w:r w:rsidRPr="00BC79B5">
              <w:rPr>
                <w:rFonts w:ascii="Arial" w:eastAsia="Times New Roman" w:hAnsi="Arial" w:cs="Arial"/>
                <w:b/>
                <w:bCs/>
                <w:color w:val="FFFFFF"/>
                <w:sz w:val="18"/>
                <w:lang w:eastAsia="es-ES"/>
              </w:rPr>
              <w:t>Titulo del Documento</w:t>
            </w:r>
          </w:p>
        </w:tc>
        <w:tc>
          <w:tcPr>
            <w:tcW w:w="1417" w:type="dxa"/>
            <w:tcBorders>
              <w:top w:val="nil"/>
              <w:left w:val="nil"/>
              <w:bottom w:val="single" w:sz="4" w:space="0" w:color="auto"/>
              <w:right w:val="single" w:sz="4" w:space="0" w:color="auto"/>
            </w:tcBorders>
            <w:shd w:val="clear" w:color="000000" w:fill="002060"/>
            <w:noWrap/>
            <w:vAlign w:val="center"/>
            <w:hideMark/>
          </w:tcPr>
          <w:p w:rsidR="00970E74" w:rsidRPr="00BC79B5" w:rsidRDefault="00970E74" w:rsidP="00BC79B5">
            <w:pPr>
              <w:spacing w:line="360" w:lineRule="auto"/>
              <w:jc w:val="both"/>
              <w:rPr>
                <w:rFonts w:ascii="Arial" w:eastAsia="Times New Roman" w:hAnsi="Arial" w:cs="Arial"/>
                <w:b/>
                <w:bCs/>
                <w:color w:val="FFFFFF"/>
                <w:sz w:val="18"/>
                <w:lang w:eastAsia="es-ES"/>
              </w:rPr>
            </w:pPr>
            <w:r w:rsidRPr="00BC79B5">
              <w:rPr>
                <w:rFonts w:ascii="Arial" w:eastAsia="Times New Roman" w:hAnsi="Arial" w:cs="Arial"/>
                <w:b/>
                <w:bCs/>
                <w:color w:val="FFFFFF"/>
                <w:sz w:val="18"/>
                <w:lang w:eastAsia="es-ES"/>
              </w:rPr>
              <w:t>Periodicidad</w:t>
            </w:r>
          </w:p>
        </w:tc>
        <w:tc>
          <w:tcPr>
            <w:tcW w:w="1985" w:type="dxa"/>
            <w:tcBorders>
              <w:top w:val="nil"/>
              <w:left w:val="nil"/>
              <w:bottom w:val="single" w:sz="4" w:space="0" w:color="auto"/>
              <w:right w:val="single" w:sz="4" w:space="0" w:color="auto"/>
            </w:tcBorders>
            <w:shd w:val="clear" w:color="000000" w:fill="002060"/>
            <w:noWrap/>
            <w:vAlign w:val="center"/>
            <w:hideMark/>
          </w:tcPr>
          <w:p w:rsidR="00970E74" w:rsidRPr="00BC79B5" w:rsidRDefault="00970E74" w:rsidP="00BC79B5">
            <w:pPr>
              <w:spacing w:line="360" w:lineRule="auto"/>
              <w:jc w:val="both"/>
              <w:rPr>
                <w:rFonts w:ascii="Arial" w:eastAsia="Times New Roman" w:hAnsi="Arial" w:cs="Arial"/>
                <w:b/>
                <w:bCs/>
                <w:color w:val="FFFFFF"/>
                <w:sz w:val="18"/>
                <w:lang w:eastAsia="es-ES"/>
              </w:rPr>
            </w:pPr>
            <w:r w:rsidRPr="00BC79B5">
              <w:rPr>
                <w:rFonts w:ascii="Arial" w:eastAsia="Times New Roman" w:hAnsi="Arial" w:cs="Arial"/>
                <w:b/>
                <w:bCs/>
                <w:color w:val="FFFFFF"/>
                <w:sz w:val="18"/>
                <w:lang w:eastAsia="es-ES"/>
              </w:rPr>
              <w:t>Fecha (a mas tardar)</w:t>
            </w:r>
          </w:p>
        </w:tc>
        <w:tc>
          <w:tcPr>
            <w:tcW w:w="919" w:type="dxa"/>
            <w:tcBorders>
              <w:top w:val="nil"/>
              <w:left w:val="nil"/>
              <w:bottom w:val="single" w:sz="4" w:space="0" w:color="auto"/>
              <w:right w:val="single" w:sz="4" w:space="0" w:color="auto"/>
            </w:tcBorders>
            <w:shd w:val="clear" w:color="000000" w:fill="002060"/>
            <w:noWrap/>
            <w:vAlign w:val="center"/>
            <w:hideMark/>
          </w:tcPr>
          <w:p w:rsidR="00970E74" w:rsidRPr="00BC79B5" w:rsidRDefault="00970E74" w:rsidP="00BC79B5">
            <w:pPr>
              <w:spacing w:line="360" w:lineRule="auto"/>
              <w:jc w:val="both"/>
              <w:rPr>
                <w:rFonts w:ascii="Arial" w:eastAsia="Times New Roman" w:hAnsi="Arial" w:cs="Arial"/>
                <w:b/>
                <w:bCs/>
                <w:color w:val="FFFFFF"/>
                <w:sz w:val="18"/>
                <w:lang w:eastAsia="es-ES"/>
              </w:rPr>
            </w:pPr>
            <w:r w:rsidRPr="00BC79B5">
              <w:rPr>
                <w:rFonts w:ascii="Arial" w:eastAsia="Times New Roman" w:hAnsi="Arial" w:cs="Arial"/>
                <w:b/>
                <w:bCs/>
                <w:color w:val="FFFFFF"/>
                <w:sz w:val="18"/>
                <w:lang w:eastAsia="es-ES"/>
              </w:rPr>
              <w:t>Carácter del dato</w:t>
            </w:r>
          </w:p>
        </w:tc>
      </w:tr>
      <w:tr w:rsidR="00970E74" w:rsidRPr="00BC79B5" w:rsidTr="00B6434C">
        <w:trPr>
          <w:trHeight w:val="300"/>
        </w:trPr>
        <w:tc>
          <w:tcPr>
            <w:tcW w:w="4323" w:type="dxa"/>
            <w:tcBorders>
              <w:top w:val="nil"/>
              <w:left w:val="single" w:sz="4" w:space="0" w:color="auto"/>
              <w:bottom w:val="single" w:sz="4" w:space="0" w:color="auto"/>
              <w:right w:val="single" w:sz="4" w:space="0" w:color="auto"/>
            </w:tcBorders>
            <w:shd w:val="clear" w:color="auto" w:fill="auto"/>
            <w:noWrap/>
            <w:vAlign w:val="bottom"/>
            <w:hideMark/>
          </w:tcPr>
          <w:p w:rsidR="00970E74" w:rsidRPr="00BC79B5" w:rsidRDefault="00970E74" w:rsidP="00BC79B5">
            <w:pPr>
              <w:spacing w:line="360" w:lineRule="auto"/>
              <w:jc w:val="both"/>
              <w:rPr>
                <w:rFonts w:ascii="Arial" w:eastAsia="Times New Roman" w:hAnsi="Arial" w:cs="Arial"/>
                <w:b/>
                <w:bCs/>
                <w:color w:val="000000"/>
                <w:sz w:val="18"/>
                <w:lang w:eastAsia="es-ES"/>
              </w:rPr>
            </w:pPr>
            <w:r w:rsidRPr="00BC79B5">
              <w:rPr>
                <w:rFonts w:ascii="Arial" w:eastAsia="Times New Roman" w:hAnsi="Arial" w:cs="Arial"/>
                <w:b/>
                <w:bCs/>
                <w:color w:val="000000"/>
                <w:sz w:val="18"/>
                <w:lang w:eastAsia="es-ES"/>
              </w:rPr>
              <w:t>Panorama del Banco Central</w:t>
            </w:r>
          </w:p>
        </w:tc>
        <w:tc>
          <w:tcPr>
            <w:tcW w:w="1417" w:type="dxa"/>
            <w:tcBorders>
              <w:top w:val="nil"/>
              <w:left w:val="nil"/>
              <w:bottom w:val="single" w:sz="4" w:space="0" w:color="auto"/>
              <w:right w:val="single" w:sz="4" w:space="0" w:color="auto"/>
            </w:tcBorders>
            <w:shd w:val="clear" w:color="auto" w:fill="auto"/>
            <w:noWrap/>
            <w:vAlign w:val="bottom"/>
            <w:hideMark/>
          </w:tcPr>
          <w:p w:rsidR="00970E74" w:rsidRPr="00BC79B5" w:rsidRDefault="00970E74" w:rsidP="00BC79B5">
            <w:pPr>
              <w:spacing w:line="360" w:lineRule="auto"/>
              <w:jc w:val="both"/>
              <w:rPr>
                <w:rFonts w:ascii="Arial" w:eastAsia="Times New Roman" w:hAnsi="Arial" w:cs="Arial"/>
                <w:color w:val="000000"/>
                <w:sz w:val="18"/>
                <w:lang w:eastAsia="es-ES"/>
              </w:rPr>
            </w:pPr>
            <w:r w:rsidRPr="00BC79B5">
              <w:rPr>
                <w:rFonts w:ascii="Arial" w:eastAsia="Times New Roman" w:hAnsi="Arial" w:cs="Arial"/>
                <w:color w:val="000000"/>
                <w:sz w:val="18"/>
                <w:lang w:eastAsia="es-ES"/>
              </w:rPr>
              <w:t>Mensual</w:t>
            </w:r>
          </w:p>
        </w:tc>
        <w:tc>
          <w:tcPr>
            <w:tcW w:w="1985" w:type="dxa"/>
            <w:tcBorders>
              <w:top w:val="nil"/>
              <w:left w:val="nil"/>
              <w:bottom w:val="single" w:sz="4" w:space="0" w:color="auto"/>
              <w:right w:val="single" w:sz="4" w:space="0" w:color="auto"/>
            </w:tcBorders>
            <w:shd w:val="clear" w:color="auto" w:fill="auto"/>
            <w:noWrap/>
            <w:vAlign w:val="bottom"/>
            <w:hideMark/>
          </w:tcPr>
          <w:p w:rsidR="00970E74" w:rsidRPr="00BC79B5" w:rsidRDefault="00970E74" w:rsidP="00BC79B5">
            <w:pPr>
              <w:spacing w:line="360" w:lineRule="auto"/>
              <w:jc w:val="both"/>
              <w:rPr>
                <w:rFonts w:ascii="Arial" w:eastAsia="Times New Roman" w:hAnsi="Arial" w:cs="Arial"/>
                <w:color w:val="000000"/>
                <w:sz w:val="18"/>
                <w:lang w:eastAsia="es-ES"/>
              </w:rPr>
            </w:pPr>
            <w:r w:rsidRPr="00BC79B5">
              <w:rPr>
                <w:rFonts w:ascii="Arial" w:eastAsia="Times New Roman" w:hAnsi="Arial" w:cs="Arial"/>
                <w:color w:val="000000"/>
                <w:sz w:val="18"/>
                <w:lang w:eastAsia="es-ES"/>
              </w:rPr>
              <w:t>25 días después del periodo</w:t>
            </w:r>
          </w:p>
        </w:tc>
        <w:tc>
          <w:tcPr>
            <w:tcW w:w="919" w:type="dxa"/>
            <w:tcBorders>
              <w:top w:val="nil"/>
              <w:left w:val="nil"/>
              <w:bottom w:val="single" w:sz="4" w:space="0" w:color="auto"/>
              <w:right w:val="single" w:sz="4" w:space="0" w:color="auto"/>
            </w:tcBorders>
            <w:shd w:val="clear" w:color="auto" w:fill="auto"/>
            <w:noWrap/>
            <w:vAlign w:val="bottom"/>
            <w:hideMark/>
          </w:tcPr>
          <w:p w:rsidR="00970E74" w:rsidRPr="00BC79B5" w:rsidRDefault="00970E74" w:rsidP="00BC79B5">
            <w:pPr>
              <w:spacing w:line="360" w:lineRule="auto"/>
              <w:jc w:val="both"/>
              <w:rPr>
                <w:rFonts w:ascii="Arial" w:eastAsia="Times New Roman" w:hAnsi="Arial" w:cs="Arial"/>
                <w:color w:val="000000"/>
                <w:sz w:val="18"/>
                <w:lang w:eastAsia="es-ES"/>
              </w:rPr>
            </w:pPr>
            <w:r w:rsidRPr="00BC79B5">
              <w:rPr>
                <w:rFonts w:ascii="Arial" w:eastAsia="Times New Roman" w:hAnsi="Arial" w:cs="Arial"/>
                <w:color w:val="000000"/>
                <w:sz w:val="18"/>
                <w:lang w:eastAsia="es-ES"/>
              </w:rPr>
              <w:t>Definitivo</w:t>
            </w:r>
          </w:p>
        </w:tc>
      </w:tr>
      <w:tr w:rsidR="00970E74" w:rsidRPr="00BC79B5" w:rsidTr="00B6434C">
        <w:trPr>
          <w:trHeight w:val="300"/>
        </w:trPr>
        <w:tc>
          <w:tcPr>
            <w:tcW w:w="4323" w:type="dxa"/>
            <w:tcBorders>
              <w:top w:val="nil"/>
              <w:left w:val="single" w:sz="4" w:space="0" w:color="auto"/>
              <w:bottom w:val="single" w:sz="4" w:space="0" w:color="auto"/>
              <w:right w:val="single" w:sz="4" w:space="0" w:color="auto"/>
            </w:tcBorders>
            <w:shd w:val="clear" w:color="auto" w:fill="auto"/>
            <w:noWrap/>
            <w:vAlign w:val="bottom"/>
            <w:hideMark/>
          </w:tcPr>
          <w:p w:rsidR="00970E74" w:rsidRPr="00BC79B5" w:rsidRDefault="00970E74" w:rsidP="00BC79B5">
            <w:pPr>
              <w:spacing w:line="360" w:lineRule="auto"/>
              <w:jc w:val="both"/>
              <w:rPr>
                <w:rFonts w:ascii="Arial" w:eastAsia="Times New Roman" w:hAnsi="Arial" w:cs="Arial"/>
                <w:b/>
                <w:bCs/>
                <w:color w:val="000000"/>
                <w:sz w:val="18"/>
                <w:lang w:eastAsia="es-ES"/>
              </w:rPr>
            </w:pPr>
            <w:r w:rsidRPr="00BC79B5">
              <w:rPr>
                <w:rFonts w:ascii="Arial" w:eastAsia="Times New Roman" w:hAnsi="Arial" w:cs="Arial"/>
                <w:b/>
                <w:bCs/>
                <w:color w:val="000000"/>
                <w:sz w:val="18"/>
                <w:lang w:eastAsia="es-ES"/>
              </w:rPr>
              <w:t>Panorama de las Otras sociedades de Depósito</w:t>
            </w:r>
          </w:p>
        </w:tc>
        <w:tc>
          <w:tcPr>
            <w:tcW w:w="1417" w:type="dxa"/>
            <w:tcBorders>
              <w:top w:val="nil"/>
              <w:left w:val="nil"/>
              <w:bottom w:val="single" w:sz="4" w:space="0" w:color="auto"/>
              <w:right w:val="single" w:sz="4" w:space="0" w:color="auto"/>
            </w:tcBorders>
            <w:shd w:val="clear" w:color="auto" w:fill="auto"/>
            <w:noWrap/>
            <w:vAlign w:val="bottom"/>
            <w:hideMark/>
          </w:tcPr>
          <w:p w:rsidR="00970E74" w:rsidRPr="00BC79B5" w:rsidRDefault="00970E74" w:rsidP="00BC79B5">
            <w:pPr>
              <w:spacing w:line="360" w:lineRule="auto"/>
              <w:jc w:val="both"/>
              <w:rPr>
                <w:rFonts w:ascii="Arial" w:eastAsia="Times New Roman" w:hAnsi="Arial" w:cs="Arial"/>
                <w:color w:val="000000"/>
                <w:sz w:val="18"/>
                <w:lang w:eastAsia="es-ES"/>
              </w:rPr>
            </w:pPr>
            <w:r w:rsidRPr="00BC79B5">
              <w:rPr>
                <w:rFonts w:ascii="Arial" w:eastAsia="Times New Roman" w:hAnsi="Arial" w:cs="Arial"/>
                <w:color w:val="000000"/>
                <w:sz w:val="18"/>
                <w:lang w:eastAsia="es-ES"/>
              </w:rPr>
              <w:t>Mensual</w:t>
            </w:r>
          </w:p>
        </w:tc>
        <w:tc>
          <w:tcPr>
            <w:tcW w:w="1985" w:type="dxa"/>
            <w:tcBorders>
              <w:top w:val="nil"/>
              <w:left w:val="nil"/>
              <w:bottom w:val="single" w:sz="4" w:space="0" w:color="auto"/>
              <w:right w:val="single" w:sz="4" w:space="0" w:color="auto"/>
            </w:tcBorders>
            <w:shd w:val="clear" w:color="auto" w:fill="auto"/>
            <w:noWrap/>
            <w:vAlign w:val="bottom"/>
            <w:hideMark/>
          </w:tcPr>
          <w:p w:rsidR="00970E74" w:rsidRPr="00BC79B5" w:rsidRDefault="00970E74" w:rsidP="00BC79B5">
            <w:pPr>
              <w:spacing w:line="360" w:lineRule="auto"/>
              <w:jc w:val="both"/>
              <w:rPr>
                <w:rFonts w:ascii="Arial" w:eastAsia="Times New Roman" w:hAnsi="Arial" w:cs="Arial"/>
                <w:color w:val="000000"/>
                <w:sz w:val="18"/>
                <w:lang w:eastAsia="es-ES"/>
              </w:rPr>
            </w:pPr>
            <w:r w:rsidRPr="00BC79B5">
              <w:rPr>
                <w:rFonts w:ascii="Arial" w:eastAsia="Times New Roman" w:hAnsi="Arial" w:cs="Arial"/>
                <w:color w:val="000000"/>
                <w:sz w:val="18"/>
                <w:lang w:eastAsia="es-ES"/>
              </w:rPr>
              <w:t>25 días después del periodo</w:t>
            </w:r>
          </w:p>
        </w:tc>
        <w:tc>
          <w:tcPr>
            <w:tcW w:w="919" w:type="dxa"/>
            <w:tcBorders>
              <w:top w:val="nil"/>
              <w:left w:val="nil"/>
              <w:bottom w:val="single" w:sz="4" w:space="0" w:color="auto"/>
              <w:right w:val="single" w:sz="4" w:space="0" w:color="auto"/>
            </w:tcBorders>
            <w:shd w:val="clear" w:color="auto" w:fill="auto"/>
            <w:noWrap/>
            <w:vAlign w:val="bottom"/>
            <w:hideMark/>
          </w:tcPr>
          <w:p w:rsidR="00970E74" w:rsidRPr="00BC79B5" w:rsidRDefault="00970E74" w:rsidP="00BC79B5">
            <w:pPr>
              <w:spacing w:line="360" w:lineRule="auto"/>
              <w:jc w:val="both"/>
              <w:rPr>
                <w:rFonts w:ascii="Arial" w:eastAsia="Times New Roman" w:hAnsi="Arial" w:cs="Arial"/>
                <w:color w:val="000000"/>
                <w:sz w:val="18"/>
                <w:lang w:eastAsia="es-ES"/>
              </w:rPr>
            </w:pPr>
            <w:r w:rsidRPr="00BC79B5">
              <w:rPr>
                <w:rFonts w:ascii="Arial" w:eastAsia="Times New Roman" w:hAnsi="Arial" w:cs="Arial"/>
                <w:color w:val="000000"/>
                <w:sz w:val="18"/>
                <w:lang w:eastAsia="es-ES"/>
              </w:rPr>
              <w:t>Definitivo</w:t>
            </w:r>
          </w:p>
        </w:tc>
      </w:tr>
      <w:tr w:rsidR="00970E74" w:rsidRPr="00BC79B5" w:rsidTr="00B6434C">
        <w:trPr>
          <w:trHeight w:val="300"/>
        </w:trPr>
        <w:tc>
          <w:tcPr>
            <w:tcW w:w="4323" w:type="dxa"/>
            <w:tcBorders>
              <w:top w:val="nil"/>
              <w:left w:val="single" w:sz="4" w:space="0" w:color="auto"/>
              <w:bottom w:val="single" w:sz="4" w:space="0" w:color="auto"/>
              <w:right w:val="single" w:sz="4" w:space="0" w:color="auto"/>
            </w:tcBorders>
            <w:shd w:val="clear" w:color="auto" w:fill="auto"/>
            <w:noWrap/>
            <w:vAlign w:val="bottom"/>
            <w:hideMark/>
          </w:tcPr>
          <w:p w:rsidR="00970E74" w:rsidRPr="00BC79B5" w:rsidRDefault="00970E74" w:rsidP="00BC79B5">
            <w:pPr>
              <w:spacing w:line="360" w:lineRule="auto"/>
              <w:jc w:val="both"/>
              <w:rPr>
                <w:rFonts w:ascii="Arial" w:eastAsia="Times New Roman" w:hAnsi="Arial" w:cs="Arial"/>
                <w:b/>
                <w:bCs/>
                <w:color w:val="000000"/>
                <w:sz w:val="18"/>
                <w:lang w:eastAsia="es-ES"/>
              </w:rPr>
            </w:pPr>
            <w:r w:rsidRPr="00BC79B5">
              <w:rPr>
                <w:rFonts w:ascii="Arial" w:eastAsia="Times New Roman" w:hAnsi="Arial" w:cs="Arial"/>
                <w:b/>
                <w:bCs/>
                <w:color w:val="000000"/>
                <w:sz w:val="18"/>
                <w:lang w:eastAsia="es-ES"/>
              </w:rPr>
              <w:t>Panorama de las Sociedades de Depósito</w:t>
            </w:r>
          </w:p>
        </w:tc>
        <w:tc>
          <w:tcPr>
            <w:tcW w:w="1417" w:type="dxa"/>
            <w:tcBorders>
              <w:top w:val="nil"/>
              <w:left w:val="nil"/>
              <w:bottom w:val="single" w:sz="4" w:space="0" w:color="auto"/>
              <w:right w:val="single" w:sz="4" w:space="0" w:color="auto"/>
            </w:tcBorders>
            <w:shd w:val="clear" w:color="auto" w:fill="auto"/>
            <w:noWrap/>
            <w:vAlign w:val="bottom"/>
            <w:hideMark/>
          </w:tcPr>
          <w:p w:rsidR="00970E74" w:rsidRPr="00BC79B5" w:rsidRDefault="00970E74" w:rsidP="00BC79B5">
            <w:pPr>
              <w:spacing w:line="360" w:lineRule="auto"/>
              <w:jc w:val="both"/>
              <w:rPr>
                <w:rFonts w:ascii="Arial" w:eastAsia="Times New Roman" w:hAnsi="Arial" w:cs="Arial"/>
                <w:color w:val="000000"/>
                <w:sz w:val="18"/>
                <w:lang w:eastAsia="es-ES"/>
              </w:rPr>
            </w:pPr>
            <w:r w:rsidRPr="00BC79B5">
              <w:rPr>
                <w:rFonts w:ascii="Arial" w:eastAsia="Times New Roman" w:hAnsi="Arial" w:cs="Arial"/>
                <w:color w:val="000000"/>
                <w:sz w:val="18"/>
                <w:lang w:eastAsia="es-ES"/>
              </w:rPr>
              <w:t>Mensual</w:t>
            </w:r>
          </w:p>
        </w:tc>
        <w:tc>
          <w:tcPr>
            <w:tcW w:w="1985" w:type="dxa"/>
            <w:tcBorders>
              <w:top w:val="nil"/>
              <w:left w:val="nil"/>
              <w:bottom w:val="single" w:sz="4" w:space="0" w:color="auto"/>
              <w:right w:val="single" w:sz="4" w:space="0" w:color="auto"/>
            </w:tcBorders>
            <w:shd w:val="clear" w:color="auto" w:fill="auto"/>
            <w:noWrap/>
            <w:vAlign w:val="bottom"/>
            <w:hideMark/>
          </w:tcPr>
          <w:p w:rsidR="00970E74" w:rsidRPr="00BC79B5" w:rsidRDefault="00970E74" w:rsidP="00BC79B5">
            <w:pPr>
              <w:spacing w:line="360" w:lineRule="auto"/>
              <w:jc w:val="both"/>
              <w:rPr>
                <w:rFonts w:ascii="Arial" w:eastAsia="Times New Roman" w:hAnsi="Arial" w:cs="Arial"/>
                <w:color w:val="000000"/>
                <w:sz w:val="18"/>
                <w:lang w:eastAsia="es-ES"/>
              </w:rPr>
            </w:pPr>
            <w:r w:rsidRPr="00BC79B5">
              <w:rPr>
                <w:rFonts w:ascii="Arial" w:eastAsia="Times New Roman" w:hAnsi="Arial" w:cs="Arial"/>
                <w:color w:val="000000"/>
                <w:sz w:val="18"/>
                <w:lang w:eastAsia="es-ES"/>
              </w:rPr>
              <w:t>25 días después del periodo</w:t>
            </w:r>
          </w:p>
        </w:tc>
        <w:tc>
          <w:tcPr>
            <w:tcW w:w="919" w:type="dxa"/>
            <w:tcBorders>
              <w:top w:val="nil"/>
              <w:left w:val="nil"/>
              <w:bottom w:val="single" w:sz="4" w:space="0" w:color="auto"/>
              <w:right w:val="single" w:sz="4" w:space="0" w:color="auto"/>
            </w:tcBorders>
            <w:shd w:val="clear" w:color="auto" w:fill="auto"/>
            <w:noWrap/>
            <w:vAlign w:val="bottom"/>
            <w:hideMark/>
          </w:tcPr>
          <w:p w:rsidR="00970E74" w:rsidRPr="00BC79B5" w:rsidRDefault="00970E74" w:rsidP="00BC79B5">
            <w:pPr>
              <w:spacing w:line="360" w:lineRule="auto"/>
              <w:jc w:val="both"/>
              <w:rPr>
                <w:rFonts w:ascii="Arial" w:eastAsia="Times New Roman" w:hAnsi="Arial" w:cs="Arial"/>
                <w:color w:val="000000"/>
                <w:sz w:val="18"/>
                <w:lang w:eastAsia="es-ES"/>
              </w:rPr>
            </w:pPr>
            <w:r w:rsidRPr="00BC79B5">
              <w:rPr>
                <w:rFonts w:ascii="Arial" w:eastAsia="Times New Roman" w:hAnsi="Arial" w:cs="Arial"/>
                <w:color w:val="000000"/>
                <w:sz w:val="18"/>
                <w:lang w:eastAsia="es-ES"/>
              </w:rPr>
              <w:t>Definitivo</w:t>
            </w:r>
          </w:p>
        </w:tc>
      </w:tr>
      <w:tr w:rsidR="00970E74" w:rsidRPr="00BC79B5" w:rsidTr="00B6434C">
        <w:trPr>
          <w:trHeight w:val="300"/>
        </w:trPr>
        <w:tc>
          <w:tcPr>
            <w:tcW w:w="4323" w:type="dxa"/>
            <w:tcBorders>
              <w:top w:val="nil"/>
              <w:left w:val="single" w:sz="4" w:space="0" w:color="auto"/>
              <w:bottom w:val="single" w:sz="4" w:space="0" w:color="auto"/>
              <w:right w:val="single" w:sz="4" w:space="0" w:color="auto"/>
            </w:tcBorders>
            <w:shd w:val="clear" w:color="auto" w:fill="auto"/>
            <w:noWrap/>
            <w:vAlign w:val="bottom"/>
            <w:hideMark/>
          </w:tcPr>
          <w:p w:rsidR="00970E74" w:rsidRPr="00BC79B5" w:rsidRDefault="00970E74" w:rsidP="00BC79B5">
            <w:pPr>
              <w:spacing w:line="360" w:lineRule="auto"/>
              <w:jc w:val="both"/>
              <w:rPr>
                <w:rFonts w:ascii="Arial" w:eastAsia="Times New Roman" w:hAnsi="Arial" w:cs="Arial"/>
                <w:b/>
                <w:bCs/>
                <w:color w:val="000000"/>
                <w:sz w:val="18"/>
                <w:lang w:eastAsia="es-ES"/>
              </w:rPr>
            </w:pPr>
            <w:r w:rsidRPr="00BC79B5">
              <w:rPr>
                <w:rFonts w:ascii="Arial" w:eastAsia="Times New Roman" w:hAnsi="Arial" w:cs="Arial"/>
                <w:b/>
                <w:bCs/>
                <w:color w:val="000000"/>
                <w:sz w:val="18"/>
                <w:lang w:eastAsia="es-ES"/>
              </w:rPr>
              <w:t>Agregados Monetarios</w:t>
            </w:r>
          </w:p>
        </w:tc>
        <w:tc>
          <w:tcPr>
            <w:tcW w:w="1417" w:type="dxa"/>
            <w:tcBorders>
              <w:top w:val="nil"/>
              <w:left w:val="nil"/>
              <w:bottom w:val="single" w:sz="4" w:space="0" w:color="auto"/>
              <w:right w:val="single" w:sz="4" w:space="0" w:color="auto"/>
            </w:tcBorders>
            <w:shd w:val="clear" w:color="auto" w:fill="auto"/>
            <w:noWrap/>
            <w:vAlign w:val="bottom"/>
            <w:hideMark/>
          </w:tcPr>
          <w:p w:rsidR="00970E74" w:rsidRPr="00BC79B5" w:rsidRDefault="00970E74" w:rsidP="00BC79B5">
            <w:pPr>
              <w:spacing w:line="360" w:lineRule="auto"/>
              <w:jc w:val="both"/>
              <w:rPr>
                <w:rFonts w:ascii="Arial" w:eastAsia="Times New Roman" w:hAnsi="Arial" w:cs="Arial"/>
                <w:color w:val="000000"/>
                <w:sz w:val="18"/>
                <w:lang w:eastAsia="es-ES"/>
              </w:rPr>
            </w:pPr>
            <w:r w:rsidRPr="00BC79B5">
              <w:rPr>
                <w:rFonts w:ascii="Arial" w:eastAsia="Times New Roman" w:hAnsi="Arial" w:cs="Arial"/>
                <w:color w:val="000000"/>
                <w:sz w:val="18"/>
                <w:lang w:eastAsia="es-ES"/>
              </w:rPr>
              <w:t>Mensual</w:t>
            </w:r>
          </w:p>
        </w:tc>
        <w:tc>
          <w:tcPr>
            <w:tcW w:w="1985" w:type="dxa"/>
            <w:tcBorders>
              <w:top w:val="nil"/>
              <w:left w:val="nil"/>
              <w:bottom w:val="single" w:sz="4" w:space="0" w:color="auto"/>
              <w:right w:val="single" w:sz="4" w:space="0" w:color="auto"/>
            </w:tcBorders>
            <w:shd w:val="clear" w:color="auto" w:fill="auto"/>
            <w:noWrap/>
            <w:vAlign w:val="bottom"/>
            <w:hideMark/>
          </w:tcPr>
          <w:p w:rsidR="00970E74" w:rsidRPr="00BC79B5" w:rsidRDefault="00970E74" w:rsidP="00BC79B5">
            <w:pPr>
              <w:spacing w:line="360" w:lineRule="auto"/>
              <w:jc w:val="both"/>
              <w:rPr>
                <w:rFonts w:ascii="Arial" w:eastAsia="Times New Roman" w:hAnsi="Arial" w:cs="Arial"/>
                <w:color w:val="000000"/>
                <w:sz w:val="18"/>
                <w:lang w:eastAsia="es-ES"/>
              </w:rPr>
            </w:pPr>
            <w:r w:rsidRPr="00BC79B5">
              <w:rPr>
                <w:rFonts w:ascii="Arial" w:eastAsia="Times New Roman" w:hAnsi="Arial" w:cs="Arial"/>
                <w:color w:val="000000"/>
                <w:sz w:val="18"/>
                <w:lang w:eastAsia="es-ES"/>
              </w:rPr>
              <w:t>25 días después del periodo</w:t>
            </w:r>
          </w:p>
        </w:tc>
        <w:tc>
          <w:tcPr>
            <w:tcW w:w="919" w:type="dxa"/>
            <w:tcBorders>
              <w:top w:val="nil"/>
              <w:left w:val="nil"/>
              <w:bottom w:val="single" w:sz="4" w:space="0" w:color="auto"/>
              <w:right w:val="single" w:sz="4" w:space="0" w:color="auto"/>
            </w:tcBorders>
            <w:shd w:val="clear" w:color="auto" w:fill="auto"/>
            <w:noWrap/>
            <w:vAlign w:val="bottom"/>
            <w:hideMark/>
          </w:tcPr>
          <w:p w:rsidR="00970E74" w:rsidRPr="00BC79B5" w:rsidRDefault="00970E74" w:rsidP="00BC79B5">
            <w:pPr>
              <w:spacing w:line="360" w:lineRule="auto"/>
              <w:jc w:val="both"/>
              <w:rPr>
                <w:rFonts w:ascii="Arial" w:eastAsia="Times New Roman" w:hAnsi="Arial" w:cs="Arial"/>
                <w:color w:val="000000"/>
                <w:sz w:val="18"/>
                <w:lang w:eastAsia="es-ES"/>
              </w:rPr>
            </w:pPr>
            <w:r w:rsidRPr="00BC79B5">
              <w:rPr>
                <w:rFonts w:ascii="Arial" w:eastAsia="Times New Roman" w:hAnsi="Arial" w:cs="Arial"/>
                <w:color w:val="000000"/>
                <w:sz w:val="18"/>
                <w:lang w:eastAsia="es-ES"/>
              </w:rPr>
              <w:t>Definitivo</w:t>
            </w:r>
          </w:p>
        </w:tc>
      </w:tr>
      <w:tr w:rsidR="00970E74" w:rsidRPr="00BC79B5" w:rsidTr="00B6434C">
        <w:trPr>
          <w:trHeight w:val="300"/>
        </w:trPr>
        <w:tc>
          <w:tcPr>
            <w:tcW w:w="4323" w:type="dxa"/>
            <w:tcBorders>
              <w:top w:val="nil"/>
              <w:left w:val="single" w:sz="4" w:space="0" w:color="auto"/>
              <w:bottom w:val="single" w:sz="4" w:space="0" w:color="auto"/>
              <w:right w:val="single" w:sz="4" w:space="0" w:color="auto"/>
            </w:tcBorders>
            <w:shd w:val="clear" w:color="auto" w:fill="auto"/>
            <w:noWrap/>
            <w:vAlign w:val="bottom"/>
            <w:hideMark/>
          </w:tcPr>
          <w:p w:rsidR="00970E74" w:rsidRPr="00BC79B5" w:rsidRDefault="00970E74" w:rsidP="00BC79B5">
            <w:pPr>
              <w:spacing w:line="360" w:lineRule="auto"/>
              <w:jc w:val="both"/>
              <w:rPr>
                <w:rFonts w:ascii="Arial" w:eastAsia="Times New Roman" w:hAnsi="Arial" w:cs="Arial"/>
                <w:b/>
                <w:bCs/>
                <w:color w:val="000000"/>
                <w:sz w:val="18"/>
                <w:lang w:eastAsia="es-ES"/>
              </w:rPr>
            </w:pPr>
            <w:r w:rsidRPr="00BC79B5">
              <w:rPr>
                <w:rFonts w:ascii="Arial" w:eastAsia="Times New Roman" w:hAnsi="Arial" w:cs="Arial"/>
                <w:b/>
                <w:bCs/>
                <w:color w:val="000000"/>
                <w:sz w:val="18"/>
                <w:lang w:eastAsia="es-ES"/>
              </w:rPr>
              <w:t>Tasas de Interés Bancarias Activas (MN)</w:t>
            </w:r>
          </w:p>
        </w:tc>
        <w:tc>
          <w:tcPr>
            <w:tcW w:w="1417" w:type="dxa"/>
            <w:tcBorders>
              <w:top w:val="nil"/>
              <w:left w:val="nil"/>
              <w:bottom w:val="single" w:sz="4" w:space="0" w:color="auto"/>
              <w:right w:val="single" w:sz="4" w:space="0" w:color="auto"/>
            </w:tcBorders>
            <w:shd w:val="clear" w:color="auto" w:fill="auto"/>
            <w:noWrap/>
            <w:vAlign w:val="bottom"/>
            <w:hideMark/>
          </w:tcPr>
          <w:p w:rsidR="00970E74" w:rsidRPr="00BC79B5" w:rsidRDefault="00970E74" w:rsidP="00BC79B5">
            <w:pPr>
              <w:spacing w:line="360" w:lineRule="auto"/>
              <w:jc w:val="both"/>
              <w:rPr>
                <w:rFonts w:ascii="Arial" w:eastAsia="Times New Roman" w:hAnsi="Arial" w:cs="Arial"/>
                <w:color w:val="000000"/>
                <w:sz w:val="18"/>
                <w:lang w:eastAsia="es-ES"/>
              </w:rPr>
            </w:pPr>
            <w:r w:rsidRPr="00BC79B5">
              <w:rPr>
                <w:rFonts w:ascii="Arial" w:eastAsia="Times New Roman" w:hAnsi="Arial" w:cs="Arial"/>
                <w:color w:val="000000"/>
                <w:sz w:val="18"/>
                <w:lang w:eastAsia="es-ES"/>
              </w:rPr>
              <w:t>Mensual</w:t>
            </w:r>
          </w:p>
        </w:tc>
        <w:tc>
          <w:tcPr>
            <w:tcW w:w="1985" w:type="dxa"/>
            <w:tcBorders>
              <w:top w:val="nil"/>
              <w:left w:val="nil"/>
              <w:bottom w:val="single" w:sz="4" w:space="0" w:color="auto"/>
              <w:right w:val="single" w:sz="4" w:space="0" w:color="auto"/>
            </w:tcBorders>
            <w:shd w:val="clear" w:color="auto" w:fill="auto"/>
            <w:noWrap/>
            <w:vAlign w:val="bottom"/>
            <w:hideMark/>
          </w:tcPr>
          <w:p w:rsidR="00970E74" w:rsidRPr="00BC79B5" w:rsidRDefault="00970E74" w:rsidP="00BC79B5">
            <w:pPr>
              <w:spacing w:line="360" w:lineRule="auto"/>
              <w:jc w:val="both"/>
              <w:rPr>
                <w:rFonts w:ascii="Arial" w:eastAsia="Times New Roman" w:hAnsi="Arial" w:cs="Arial"/>
                <w:color w:val="000000"/>
                <w:sz w:val="18"/>
                <w:lang w:eastAsia="es-ES"/>
              </w:rPr>
            </w:pPr>
            <w:r w:rsidRPr="00BC79B5">
              <w:rPr>
                <w:rFonts w:ascii="Arial" w:eastAsia="Times New Roman" w:hAnsi="Arial" w:cs="Arial"/>
                <w:color w:val="000000"/>
                <w:sz w:val="18"/>
                <w:lang w:eastAsia="es-ES"/>
              </w:rPr>
              <w:t>25 días después del periodo</w:t>
            </w:r>
          </w:p>
        </w:tc>
        <w:tc>
          <w:tcPr>
            <w:tcW w:w="919" w:type="dxa"/>
            <w:tcBorders>
              <w:top w:val="nil"/>
              <w:left w:val="nil"/>
              <w:bottom w:val="single" w:sz="4" w:space="0" w:color="auto"/>
              <w:right w:val="single" w:sz="4" w:space="0" w:color="auto"/>
            </w:tcBorders>
            <w:shd w:val="clear" w:color="auto" w:fill="auto"/>
            <w:noWrap/>
            <w:vAlign w:val="bottom"/>
            <w:hideMark/>
          </w:tcPr>
          <w:p w:rsidR="00970E74" w:rsidRPr="00BC79B5" w:rsidRDefault="00970E74" w:rsidP="00BC79B5">
            <w:pPr>
              <w:spacing w:line="360" w:lineRule="auto"/>
              <w:jc w:val="both"/>
              <w:rPr>
                <w:rFonts w:ascii="Arial" w:eastAsia="Times New Roman" w:hAnsi="Arial" w:cs="Arial"/>
                <w:color w:val="000000"/>
                <w:sz w:val="18"/>
                <w:lang w:eastAsia="es-ES"/>
              </w:rPr>
            </w:pPr>
            <w:r w:rsidRPr="00BC79B5">
              <w:rPr>
                <w:rFonts w:ascii="Arial" w:eastAsia="Times New Roman" w:hAnsi="Arial" w:cs="Arial"/>
                <w:color w:val="000000"/>
                <w:sz w:val="18"/>
                <w:lang w:eastAsia="es-ES"/>
              </w:rPr>
              <w:t>Definitivo</w:t>
            </w:r>
          </w:p>
        </w:tc>
      </w:tr>
      <w:tr w:rsidR="00970E74" w:rsidRPr="00BC79B5" w:rsidTr="00B6434C">
        <w:trPr>
          <w:trHeight w:val="300"/>
        </w:trPr>
        <w:tc>
          <w:tcPr>
            <w:tcW w:w="4323" w:type="dxa"/>
            <w:tcBorders>
              <w:top w:val="nil"/>
              <w:left w:val="single" w:sz="4" w:space="0" w:color="auto"/>
              <w:bottom w:val="single" w:sz="4" w:space="0" w:color="auto"/>
              <w:right w:val="single" w:sz="4" w:space="0" w:color="auto"/>
            </w:tcBorders>
            <w:shd w:val="clear" w:color="auto" w:fill="auto"/>
            <w:noWrap/>
            <w:vAlign w:val="bottom"/>
            <w:hideMark/>
          </w:tcPr>
          <w:tbl>
            <w:tblPr>
              <w:tblW w:w="4419" w:type="dxa"/>
              <w:tblLayout w:type="fixed"/>
              <w:tblCellMar>
                <w:left w:w="70" w:type="dxa"/>
                <w:right w:w="70" w:type="dxa"/>
              </w:tblCellMar>
              <w:tblLook w:val="04A0"/>
            </w:tblPr>
            <w:tblGrid>
              <w:gridCol w:w="3713"/>
              <w:gridCol w:w="706"/>
            </w:tblGrid>
            <w:tr w:rsidR="00970E74" w:rsidRPr="00BC79B5" w:rsidTr="00B6434C">
              <w:trPr>
                <w:trHeight w:val="300"/>
              </w:trPr>
              <w:tc>
                <w:tcPr>
                  <w:tcW w:w="3713" w:type="dxa"/>
                  <w:tcBorders>
                    <w:top w:val="nil"/>
                    <w:left w:val="nil"/>
                    <w:bottom w:val="nil"/>
                    <w:right w:val="nil"/>
                  </w:tcBorders>
                  <w:shd w:val="clear" w:color="auto" w:fill="auto"/>
                  <w:noWrap/>
                  <w:vAlign w:val="bottom"/>
                  <w:hideMark/>
                </w:tcPr>
                <w:p w:rsidR="00970E74" w:rsidRPr="00BC79B5" w:rsidRDefault="00970E74" w:rsidP="00BC79B5">
                  <w:pPr>
                    <w:spacing w:line="360" w:lineRule="auto"/>
                    <w:jc w:val="both"/>
                    <w:rPr>
                      <w:rFonts w:ascii="Arial" w:hAnsi="Arial" w:cs="Arial"/>
                      <w:sz w:val="18"/>
                    </w:rPr>
                  </w:pPr>
                  <w:r w:rsidRPr="00BC79B5">
                    <w:rPr>
                      <w:rFonts w:ascii="Arial" w:eastAsia="Times New Roman" w:hAnsi="Arial" w:cs="Arial"/>
                      <w:b/>
                      <w:bCs/>
                      <w:color w:val="000000"/>
                      <w:sz w:val="18"/>
                      <w:lang w:eastAsia="es-ES"/>
                    </w:rPr>
                    <w:t>Valores subastados por el Banco Central por plazos en colocación en Moneda Nacional</w:t>
                  </w:r>
                </w:p>
              </w:tc>
              <w:tc>
                <w:tcPr>
                  <w:tcW w:w="706" w:type="dxa"/>
                  <w:tcBorders>
                    <w:top w:val="nil"/>
                    <w:left w:val="nil"/>
                    <w:bottom w:val="nil"/>
                    <w:right w:val="nil"/>
                  </w:tcBorders>
                  <w:shd w:val="clear" w:color="auto" w:fill="auto"/>
                  <w:noWrap/>
                  <w:vAlign w:val="bottom"/>
                  <w:hideMark/>
                </w:tcPr>
                <w:p w:rsidR="00970E74" w:rsidRPr="00BC79B5" w:rsidRDefault="00970E74" w:rsidP="00BC79B5">
                  <w:pPr>
                    <w:spacing w:line="360" w:lineRule="auto"/>
                    <w:jc w:val="both"/>
                    <w:rPr>
                      <w:rFonts w:ascii="Arial" w:hAnsi="Arial" w:cs="Arial"/>
                      <w:sz w:val="18"/>
                    </w:rPr>
                  </w:pPr>
                </w:p>
              </w:tc>
            </w:tr>
          </w:tbl>
          <w:p w:rsidR="00970E74" w:rsidRPr="00BC79B5" w:rsidRDefault="00970E74" w:rsidP="00BC79B5">
            <w:pPr>
              <w:spacing w:line="360" w:lineRule="auto"/>
              <w:jc w:val="both"/>
              <w:rPr>
                <w:rFonts w:ascii="Arial" w:eastAsia="Times New Roman" w:hAnsi="Arial" w:cs="Arial"/>
                <w:b/>
                <w:bCs/>
                <w:color w:val="000000"/>
                <w:sz w:val="18"/>
                <w:lang w:eastAsia="es-ES"/>
              </w:rPr>
            </w:pPr>
          </w:p>
        </w:tc>
        <w:tc>
          <w:tcPr>
            <w:tcW w:w="1417" w:type="dxa"/>
            <w:tcBorders>
              <w:top w:val="nil"/>
              <w:left w:val="nil"/>
              <w:bottom w:val="single" w:sz="4" w:space="0" w:color="auto"/>
              <w:right w:val="single" w:sz="4" w:space="0" w:color="auto"/>
            </w:tcBorders>
            <w:shd w:val="clear" w:color="auto" w:fill="auto"/>
            <w:noWrap/>
            <w:vAlign w:val="bottom"/>
            <w:hideMark/>
          </w:tcPr>
          <w:p w:rsidR="00970E74" w:rsidRPr="00BC79B5" w:rsidRDefault="00970E74" w:rsidP="00BC79B5">
            <w:pPr>
              <w:spacing w:line="360" w:lineRule="auto"/>
              <w:jc w:val="both"/>
              <w:rPr>
                <w:rFonts w:ascii="Arial" w:eastAsia="Times New Roman" w:hAnsi="Arial" w:cs="Arial"/>
                <w:color w:val="000000"/>
                <w:sz w:val="18"/>
                <w:lang w:eastAsia="es-ES"/>
              </w:rPr>
            </w:pPr>
            <w:r w:rsidRPr="00BC79B5">
              <w:rPr>
                <w:rFonts w:ascii="Arial" w:eastAsia="Times New Roman" w:hAnsi="Arial" w:cs="Arial"/>
                <w:color w:val="000000"/>
                <w:sz w:val="18"/>
                <w:lang w:eastAsia="es-ES"/>
              </w:rPr>
              <w:t>Mensual</w:t>
            </w:r>
          </w:p>
        </w:tc>
        <w:tc>
          <w:tcPr>
            <w:tcW w:w="1985" w:type="dxa"/>
            <w:tcBorders>
              <w:top w:val="nil"/>
              <w:left w:val="nil"/>
              <w:bottom w:val="single" w:sz="4" w:space="0" w:color="auto"/>
              <w:right w:val="single" w:sz="4" w:space="0" w:color="auto"/>
            </w:tcBorders>
            <w:shd w:val="clear" w:color="auto" w:fill="auto"/>
            <w:noWrap/>
            <w:vAlign w:val="bottom"/>
            <w:hideMark/>
          </w:tcPr>
          <w:p w:rsidR="00970E74" w:rsidRPr="00BC79B5" w:rsidRDefault="00970E74" w:rsidP="00BC79B5">
            <w:pPr>
              <w:spacing w:line="360" w:lineRule="auto"/>
              <w:jc w:val="both"/>
              <w:rPr>
                <w:rFonts w:ascii="Arial" w:eastAsia="Times New Roman" w:hAnsi="Arial" w:cs="Arial"/>
                <w:color w:val="000000"/>
                <w:sz w:val="18"/>
                <w:lang w:eastAsia="es-ES"/>
              </w:rPr>
            </w:pPr>
            <w:r w:rsidRPr="00BC79B5">
              <w:rPr>
                <w:rFonts w:ascii="Arial" w:eastAsia="Times New Roman" w:hAnsi="Arial" w:cs="Arial"/>
                <w:color w:val="000000"/>
                <w:sz w:val="18"/>
                <w:lang w:eastAsia="es-ES"/>
              </w:rPr>
              <w:t>25 días después del periodo</w:t>
            </w:r>
          </w:p>
        </w:tc>
        <w:tc>
          <w:tcPr>
            <w:tcW w:w="919" w:type="dxa"/>
            <w:tcBorders>
              <w:top w:val="nil"/>
              <w:left w:val="nil"/>
              <w:bottom w:val="single" w:sz="4" w:space="0" w:color="auto"/>
              <w:right w:val="single" w:sz="4" w:space="0" w:color="auto"/>
            </w:tcBorders>
            <w:shd w:val="clear" w:color="auto" w:fill="auto"/>
            <w:noWrap/>
            <w:vAlign w:val="bottom"/>
            <w:hideMark/>
          </w:tcPr>
          <w:p w:rsidR="00970E74" w:rsidRPr="00BC79B5" w:rsidRDefault="00970E74" w:rsidP="00BC79B5">
            <w:pPr>
              <w:spacing w:line="360" w:lineRule="auto"/>
              <w:jc w:val="both"/>
              <w:rPr>
                <w:rFonts w:ascii="Arial" w:eastAsia="Times New Roman" w:hAnsi="Arial" w:cs="Arial"/>
                <w:color w:val="000000"/>
                <w:sz w:val="18"/>
                <w:lang w:eastAsia="es-ES"/>
              </w:rPr>
            </w:pPr>
            <w:r w:rsidRPr="00BC79B5">
              <w:rPr>
                <w:rFonts w:ascii="Arial" w:eastAsia="Times New Roman" w:hAnsi="Arial" w:cs="Arial"/>
                <w:color w:val="000000"/>
                <w:sz w:val="18"/>
                <w:lang w:eastAsia="es-ES"/>
              </w:rPr>
              <w:t>Definitivo</w:t>
            </w:r>
          </w:p>
        </w:tc>
      </w:tr>
      <w:tr w:rsidR="00970E74" w:rsidRPr="00BC79B5" w:rsidTr="00B6434C">
        <w:trPr>
          <w:trHeight w:val="300"/>
        </w:trPr>
        <w:tc>
          <w:tcPr>
            <w:tcW w:w="4323" w:type="dxa"/>
            <w:tcBorders>
              <w:top w:val="nil"/>
              <w:left w:val="single" w:sz="4" w:space="0" w:color="auto"/>
              <w:bottom w:val="single" w:sz="4" w:space="0" w:color="auto"/>
              <w:right w:val="single" w:sz="4" w:space="0" w:color="auto"/>
            </w:tcBorders>
            <w:shd w:val="clear" w:color="auto" w:fill="auto"/>
            <w:noWrap/>
            <w:vAlign w:val="bottom"/>
            <w:hideMark/>
          </w:tcPr>
          <w:p w:rsidR="00970E74" w:rsidRPr="00BC79B5" w:rsidRDefault="00970E74" w:rsidP="00BC79B5">
            <w:pPr>
              <w:spacing w:line="360" w:lineRule="auto"/>
              <w:jc w:val="both"/>
              <w:rPr>
                <w:rFonts w:ascii="Arial" w:eastAsia="Times New Roman" w:hAnsi="Arial" w:cs="Arial"/>
                <w:b/>
                <w:bCs/>
                <w:color w:val="000000"/>
                <w:sz w:val="18"/>
                <w:lang w:eastAsia="es-ES"/>
              </w:rPr>
            </w:pPr>
            <w:r w:rsidRPr="00BC79B5">
              <w:rPr>
                <w:rFonts w:ascii="Arial" w:eastAsia="Times New Roman" w:hAnsi="Arial" w:cs="Arial"/>
                <w:b/>
                <w:bCs/>
                <w:color w:val="000000"/>
                <w:sz w:val="18"/>
                <w:lang w:eastAsia="es-ES"/>
              </w:rPr>
              <w:t>Tasas de Interés Bancarias Pasivas (MN)</w:t>
            </w:r>
          </w:p>
        </w:tc>
        <w:tc>
          <w:tcPr>
            <w:tcW w:w="1417" w:type="dxa"/>
            <w:tcBorders>
              <w:top w:val="nil"/>
              <w:left w:val="nil"/>
              <w:bottom w:val="single" w:sz="4" w:space="0" w:color="auto"/>
              <w:right w:val="single" w:sz="4" w:space="0" w:color="auto"/>
            </w:tcBorders>
            <w:shd w:val="clear" w:color="auto" w:fill="auto"/>
            <w:noWrap/>
            <w:vAlign w:val="bottom"/>
            <w:hideMark/>
          </w:tcPr>
          <w:p w:rsidR="00970E74" w:rsidRPr="00BC79B5" w:rsidRDefault="00970E74" w:rsidP="00BC79B5">
            <w:pPr>
              <w:spacing w:line="360" w:lineRule="auto"/>
              <w:jc w:val="both"/>
              <w:rPr>
                <w:rFonts w:ascii="Arial" w:eastAsia="Times New Roman" w:hAnsi="Arial" w:cs="Arial"/>
                <w:color w:val="000000"/>
                <w:sz w:val="18"/>
                <w:lang w:eastAsia="es-ES"/>
              </w:rPr>
            </w:pPr>
            <w:r w:rsidRPr="00BC79B5">
              <w:rPr>
                <w:rFonts w:ascii="Arial" w:eastAsia="Times New Roman" w:hAnsi="Arial" w:cs="Arial"/>
                <w:color w:val="000000"/>
                <w:sz w:val="18"/>
                <w:lang w:eastAsia="es-ES"/>
              </w:rPr>
              <w:t>Mensual</w:t>
            </w:r>
          </w:p>
        </w:tc>
        <w:tc>
          <w:tcPr>
            <w:tcW w:w="1985" w:type="dxa"/>
            <w:tcBorders>
              <w:top w:val="nil"/>
              <w:left w:val="nil"/>
              <w:bottom w:val="single" w:sz="4" w:space="0" w:color="auto"/>
              <w:right w:val="single" w:sz="4" w:space="0" w:color="auto"/>
            </w:tcBorders>
            <w:shd w:val="clear" w:color="auto" w:fill="auto"/>
            <w:noWrap/>
            <w:vAlign w:val="bottom"/>
            <w:hideMark/>
          </w:tcPr>
          <w:p w:rsidR="00970E74" w:rsidRPr="00BC79B5" w:rsidRDefault="00970E74" w:rsidP="00BC79B5">
            <w:pPr>
              <w:spacing w:line="360" w:lineRule="auto"/>
              <w:jc w:val="both"/>
              <w:rPr>
                <w:rFonts w:ascii="Arial" w:eastAsia="Times New Roman" w:hAnsi="Arial" w:cs="Arial"/>
                <w:color w:val="000000"/>
                <w:sz w:val="18"/>
                <w:lang w:eastAsia="es-ES"/>
              </w:rPr>
            </w:pPr>
            <w:r w:rsidRPr="00BC79B5">
              <w:rPr>
                <w:rFonts w:ascii="Arial" w:eastAsia="Times New Roman" w:hAnsi="Arial" w:cs="Arial"/>
                <w:color w:val="000000"/>
                <w:sz w:val="18"/>
                <w:lang w:eastAsia="es-ES"/>
              </w:rPr>
              <w:t>25 días después del periodo</w:t>
            </w:r>
          </w:p>
        </w:tc>
        <w:tc>
          <w:tcPr>
            <w:tcW w:w="919" w:type="dxa"/>
            <w:tcBorders>
              <w:top w:val="nil"/>
              <w:left w:val="nil"/>
              <w:bottom w:val="single" w:sz="4" w:space="0" w:color="auto"/>
              <w:right w:val="single" w:sz="4" w:space="0" w:color="auto"/>
            </w:tcBorders>
            <w:shd w:val="clear" w:color="auto" w:fill="auto"/>
            <w:noWrap/>
            <w:vAlign w:val="bottom"/>
            <w:hideMark/>
          </w:tcPr>
          <w:p w:rsidR="00970E74" w:rsidRPr="00BC79B5" w:rsidRDefault="00970E74" w:rsidP="00BC79B5">
            <w:pPr>
              <w:spacing w:line="360" w:lineRule="auto"/>
              <w:jc w:val="both"/>
              <w:rPr>
                <w:rFonts w:ascii="Arial" w:eastAsia="Times New Roman" w:hAnsi="Arial" w:cs="Arial"/>
                <w:color w:val="000000"/>
                <w:sz w:val="18"/>
                <w:lang w:eastAsia="es-ES"/>
              </w:rPr>
            </w:pPr>
            <w:r w:rsidRPr="00BC79B5">
              <w:rPr>
                <w:rFonts w:ascii="Arial" w:eastAsia="Times New Roman" w:hAnsi="Arial" w:cs="Arial"/>
                <w:color w:val="000000"/>
                <w:sz w:val="18"/>
                <w:lang w:eastAsia="es-ES"/>
              </w:rPr>
              <w:t>Definitivo</w:t>
            </w:r>
          </w:p>
        </w:tc>
      </w:tr>
    </w:tbl>
    <w:p w:rsidR="00970E74" w:rsidRPr="00BC79B5" w:rsidRDefault="00970E74" w:rsidP="00BC79B5">
      <w:pPr>
        <w:spacing w:line="360" w:lineRule="auto"/>
        <w:jc w:val="both"/>
        <w:rPr>
          <w:rFonts w:ascii="Arial" w:hAnsi="Arial" w:cs="Arial"/>
        </w:rPr>
      </w:pPr>
    </w:p>
    <w:p w:rsidR="00970E74" w:rsidRDefault="002312E8" w:rsidP="006E1F36">
      <w:pPr>
        <w:pStyle w:val="Heading2"/>
        <w:rPr>
          <w:rFonts w:ascii="Times New Roman" w:hAnsi="Times New Roman" w:cs="Times New Roman"/>
          <w:sz w:val="26"/>
          <w:lang w:val="es-DO"/>
        </w:rPr>
      </w:pPr>
      <w:bookmarkStart w:id="41" w:name="_Toc397931714"/>
      <w:bookmarkStart w:id="42" w:name="_Toc398801717"/>
      <w:r>
        <w:rPr>
          <w:rFonts w:ascii="Times New Roman" w:hAnsi="Times New Roman" w:cs="Times New Roman"/>
          <w:sz w:val="26"/>
          <w:lang w:val="es-DO"/>
        </w:rPr>
        <w:t>VI.</w:t>
      </w:r>
      <w:r w:rsidR="00571C85">
        <w:rPr>
          <w:rFonts w:ascii="Times New Roman" w:hAnsi="Times New Roman" w:cs="Times New Roman"/>
          <w:sz w:val="26"/>
          <w:lang w:val="es-DO"/>
        </w:rPr>
        <w:t>F. Proyecciones</w:t>
      </w:r>
      <w:bookmarkEnd w:id="41"/>
      <w:bookmarkEnd w:id="42"/>
    </w:p>
    <w:p w:rsidR="00B50B0D" w:rsidRPr="00B50B0D" w:rsidRDefault="00B50B0D" w:rsidP="00B50B0D">
      <w:pPr>
        <w:pStyle w:val="NoSpacing"/>
        <w:rPr>
          <w:lang w:val="es-DO"/>
        </w:rPr>
      </w:pPr>
    </w:p>
    <w:p w:rsidR="00970E74" w:rsidRDefault="00970E74" w:rsidP="00571C85">
      <w:pPr>
        <w:spacing w:after="120"/>
        <w:ind w:firstLine="360"/>
        <w:contextualSpacing/>
        <w:jc w:val="both"/>
        <w:rPr>
          <w:rFonts w:ascii="Times New Roman" w:hAnsi="Times New Roman" w:cs="Times New Roman"/>
          <w:sz w:val="24"/>
          <w:szCs w:val="24"/>
        </w:rPr>
      </w:pPr>
      <w:r w:rsidRPr="00571C85">
        <w:rPr>
          <w:rFonts w:ascii="Times New Roman" w:hAnsi="Times New Roman" w:cs="Times New Roman"/>
          <w:sz w:val="24"/>
          <w:szCs w:val="24"/>
        </w:rPr>
        <w:t>Para la proyección de los agregados monetarios, se utilizó la ecuación cuantitativa del dinero (M3·V=P·Q), y se asumió la Velocidad del dinero del año 2013 como constante para los períodos subsiguientes. Es decir, que la velocidad del año 2013 se obtuvo al dividir M3 entre el PIB a valores Corrientes. Esta velocidad, al ser relativamente estable, se asumió constante para los años siguientes.</w:t>
      </w:r>
    </w:p>
    <w:p w:rsidR="00571C85" w:rsidRPr="00571C85" w:rsidRDefault="00571C85" w:rsidP="00571C85">
      <w:pPr>
        <w:spacing w:after="120"/>
        <w:ind w:firstLine="360"/>
        <w:contextualSpacing/>
        <w:jc w:val="both"/>
        <w:rPr>
          <w:rFonts w:ascii="Times New Roman" w:hAnsi="Times New Roman" w:cs="Times New Roman"/>
          <w:sz w:val="24"/>
          <w:szCs w:val="24"/>
        </w:rPr>
      </w:pPr>
    </w:p>
    <w:p w:rsidR="00970E74" w:rsidRDefault="00970E74" w:rsidP="00571C85">
      <w:pPr>
        <w:spacing w:after="120"/>
        <w:ind w:firstLine="360"/>
        <w:contextualSpacing/>
        <w:jc w:val="both"/>
        <w:rPr>
          <w:rFonts w:ascii="Times New Roman" w:hAnsi="Times New Roman" w:cs="Times New Roman"/>
          <w:sz w:val="24"/>
          <w:szCs w:val="24"/>
        </w:rPr>
      </w:pPr>
      <w:r w:rsidRPr="00571C85">
        <w:rPr>
          <w:rFonts w:ascii="Times New Roman" w:hAnsi="Times New Roman" w:cs="Times New Roman"/>
          <w:sz w:val="24"/>
          <w:szCs w:val="24"/>
        </w:rPr>
        <w:t>Una vez determinado el agregado monetario M3, se procedió a estimar la Base Monetaria, calculando el multiplicador monetario de M3. Este se obtiene dividiendo la base monetaria entre el M3. Este multiplicador, dada la estabilidad que presenta, se asume constante para los años siguientes. Al dividir el M3 del año t+1 por el multiplicador, nos da la base monetaria del periodo t+1.</w:t>
      </w:r>
    </w:p>
    <w:p w:rsidR="00571C85" w:rsidRPr="00571C85" w:rsidRDefault="00571C85" w:rsidP="00571C85">
      <w:pPr>
        <w:spacing w:after="120"/>
        <w:ind w:firstLine="360"/>
        <w:contextualSpacing/>
        <w:jc w:val="both"/>
        <w:rPr>
          <w:rFonts w:ascii="Times New Roman" w:hAnsi="Times New Roman" w:cs="Times New Roman"/>
          <w:sz w:val="24"/>
          <w:szCs w:val="24"/>
        </w:rPr>
      </w:pPr>
    </w:p>
    <w:p w:rsidR="00970E74" w:rsidRDefault="00970E74" w:rsidP="00571C85">
      <w:pPr>
        <w:spacing w:after="120"/>
        <w:ind w:firstLine="360"/>
        <w:contextualSpacing/>
        <w:jc w:val="both"/>
        <w:rPr>
          <w:rFonts w:ascii="Times New Roman" w:hAnsi="Times New Roman" w:cs="Times New Roman"/>
          <w:sz w:val="24"/>
          <w:szCs w:val="24"/>
        </w:rPr>
      </w:pPr>
      <w:r w:rsidRPr="00571C85">
        <w:rPr>
          <w:rFonts w:ascii="Times New Roman" w:hAnsi="Times New Roman" w:cs="Times New Roman"/>
          <w:sz w:val="24"/>
          <w:szCs w:val="24"/>
        </w:rPr>
        <w:t xml:space="preserve">Las reservas internacionales netas se estiman a partir del nivel del año anterior, más la variación de reservas netas que se presenta en la balanza de pagos que proviene de la hoja de Balanza de Pagos. De otra manera, el nivel de reservas netas del año 2014, será igual al Stock de reservas netas año 2013, más el cambio en las reservas netas del año 2014 que proviene de la proyección de la balanza de pagos </w:t>
      </w:r>
    </w:p>
    <w:p w:rsidR="00571C85" w:rsidRPr="00571C85" w:rsidRDefault="00571C85" w:rsidP="00571C85">
      <w:pPr>
        <w:spacing w:after="120"/>
        <w:ind w:firstLine="360"/>
        <w:contextualSpacing/>
        <w:jc w:val="both"/>
        <w:rPr>
          <w:rFonts w:ascii="Times New Roman" w:hAnsi="Times New Roman" w:cs="Times New Roman"/>
          <w:sz w:val="24"/>
          <w:szCs w:val="24"/>
        </w:rPr>
      </w:pPr>
    </w:p>
    <w:p w:rsidR="00970E74" w:rsidRPr="00571C85" w:rsidRDefault="00970E74" w:rsidP="00571C85">
      <w:pPr>
        <w:spacing w:after="120"/>
        <w:ind w:firstLine="360"/>
        <w:contextualSpacing/>
        <w:jc w:val="both"/>
        <w:rPr>
          <w:rFonts w:ascii="Times New Roman" w:hAnsi="Times New Roman" w:cs="Times New Roman"/>
          <w:sz w:val="24"/>
          <w:szCs w:val="24"/>
        </w:rPr>
      </w:pPr>
      <w:r w:rsidRPr="00571C85">
        <w:rPr>
          <w:rFonts w:ascii="Times New Roman" w:hAnsi="Times New Roman" w:cs="Times New Roman"/>
          <w:sz w:val="24"/>
          <w:szCs w:val="24"/>
        </w:rPr>
        <w:t>Para el dato proyectado de Crédito al Sector Público, se calculara a partir del nivel año anterior más los créditos nuevos proyectados por el sector fiscal. Es decir, que el nivel de crédito neto al Sector Público del año 2014, será igual al nivel de crédito neto del año 2013 más el crédito neto del año 2014, proveniente del sector fiscal.</w:t>
      </w:r>
    </w:p>
    <w:p w:rsidR="00970E74" w:rsidRPr="00BC79B5" w:rsidRDefault="00970E74" w:rsidP="00BC79B5">
      <w:pPr>
        <w:spacing w:line="360" w:lineRule="auto"/>
        <w:jc w:val="both"/>
        <w:rPr>
          <w:rFonts w:ascii="Arial" w:hAnsi="Arial" w:cs="Arial"/>
        </w:rPr>
      </w:pPr>
      <w:r w:rsidRPr="00BC79B5">
        <w:rPr>
          <w:rFonts w:ascii="Arial" w:hAnsi="Arial" w:cs="Arial"/>
        </w:rPr>
        <w:tab/>
      </w:r>
    </w:p>
    <w:p w:rsidR="00970E74" w:rsidRPr="00BC79B5" w:rsidRDefault="00970E74" w:rsidP="00BC79B5">
      <w:pPr>
        <w:spacing w:line="360" w:lineRule="auto"/>
        <w:jc w:val="both"/>
        <w:rPr>
          <w:rFonts w:ascii="Arial" w:hAnsi="Arial" w:cs="Arial"/>
        </w:rPr>
      </w:pPr>
    </w:p>
    <w:sectPr w:rsidR="00970E74" w:rsidRPr="00BC79B5" w:rsidSect="006E1F36">
      <w:footerReference w:type="default" r:id="rId13"/>
      <w:footerReference w:type="first" r:id="rId14"/>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D46CF" w:rsidRDefault="001D46CF" w:rsidP="00970E74">
      <w:pPr>
        <w:spacing w:after="0" w:line="240" w:lineRule="auto"/>
      </w:pPr>
      <w:r>
        <w:separator/>
      </w:r>
    </w:p>
  </w:endnote>
  <w:endnote w:type="continuationSeparator" w:id="0">
    <w:p w:rsidR="001D46CF" w:rsidRDefault="001D46CF" w:rsidP="00970E7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04672041"/>
      <w:docPartObj>
        <w:docPartGallery w:val="Page Numbers (Bottom of Page)"/>
        <w:docPartUnique/>
      </w:docPartObj>
    </w:sdtPr>
    <w:sdtContent>
      <w:p w:rsidR="002F2808" w:rsidRDefault="007D5346">
        <w:pPr>
          <w:pStyle w:val="Footer"/>
          <w:jc w:val="right"/>
        </w:pPr>
        <w:r w:rsidRPr="00323829">
          <w:rPr>
            <w:rFonts w:ascii="Arial" w:hAnsi="Arial" w:cs="Arial"/>
          </w:rPr>
          <w:fldChar w:fldCharType="begin"/>
        </w:r>
        <w:r w:rsidR="002F2808" w:rsidRPr="00323829">
          <w:rPr>
            <w:rFonts w:ascii="Arial" w:hAnsi="Arial" w:cs="Arial"/>
          </w:rPr>
          <w:instrText xml:space="preserve"> PAGE   \* MERGEFORMAT </w:instrText>
        </w:r>
        <w:r w:rsidRPr="00323829">
          <w:rPr>
            <w:rFonts w:ascii="Arial" w:hAnsi="Arial" w:cs="Arial"/>
          </w:rPr>
          <w:fldChar w:fldCharType="separate"/>
        </w:r>
        <w:r w:rsidR="00B969C3">
          <w:rPr>
            <w:rFonts w:ascii="Arial" w:hAnsi="Arial" w:cs="Arial"/>
            <w:noProof/>
          </w:rPr>
          <w:t>23</w:t>
        </w:r>
        <w:r w:rsidRPr="00323829">
          <w:rPr>
            <w:rFonts w:ascii="Arial" w:hAnsi="Arial" w:cs="Arial"/>
          </w:rPr>
          <w:fldChar w:fldCharType="end"/>
        </w:r>
      </w:p>
    </w:sdtContent>
  </w:sdt>
  <w:p w:rsidR="002F2808" w:rsidRDefault="002F280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2808" w:rsidRDefault="002F2808">
    <w:pPr>
      <w:pStyle w:val="Footer"/>
      <w:rPr>
        <w:lang w:val="en-US"/>
      </w:rPr>
    </w:pPr>
  </w:p>
  <w:p w:rsidR="002F2808" w:rsidRPr="006E1F36" w:rsidRDefault="002F2808">
    <w:pPr>
      <w:pStyle w:val="Footer"/>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D46CF" w:rsidRDefault="001D46CF" w:rsidP="00970E74">
      <w:pPr>
        <w:spacing w:after="0" w:line="240" w:lineRule="auto"/>
      </w:pPr>
      <w:r>
        <w:separator/>
      </w:r>
    </w:p>
  </w:footnote>
  <w:footnote w:type="continuationSeparator" w:id="0">
    <w:p w:rsidR="001D46CF" w:rsidRDefault="001D46CF" w:rsidP="00970E74">
      <w:pPr>
        <w:spacing w:after="0" w:line="240" w:lineRule="auto"/>
      </w:pPr>
      <w:r>
        <w:continuationSeparator/>
      </w:r>
    </w:p>
  </w:footnote>
  <w:footnote w:id="1">
    <w:p w:rsidR="002F2808" w:rsidRDefault="002F2808" w:rsidP="00970E74">
      <w:pPr>
        <w:pStyle w:val="FootnoteText"/>
      </w:pPr>
      <w:r>
        <w:rPr>
          <w:rStyle w:val="FootnoteReference"/>
        </w:rPr>
        <w:footnoteRef/>
      </w:r>
      <w:r>
        <w:t xml:space="preserve"> </w:t>
      </w:r>
      <w:r w:rsidRPr="00B6434C">
        <w:rPr>
          <w:rFonts w:ascii="Times New Roman" w:hAnsi="Times New Roman" w:cs="Times New Roman"/>
          <w:sz w:val="22"/>
          <w:szCs w:val="22"/>
        </w:rPr>
        <w:t>Para ver documento detallado ir a</w:t>
      </w:r>
      <w:r>
        <w:t xml:space="preserve"> </w:t>
      </w:r>
      <w:hyperlink r:id="rId1" w:history="1">
        <w:r w:rsidRPr="001D26D7">
          <w:rPr>
            <w:rStyle w:val="Hyperlink"/>
          </w:rPr>
          <w:t>http://www.bcentral.cl/publicaciones/politicas/pdf/modelos.pdf</w:t>
        </w:r>
      </w:hyperlink>
      <w:r>
        <w:t xml:space="preserve"> </w:t>
      </w:r>
    </w:p>
  </w:footnote>
  <w:footnote w:id="2">
    <w:p w:rsidR="002F2808" w:rsidRDefault="002F2808" w:rsidP="00970E74">
      <w:pPr>
        <w:pStyle w:val="FootnoteText"/>
      </w:pPr>
      <w:r>
        <w:rPr>
          <w:rStyle w:val="FootnoteReference"/>
        </w:rPr>
        <w:footnoteRef/>
      </w:r>
      <w:r>
        <w:t xml:space="preserve"> </w:t>
      </w:r>
      <w:r w:rsidRPr="00B6434C">
        <w:rPr>
          <w:rFonts w:ascii="Times New Roman" w:hAnsi="Times New Roman" w:cs="Times New Roman"/>
          <w:sz w:val="22"/>
          <w:szCs w:val="22"/>
        </w:rPr>
        <w:t>Enlace en</w:t>
      </w:r>
      <w:r>
        <w:t xml:space="preserve"> </w:t>
      </w:r>
      <w:hyperlink r:id="rId2" w:history="1">
        <w:r w:rsidRPr="001D26D7">
          <w:rPr>
            <w:rStyle w:val="Hyperlink"/>
          </w:rPr>
          <w:t>http://www.bancentral.gov.do/trabajo_investigacion/see/serie_estudios_econ_2.html</w:t>
        </w:r>
      </w:hyperlink>
      <w:r>
        <w:t xml:space="preserve"> </w:t>
      </w:r>
    </w:p>
  </w:footnote>
  <w:footnote w:id="3">
    <w:p w:rsidR="002F2808" w:rsidRPr="00B47722" w:rsidRDefault="002F2808">
      <w:pPr>
        <w:pStyle w:val="FootnoteText"/>
      </w:pPr>
      <w:r>
        <w:rPr>
          <w:rStyle w:val="FootnoteReference"/>
        </w:rPr>
        <w:footnoteRef/>
      </w:r>
      <w:r>
        <w:t xml:space="preserve"> </w:t>
      </w:r>
      <w:r w:rsidRPr="00B47722">
        <w:t>Para más información ver C-03_Sostenibilidad_fiscal_y_dinamica_de_la_deuda</w:t>
      </w:r>
      <w:r>
        <w:t xml:space="preserve"> del curso OT.14.04 en la carpeta física de cursos en la UPF.</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03A7A"/>
    <w:multiLevelType w:val="hybridMultilevel"/>
    <w:tmpl w:val="E4401908"/>
    <w:lvl w:ilvl="0" w:tplc="CAA4AF2E">
      <w:start w:val="1"/>
      <w:numFmt w:val="upperRoman"/>
      <w:lvlText w:val="%1."/>
      <w:lvlJc w:val="left"/>
      <w:pPr>
        <w:ind w:left="990" w:hanging="720"/>
      </w:pPr>
      <w:rPr>
        <w:rFonts w:cs="Arial" w:hint="default"/>
      </w:rPr>
    </w:lvl>
    <w:lvl w:ilvl="1" w:tplc="04090019" w:tentative="1">
      <w:start w:val="1"/>
      <w:numFmt w:val="lowerLetter"/>
      <w:lvlText w:val="%2."/>
      <w:lvlJc w:val="left"/>
      <w:pPr>
        <w:ind w:left="4500" w:hanging="360"/>
      </w:pPr>
    </w:lvl>
    <w:lvl w:ilvl="2" w:tplc="0409001B" w:tentative="1">
      <w:start w:val="1"/>
      <w:numFmt w:val="lowerRoman"/>
      <w:lvlText w:val="%3."/>
      <w:lvlJc w:val="right"/>
      <w:pPr>
        <w:ind w:left="5220" w:hanging="180"/>
      </w:pPr>
    </w:lvl>
    <w:lvl w:ilvl="3" w:tplc="0409000F" w:tentative="1">
      <w:start w:val="1"/>
      <w:numFmt w:val="decimal"/>
      <w:lvlText w:val="%4."/>
      <w:lvlJc w:val="left"/>
      <w:pPr>
        <w:ind w:left="5940" w:hanging="360"/>
      </w:pPr>
    </w:lvl>
    <w:lvl w:ilvl="4" w:tplc="04090019" w:tentative="1">
      <w:start w:val="1"/>
      <w:numFmt w:val="lowerLetter"/>
      <w:lvlText w:val="%5."/>
      <w:lvlJc w:val="left"/>
      <w:pPr>
        <w:ind w:left="6660" w:hanging="360"/>
      </w:pPr>
    </w:lvl>
    <w:lvl w:ilvl="5" w:tplc="0409001B" w:tentative="1">
      <w:start w:val="1"/>
      <w:numFmt w:val="lowerRoman"/>
      <w:lvlText w:val="%6."/>
      <w:lvlJc w:val="right"/>
      <w:pPr>
        <w:ind w:left="7380" w:hanging="180"/>
      </w:pPr>
    </w:lvl>
    <w:lvl w:ilvl="6" w:tplc="0409000F" w:tentative="1">
      <w:start w:val="1"/>
      <w:numFmt w:val="decimal"/>
      <w:lvlText w:val="%7."/>
      <w:lvlJc w:val="left"/>
      <w:pPr>
        <w:ind w:left="8100" w:hanging="360"/>
      </w:pPr>
    </w:lvl>
    <w:lvl w:ilvl="7" w:tplc="04090019" w:tentative="1">
      <w:start w:val="1"/>
      <w:numFmt w:val="lowerLetter"/>
      <w:lvlText w:val="%8."/>
      <w:lvlJc w:val="left"/>
      <w:pPr>
        <w:ind w:left="8820" w:hanging="360"/>
      </w:pPr>
    </w:lvl>
    <w:lvl w:ilvl="8" w:tplc="0409001B" w:tentative="1">
      <w:start w:val="1"/>
      <w:numFmt w:val="lowerRoman"/>
      <w:lvlText w:val="%9."/>
      <w:lvlJc w:val="right"/>
      <w:pPr>
        <w:ind w:left="9540" w:hanging="180"/>
      </w:pPr>
    </w:lvl>
  </w:abstractNum>
  <w:abstractNum w:abstractNumId="1">
    <w:nsid w:val="10722332"/>
    <w:multiLevelType w:val="hybridMultilevel"/>
    <w:tmpl w:val="3E9AF044"/>
    <w:lvl w:ilvl="0" w:tplc="8E922240">
      <w:start w:val="1"/>
      <w:numFmt w:val="upperRoman"/>
      <w:lvlText w:val="%1."/>
      <w:lvlJc w:val="left"/>
      <w:pPr>
        <w:ind w:left="1080" w:hanging="720"/>
      </w:pPr>
      <w:rPr>
        <w:rFonts w:ascii="Arial" w:hAnsi="Arial" w:cs="Arial"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1A850B1"/>
    <w:multiLevelType w:val="hybridMultilevel"/>
    <w:tmpl w:val="C8F608B2"/>
    <w:lvl w:ilvl="0" w:tplc="E2C4248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0554EEE"/>
    <w:multiLevelType w:val="hybridMultilevel"/>
    <w:tmpl w:val="4CBC467C"/>
    <w:lvl w:ilvl="0" w:tplc="2B16414C">
      <w:start w:val="1"/>
      <w:numFmt w:val="upperRoman"/>
      <w:lvlText w:val="%1."/>
      <w:lvlJc w:val="left"/>
      <w:pPr>
        <w:ind w:left="28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5769EB"/>
    <w:rsid w:val="00001ACE"/>
    <w:rsid w:val="000035EC"/>
    <w:rsid w:val="000036BC"/>
    <w:rsid w:val="00023224"/>
    <w:rsid w:val="00046D0A"/>
    <w:rsid w:val="000558F7"/>
    <w:rsid w:val="00077779"/>
    <w:rsid w:val="000A3410"/>
    <w:rsid w:val="000F1A65"/>
    <w:rsid w:val="00101D7B"/>
    <w:rsid w:val="0011319A"/>
    <w:rsid w:val="00115F41"/>
    <w:rsid w:val="0012046E"/>
    <w:rsid w:val="0017659F"/>
    <w:rsid w:val="001954B9"/>
    <w:rsid w:val="001B4AAD"/>
    <w:rsid w:val="001C7FDE"/>
    <w:rsid w:val="001D46CF"/>
    <w:rsid w:val="001D5EEA"/>
    <w:rsid w:val="001E747C"/>
    <w:rsid w:val="00211C82"/>
    <w:rsid w:val="0021570E"/>
    <w:rsid w:val="002312E8"/>
    <w:rsid w:val="00235DBB"/>
    <w:rsid w:val="0026327D"/>
    <w:rsid w:val="00263D8F"/>
    <w:rsid w:val="002742B2"/>
    <w:rsid w:val="00276D70"/>
    <w:rsid w:val="002D4697"/>
    <w:rsid w:val="002E113B"/>
    <w:rsid w:val="002F2808"/>
    <w:rsid w:val="002F3A70"/>
    <w:rsid w:val="00312839"/>
    <w:rsid w:val="00320023"/>
    <w:rsid w:val="00323829"/>
    <w:rsid w:val="00364B85"/>
    <w:rsid w:val="003B0DFF"/>
    <w:rsid w:val="003B1BB4"/>
    <w:rsid w:val="003C0001"/>
    <w:rsid w:val="003D064E"/>
    <w:rsid w:val="004237FB"/>
    <w:rsid w:val="0042524C"/>
    <w:rsid w:val="004A5EAF"/>
    <w:rsid w:val="004E058C"/>
    <w:rsid w:val="004E19E1"/>
    <w:rsid w:val="00507B67"/>
    <w:rsid w:val="00522AF6"/>
    <w:rsid w:val="005657B0"/>
    <w:rsid w:val="00571C85"/>
    <w:rsid w:val="005769EB"/>
    <w:rsid w:val="005822CA"/>
    <w:rsid w:val="005A64DD"/>
    <w:rsid w:val="005C5EB3"/>
    <w:rsid w:val="0060005E"/>
    <w:rsid w:val="00600EEB"/>
    <w:rsid w:val="00623079"/>
    <w:rsid w:val="006268AC"/>
    <w:rsid w:val="006444F1"/>
    <w:rsid w:val="00652016"/>
    <w:rsid w:val="006E1F36"/>
    <w:rsid w:val="006E58D1"/>
    <w:rsid w:val="006F4C1C"/>
    <w:rsid w:val="00723800"/>
    <w:rsid w:val="00775054"/>
    <w:rsid w:val="007C6702"/>
    <w:rsid w:val="007D5346"/>
    <w:rsid w:val="007E2CBE"/>
    <w:rsid w:val="007E57A7"/>
    <w:rsid w:val="00820805"/>
    <w:rsid w:val="00824EB0"/>
    <w:rsid w:val="008434C7"/>
    <w:rsid w:val="00877477"/>
    <w:rsid w:val="00886F5C"/>
    <w:rsid w:val="008A7C12"/>
    <w:rsid w:val="00950159"/>
    <w:rsid w:val="00960F62"/>
    <w:rsid w:val="00964BF7"/>
    <w:rsid w:val="00970E74"/>
    <w:rsid w:val="00986FF2"/>
    <w:rsid w:val="009E25BC"/>
    <w:rsid w:val="009E269D"/>
    <w:rsid w:val="009F683A"/>
    <w:rsid w:val="00A643D8"/>
    <w:rsid w:val="00AC5F10"/>
    <w:rsid w:val="00AD3072"/>
    <w:rsid w:val="00AF3F04"/>
    <w:rsid w:val="00B06D6E"/>
    <w:rsid w:val="00B10A08"/>
    <w:rsid w:val="00B22545"/>
    <w:rsid w:val="00B47722"/>
    <w:rsid w:val="00B50B0D"/>
    <w:rsid w:val="00B56DB7"/>
    <w:rsid w:val="00B6434C"/>
    <w:rsid w:val="00B72569"/>
    <w:rsid w:val="00B7705B"/>
    <w:rsid w:val="00B945F6"/>
    <w:rsid w:val="00B969C3"/>
    <w:rsid w:val="00B978D5"/>
    <w:rsid w:val="00BC79B5"/>
    <w:rsid w:val="00C04B1E"/>
    <w:rsid w:val="00D0613F"/>
    <w:rsid w:val="00D154C4"/>
    <w:rsid w:val="00D1735C"/>
    <w:rsid w:val="00D3370E"/>
    <w:rsid w:val="00D50EA0"/>
    <w:rsid w:val="00D77A35"/>
    <w:rsid w:val="00DA2D42"/>
    <w:rsid w:val="00DA3FC9"/>
    <w:rsid w:val="00DA7CE1"/>
    <w:rsid w:val="00DB00D8"/>
    <w:rsid w:val="00DC2DDD"/>
    <w:rsid w:val="00E07441"/>
    <w:rsid w:val="00E23917"/>
    <w:rsid w:val="00E2431B"/>
    <w:rsid w:val="00E25426"/>
    <w:rsid w:val="00E32279"/>
    <w:rsid w:val="00E529FE"/>
    <w:rsid w:val="00E8266E"/>
    <w:rsid w:val="00E93122"/>
    <w:rsid w:val="00ED3F2E"/>
    <w:rsid w:val="00EE3C58"/>
    <w:rsid w:val="00EF3BAA"/>
    <w:rsid w:val="00EF79D3"/>
    <w:rsid w:val="00F13063"/>
    <w:rsid w:val="00F46014"/>
    <w:rsid w:val="00F5372C"/>
    <w:rsid w:val="00FE551A"/>
    <w:rsid w:val="00FF3D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7441"/>
  </w:style>
  <w:style w:type="paragraph" w:styleId="Heading1">
    <w:name w:val="heading 1"/>
    <w:next w:val="NoSpacing"/>
    <w:link w:val="Heading1Char"/>
    <w:uiPriority w:val="9"/>
    <w:qFormat/>
    <w:rsid w:val="006E1F36"/>
    <w:pPr>
      <w:keepNext/>
      <w:keepLines/>
      <w:spacing w:before="480" w:after="0"/>
      <w:outlineLvl w:val="0"/>
    </w:pPr>
    <w:rPr>
      <w:rFonts w:ascii="Arial" w:eastAsiaTheme="majorEastAsia" w:hAnsi="Arial" w:cstheme="majorBidi"/>
      <w:b/>
      <w:bCs/>
      <w:color w:val="000000" w:themeColor="text1"/>
      <w:sz w:val="24"/>
      <w:szCs w:val="28"/>
    </w:rPr>
  </w:style>
  <w:style w:type="paragraph" w:styleId="Heading2">
    <w:name w:val="heading 2"/>
    <w:next w:val="NoSpacing"/>
    <w:link w:val="Heading2Char"/>
    <w:uiPriority w:val="9"/>
    <w:unhideWhenUsed/>
    <w:qFormat/>
    <w:rsid w:val="006E1F36"/>
    <w:pPr>
      <w:keepNext/>
      <w:keepLines/>
      <w:spacing w:before="200" w:after="0"/>
      <w:outlineLvl w:val="1"/>
    </w:pPr>
    <w:rPr>
      <w:rFonts w:ascii="Arial" w:eastAsiaTheme="majorEastAsia" w:hAnsi="Arial" w:cstheme="majorBidi"/>
      <w:b/>
      <w:bCs/>
      <w:sz w:val="24"/>
      <w:szCs w:val="26"/>
    </w:rPr>
  </w:style>
  <w:style w:type="paragraph" w:styleId="Heading3">
    <w:name w:val="heading 3"/>
    <w:basedOn w:val="Normal"/>
    <w:next w:val="Normal"/>
    <w:link w:val="Heading3Char"/>
    <w:uiPriority w:val="9"/>
    <w:semiHidden/>
    <w:unhideWhenUsed/>
    <w:qFormat/>
    <w:rsid w:val="006E1F3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537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372C"/>
    <w:rPr>
      <w:rFonts w:ascii="Tahoma" w:hAnsi="Tahoma" w:cs="Tahoma"/>
      <w:sz w:val="16"/>
      <w:szCs w:val="16"/>
    </w:rPr>
  </w:style>
  <w:style w:type="character" w:styleId="Hyperlink">
    <w:name w:val="Hyperlink"/>
    <w:basedOn w:val="DefaultParagraphFont"/>
    <w:uiPriority w:val="99"/>
    <w:unhideWhenUsed/>
    <w:rsid w:val="00970E74"/>
    <w:rPr>
      <w:color w:val="0000FF" w:themeColor="hyperlink"/>
      <w:u w:val="single"/>
    </w:rPr>
  </w:style>
  <w:style w:type="paragraph" w:styleId="FootnoteText">
    <w:name w:val="footnote text"/>
    <w:basedOn w:val="Normal"/>
    <w:link w:val="FootnoteTextChar"/>
    <w:uiPriority w:val="99"/>
    <w:semiHidden/>
    <w:unhideWhenUsed/>
    <w:rsid w:val="00970E74"/>
    <w:pPr>
      <w:spacing w:after="0" w:line="240" w:lineRule="auto"/>
    </w:pPr>
    <w:rPr>
      <w:sz w:val="20"/>
      <w:szCs w:val="20"/>
      <w:lang w:val="es-DO"/>
    </w:rPr>
  </w:style>
  <w:style w:type="character" w:customStyle="1" w:styleId="FootnoteTextChar">
    <w:name w:val="Footnote Text Char"/>
    <w:basedOn w:val="DefaultParagraphFont"/>
    <w:link w:val="FootnoteText"/>
    <w:uiPriority w:val="99"/>
    <w:semiHidden/>
    <w:rsid w:val="00970E74"/>
    <w:rPr>
      <w:sz w:val="20"/>
      <w:szCs w:val="20"/>
      <w:lang w:val="es-DO"/>
    </w:rPr>
  </w:style>
  <w:style w:type="character" w:styleId="FootnoteReference">
    <w:name w:val="footnote reference"/>
    <w:basedOn w:val="DefaultParagraphFont"/>
    <w:uiPriority w:val="99"/>
    <w:semiHidden/>
    <w:unhideWhenUsed/>
    <w:rsid w:val="00970E74"/>
    <w:rPr>
      <w:vertAlign w:val="superscript"/>
    </w:rPr>
  </w:style>
  <w:style w:type="character" w:customStyle="1" w:styleId="hps">
    <w:name w:val="hps"/>
    <w:basedOn w:val="DefaultParagraphFont"/>
    <w:rsid w:val="00652016"/>
  </w:style>
  <w:style w:type="character" w:customStyle="1" w:styleId="Heading1Char">
    <w:name w:val="Heading 1 Char"/>
    <w:basedOn w:val="DefaultParagraphFont"/>
    <w:link w:val="Heading1"/>
    <w:uiPriority w:val="9"/>
    <w:rsid w:val="006E1F36"/>
    <w:rPr>
      <w:rFonts w:ascii="Arial" w:eastAsiaTheme="majorEastAsia" w:hAnsi="Arial" w:cstheme="majorBidi"/>
      <w:b/>
      <w:bCs/>
      <w:color w:val="000000" w:themeColor="text1"/>
      <w:sz w:val="24"/>
      <w:szCs w:val="28"/>
    </w:rPr>
  </w:style>
  <w:style w:type="character" w:customStyle="1" w:styleId="Heading2Char">
    <w:name w:val="Heading 2 Char"/>
    <w:basedOn w:val="DefaultParagraphFont"/>
    <w:link w:val="Heading2"/>
    <w:uiPriority w:val="9"/>
    <w:rsid w:val="006E1F36"/>
    <w:rPr>
      <w:rFonts w:ascii="Arial" w:eastAsiaTheme="majorEastAsia" w:hAnsi="Arial" w:cstheme="majorBidi"/>
      <w:b/>
      <w:bCs/>
      <w:sz w:val="24"/>
      <w:szCs w:val="26"/>
    </w:rPr>
  </w:style>
  <w:style w:type="paragraph" w:styleId="NoSpacing">
    <w:name w:val="No Spacing"/>
    <w:uiPriority w:val="1"/>
    <w:qFormat/>
    <w:rsid w:val="006E1F36"/>
    <w:pPr>
      <w:spacing w:after="0" w:line="240" w:lineRule="auto"/>
    </w:pPr>
  </w:style>
  <w:style w:type="character" w:customStyle="1" w:styleId="Heading3Char">
    <w:name w:val="Heading 3 Char"/>
    <w:basedOn w:val="DefaultParagraphFont"/>
    <w:link w:val="Heading3"/>
    <w:uiPriority w:val="9"/>
    <w:semiHidden/>
    <w:rsid w:val="006E1F36"/>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6E1F36"/>
    <w:pPr>
      <w:spacing w:after="100"/>
    </w:pPr>
  </w:style>
  <w:style w:type="paragraph" w:styleId="TOC2">
    <w:name w:val="toc 2"/>
    <w:basedOn w:val="Normal"/>
    <w:next w:val="Normal"/>
    <w:autoRedefine/>
    <w:uiPriority w:val="39"/>
    <w:unhideWhenUsed/>
    <w:rsid w:val="006E1F36"/>
    <w:pPr>
      <w:spacing w:after="100"/>
      <w:ind w:left="220"/>
    </w:pPr>
  </w:style>
  <w:style w:type="paragraph" w:styleId="Header">
    <w:name w:val="header"/>
    <w:basedOn w:val="Normal"/>
    <w:link w:val="HeaderChar"/>
    <w:uiPriority w:val="99"/>
    <w:semiHidden/>
    <w:unhideWhenUsed/>
    <w:rsid w:val="006E1F3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E1F36"/>
  </w:style>
  <w:style w:type="paragraph" w:styleId="Footer">
    <w:name w:val="footer"/>
    <w:basedOn w:val="Normal"/>
    <w:link w:val="FooterChar"/>
    <w:uiPriority w:val="99"/>
    <w:unhideWhenUsed/>
    <w:rsid w:val="006E1F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1F36"/>
  </w:style>
  <w:style w:type="paragraph" w:styleId="ListParagraph">
    <w:name w:val="List Paragraph"/>
    <w:basedOn w:val="Normal"/>
    <w:uiPriority w:val="34"/>
    <w:qFormat/>
    <w:rsid w:val="00B50B0D"/>
    <w:pPr>
      <w:ind w:left="720"/>
      <w:contextualSpacing/>
    </w:pPr>
  </w:style>
  <w:style w:type="table" w:styleId="TableGrid">
    <w:name w:val="Table Grid"/>
    <w:basedOn w:val="TableNormal"/>
    <w:uiPriority w:val="59"/>
    <w:rsid w:val="004252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3C0001"/>
    <w:rPr>
      <w:sz w:val="16"/>
      <w:szCs w:val="16"/>
    </w:rPr>
  </w:style>
  <w:style w:type="paragraph" w:styleId="CommentText">
    <w:name w:val="annotation text"/>
    <w:basedOn w:val="Normal"/>
    <w:link w:val="CommentTextChar"/>
    <w:uiPriority w:val="99"/>
    <w:semiHidden/>
    <w:unhideWhenUsed/>
    <w:rsid w:val="003C0001"/>
    <w:pPr>
      <w:spacing w:line="240" w:lineRule="auto"/>
    </w:pPr>
    <w:rPr>
      <w:sz w:val="20"/>
      <w:szCs w:val="20"/>
    </w:rPr>
  </w:style>
  <w:style w:type="character" w:customStyle="1" w:styleId="CommentTextChar">
    <w:name w:val="Comment Text Char"/>
    <w:basedOn w:val="DefaultParagraphFont"/>
    <w:link w:val="CommentText"/>
    <w:uiPriority w:val="99"/>
    <w:semiHidden/>
    <w:rsid w:val="003C0001"/>
    <w:rPr>
      <w:sz w:val="20"/>
      <w:szCs w:val="20"/>
    </w:rPr>
  </w:style>
  <w:style w:type="paragraph" w:styleId="CommentSubject">
    <w:name w:val="annotation subject"/>
    <w:basedOn w:val="CommentText"/>
    <w:next w:val="CommentText"/>
    <w:link w:val="CommentSubjectChar"/>
    <w:uiPriority w:val="99"/>
    <w:semiHidden/>
    <w:unhideWhenUsed/>
    <w:rsid w:val="003C0001"/>
    <w:rPr>
      <w:b/>
      <w:bCs/>
    </w:rPr>
  </w:style>
  <w:style w:type="character" w:customStyle="1" w:styleId="CommentSubjectChar">
    <w:name w:val="Comment Subject Char"/>
    <w:basedOn w:val="CommentTextChar"/>
    <w:link w:val="CommentSubject"/>
    <w:uiPriority w:val="99"/>
    <w:semiHidden/>
    <w:rsid w:val="003C0001"/>
    <w:rPr>
      <w:b/>
      <w:bCs/>
    </w:rPr>
  </w:style>
</w:styles>
</file>

<file path=word/webSettings.xml><?xml version="1.0" encoding="utf-8"?>
<w:webSettings xmlns:r="http://schemas.openxmlformats.org/officeDocument/2006/relationships" xmlns:w="http://schemas.openxmlformats.org/wordprocessingml/2006/main">
  <w:divs>
    <w:div w:id="1964383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bancentral.gov.do/estadisticas_economicas/armonizada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2" Type="http://schemas.openxmlformats.org/officeDocument/2006/relationships/hyperlink" Target="http://www.bancentral.gov.do/trabajo_investigacion/see/serie_estudios_econ_2.html" TargetMode="External"/><Relationship Id="rId1" Type="http://schemas.openxmlformats.org/officeDocument/2006/relationships/hyperlink" Target="http://www.bcentral.cl/publicaciones/politicas/pdf/modelos.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01FDF2-C88F-48FA-B384-779BA8DFCA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8336</Words>
  <Characters>47519</Characters>
  <Application>Microsoft Office Word</Application>
  <DocSecurity>0</DocSecurity>
  <Lines>395</Lines>
  <Paragraphs>111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MINISTERIO DE HACIENDA</Company>
  <LinksUpToDate>false</LinksUpToDate>
  <CharactersWithSpaces>55744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lreyes</dc:creator>
  <cp:lastModifiedBy>Mario</cp:lastModifiedBy>
  <cp:revision>2</cp:revision>
  <dcterms:created xsi:type="dcterms:W3CDTF">2015-01-24T15:06:00Z</dcterms:created>
  <dcterms:modified xsi:type="dcterms:W3CDTF">2015-01-24T15:06:00Z</dcterms:modified>
</cp:coreProperties>
</file>