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6EF" w:rsidRDefault="00903DED" w:rsidP="00A4009A">
      <w:pPr>
        <w:jc w:val="center"/>
        <w:rPr>
          <w:b/>
          <w:sz w:val="32"/>
          <w:szCs w:val="32"/>
        </w:rPr>
      </w:pPr>
      <w:r w:rsidRPr="00B113C1">
        <w:rPr>
          <w:b/>
          <w:sz w:val="32"/>
          <w:szCs w:val="32"/>
        </w:rPr>
        <w:t xml:space="preserve">MACRO </w:t>
      </w:r>
      <w:r w:rsidR="00E903A9">
        <w:rPr>
          <w:b/>
          <w:sz w:val="32"/>
          <w:szCs w:val="32"/>
        </w:rPr>
        <w:t>FISCAL</w:t>
      </w:r>
      <w:r w:rsidRPr="00B113C1">
        <w:rPr>
          <w:b/>
          <w:sz w:val="32"/>
          <w:szCs w:val="32"/>
        </w:rPr>
        <w:t xml:space="preserve"> </w:t>
      </w:r>
      <w:r w:rsidR="003D405E">
        <w:rPr>
          <w:b/>
          <w:sz w:val="32"/>
          <w:szCs w:val="32"/>
        </w:rPr>
        <w:t>FRAMEWORK</w:t>
      </w:r>
      <w:r w:rsidRPr="00B113C1">
        <w:rPr>
          <w:b/>
          <w:sz w:val="32"/>
          <w:szCs w:val="32"/>
        </w:rPr>
        <w:t xml:space="preserve"> AND ECONOMIC POLICY</w:t>
      </w:r>
    </w:p>
    <w:p w:rsidR="00A4009A" w:rsidRDefault="00A4009A" w:rsidP="00A4009A">
      <w:pPr>
        <w:jc w:val="center"/>
        <w:rPr>
          <w:sz w:val="28"/>
          <w:szCs w:val="28"/>
        </w:rPr>
      </w:pPr>
    </w:p>
    <w:p w:rsidR="00FB06EF" w:rsidRDefault="00FB06EF" w:rsidP="00B63385">
      <w:pPr>
        <w:jc w:val="both"/>
      </w:pPr>
      <w:r w:rsidRPr="00FB06EF">
        <w:t>Mario A. Gutierrez</w:t>
      </w:r>
    </w:p>
    <w:p w:rsidR="00E903A9" w:rsidRDefault="00E903A9" w:rsidP="00B63385">
      <w:pPr>
        <w:jc w:val="both"/>
      </w:pPr>
      <w:r>
        <w:t>Dominican Republic</w:t>
      </w:r>
    </w:p>
    <w:p w:rsidR="00FB06EF" w:rsidRDefault="00DE6AC5" w:rsidP="00B63385">
      <w:pPr>
        <w:jc w:val="both"/>
      </w:pPr>
      <w:r>
        <w:t>August, 2014</w:t>
      </w:r>
    </w:p>
    <w:p w:rsidR="00DE6AC5" w:rsidRDefault="00DE6AC5" w:rsidP="00B63385">
      <w:pPr>
        <w:jc w:val="both"/>
      </w:pPr>
    </w:p>
    <w:p w:rsidR="00AF5FFE" w:rsidRPr="00B113C1" w:rsidRDefault="00AF5FFE" w:rsidP="00AF5FFE">
      <w:pPr>
        <w:pStyle w:val="Bullet"/>
        <w:numPr>
          <w:ilvl w:val="0"/>
          <w:numId w:val="16"/>
        </w:numPr>
        <w:jc w:val="both"/>
        <w:rPr>
          <w:b/>
        </w:rPr>
      </w:pPr>
      <w:r w:rsidRPr="00B113C1">
        <w:rPr>
          <w:b/>
        </w:rPr>
        <w:t xml:space="preserve">The Short and the Medium Term. </w:t>
      </w:r>
    </w:p>
    <w:p w:rsidR="00AF5FFE" w:rsidRDefault="00AF5FFE" w:rsidP="00AF5FFE">
      <w:pPr>
        <w:ind w:firstLine="720"/>
        <w:jc w:val="both"/>
      </w:pPr>
    </w:p>
    <w:p w:rsidR="00AF5FFE" w:rsidRDefault="00AF5FFE" w:rsidP="00AF5FFE">
      <w:pPr>
        <w:ind w:firstLine="720"/>
        <w:jc w:val="both"/>
      </w:pPr>
      <w:r>
        <w:t>The main objectives of macroeconomic policy are price stability, economic growth, and employment. Other social objectives can be added depending on a particular country situation such as reduction of poverty, achieving a more equitable income distribution, and improvements in infrastructure, health, and education. The achievement of the selected objectives is subject to budget and capacity constraints which force the assignment of priorities to the various objectives in a time perspective. Budget constraints applying at the country level (current account balance, inflationary pressures, or access to foreign borrowing) and at the government level (budget balance, implementation capacity, or access to credit by the government). Capacity constraints relate to the limits for expanding the provision of output and services required to achieve some selected objectives (for ex. expansion of education or public investment constraints).</w:t>
      </w:r>
    </w:p>
    <w:p w:rsidR="00AF5FFE" w:rsidRDefault="00AF5FFE" w:rsidP="00AF5FFE">
      <w:pPr>
        <w:ind w:firstLine="720"/>
        <w:jc w:val="both"/>
      </w:pPr>
    </w:p>
    <w:p w:rsidR="00AF5FFE" w:rsidRDefault="00AF5FFE" w:rsidP="00AF5FFE">
      <w:pPr>
        <w:ind w:firstLine="720"/>
        <w:jc w:val="both"/>
      </w:pPr>
      <w:r>
        <w:t>Price stability and balance of payment objectives sustainability are at the center of short run Financial Programs (IMF Stabilization programs style). To achieve these objectives typical instruments are the level of domestic credit, interest rates, exchange rates, tax rates, and the level of government spending. Policies aimed for the Short Term are often called Demand Management or Stabilization</w:t>
      </w:r>
      <w:r w:rsidR="007437BC">
        <w:t xml:space="preserve"> Policies.</w:t>
      </w:r>
      <w:r>
        <w:t xml:space="preserve"> Policies aimed at the Medium Term give more attention to Supply policies and aim at raising investment, saving, and economic growth</w:t>
      </w:r>
      <w:r w:rsidR="007437BC">
        <w:t>,</w:t>
      </w:r>
      <w:r>
        <w:t xml:space="preserve"> and are at the center of the World Bank programs style. </w:t>
      </w:r>
    </w:p>
    <w:p w:rsidR="00AF5FFE" w:rsidRDefault="00AF5FFE" w:rsidP="00AF5FFE">
      <w:pPr>
        <w:ind w:firstLine="720"/>
        <w:jc w:val="both"/>
      </w:pPr>
    </w:p>
    <w:p w:rsidR="00F66E60" w:rsidRPr="00B113C1" w:rsidRDefault="00573D82" w:rsidP="00D75661">
      <w:pPr>
        <w:pStyle w:val="Bullet"/>
        <w:numPr>
          <w:ilvl w:val="0"/>
          <w:numId w:val="16"/>
        </w:numPr>
        <w:jc w:val="both"/>
        <w:rPr>
          <w:b/>
        </w:rPr>
      </w:pPr>
      <w:r>
        <w:rPr>
          <w:b/>
        </w:rPr>
        <w:t xml:space="preserve">Short-Term </w:t>
      </w:r>
      <w:r w:rsidR="00F66E60" w:rsidRPr="00B113C1">
        <w:rPr>
          <w:b/>
        </w:rPr>
        <w:t>Financial Programming</w:t>
      </w:r>
      <w:r w:rsidR="00D75661" w:rsidRPr="00B113C1">
        <w:rPr>
          <w:b/>
        </w:rPr>
        <w:t xml:space="preserve"> (IMF)</w:t>
      </w:r>
      <w:r w:rsidR="00F66E60" w:rsidRPr="00B113C1">
        <w:rPr>
          <w:b/>
        </w:rPr>
        <w:t>.</w:t>
      </w:r>
      <w:bookmarkStart w:id="0" w:name="OLE_LINK1"/>
    </w:p>
    <w:bookmarkEnd w:id="0"/>
    <w:p w:rsidR="00F66E60" w:rsidRDefault="00F66E60" w:rsidP="00C400F5">
      <w:pPr>
        <w:pStyle w:val="Bullet"/>
        <w:numPr>
          <w:ilvl w:val="0"/>
          <w:numId w:val="0"/>
        </w:numPr>
        <w:jc w:val="both"/>
      </w:pPr>
    </w:p>
    <w:p w:rsidR="00591F3D" w:rsidRDefault="00591F3D" w:rsidP="00C400F5">
      <w:pPr>
        <w:pStyle w:val="Bullet"/>
        <w:numPr>
          <w:ilvl w:val="0"/>
          <w:numId w:val="0"/>
        </w:numPr>
        <w:ind w:firstLine="360"/>
        <w:jc w:val="both"/>
      </w:pPr>
      <w:r>
        <w:t xml:space="preserve">A Financial Program is a </w:t>
      </w:r>
      <w:r w:rsidR="00631CF3">
        <w:t>consistent set of policy measures designed to achieve a sustainable balance of payments and price stability</w:t>
      </w:r>
      <w:r w:rsidR="0011491E">
        <w:t xml:space="preserve"> (low and predictable inflation)</w:t>
      </w:r>
      <w:r w:rsidR="00631CF3">
        <w:t xml:space="preserve">. </w:t>
      </w:r>
      <w:r w:rsidR="00B63385">
        <w:t>It is a tool to help achieve internal equilibrium</w:t>
      </w:r>
      <w:r w:rsidR="002236D5">
        <w:t xml:space="preserve"> (price stability) and external equilibrium (</w:t>
      </w:r>
      <w:r w:rsidR="00E33783">
        <w:t>sustainable current account deficit or surplus)</w:t>
      </w:r>
      <w:r w:rsidR="00B63385">
        <w:t xml:space="preserve">. </w:t>
      </w:r>
      <w:r w:rsidR="00631CF3">
        <w:t xml:space="preserve">Policies in the monetary, balance of payments, and fiscal areas are crucial </w:t>
      </w:r>
      <w:r w:rsidR="0011491E">
        <w:t xml:space="preserve">to achieve the balance of payments and inflation goals. This is because </w:t>
      </w:r>
      <w:r w:rsidR="005F10FB">
        <w:t>a</w:t>
      </w:r>
      <w:r w:rsidR="0011491E">
        <w:t xml:space="preserve"> financial programming relies </w:t>
      </w:r>
      <w:r w:rsidR="005F10FB">
        <w:t>on</w:t>
      </w:r>
      <w:r w:rsidR="0011491E">
        <w:t xml:space="preserve"> the interactions between the monetary accounts and the balance of payment accounts</w:t>
      </w:r>
      <w:r w:rsidR="005F10FB">
        <w:t xml:space="preserve">. The </w:t>
      </w:r>
      <w:r w:rsidR="0011491E">
        <w:t xml:space="preserve">fiscal accounts </w:t>
      </w:r>
      <w:r w:rsidR="005F10FB">
        <w:t xml:space="preserve">play in many cases a central role in </w:t>
      </w:r>
      <w:r w:rsidR="0011491E">
        <w:t xml:space="preserve">the evolution of the monetary and balance of payment accounts: the government deficit </w:t>
      </w:r>
      <w:r w:rsidR="005F10FB">
        <w:t xml:space="preserve">may add </w:t>
      </w:r>
      <w:r w:rsidR="0011491E">
        <w:t xml:space="preserve">pressures on domestic credit and inflation, which </w:t>
      </w:r>
      <w:r w:rsidR="00B63385">
        <w:t xml:space="preserve">impact </w:t>
      </w:r>
      <w:r w:rsidR="0011491E">
        <w:t xml:space="preserve">the balance of payments </w:t>
      </w:r>
      <w:r w:rsidR="005F10FB">
        <w:t>(</w:t>
      </w:r>
      <w:r w:rsidR="0011491E">
        <w:t>demand for imports</w:t>
      </w:r>
      <w:r w:rsidR="005F10FB">
        <w:t xml:space="preserve"> a</w:t>
      </w:r>
      <w:r w:rsidR="00B63385">
        <w:t>nd international reserves</w:t>
      </w:r>
      <w:r w:rsidR="005F10FB">
        <w:t>) and put pressures on the exchange rate</w:t>
      </w:r>
      <w:r w:rsidR="00B63385">
        <w:t>.</w:t>
      </w:r>
      <w:r w:rsidR="002236D5">
        <w:t xml:space="preserve"> </w:t>
      </w:r>
    </w:p>
    <w:p w:rsidR="00131385" w:rsidRDefault="00131385" w:rsidP="00C400F5">
      <w:pPr>
        <w:ind w:firstLine="720"/>
        <w:jc w:val="both"/>
      </w:pPr>
    </w:p>
    <w:p w:rsidR="00131385" w:rsidRDefault="00131385" w:rsidP="00C400F5">
      <w:pPr>
        <w:ind w:firstLine="720"/>
        <w:jc w:val="both"/>
      </w:pPr>
      <w:r>
        <w:t xml:space="preserve">Financial Programming is different to a Plan as the Plan set objectives and targets as a micro level, interfering with the operation of markets. In a Financial Programming a </w:t>
      </w:r>
      <w:r>
        <w:lastRenderedPageBreak/>
        <w:t xml:space="preserve">consistent macro framework </w:t>
      </w:r>
      <w:r w:rsidR="005F10FB">
        <w:t xml:space="preserve">is set but not interference </w:t>
      </w:r>
      <w:r>
        <w:t>with the operations of markets in the allocation of resources across different economic activities.</w:t>
      </w:r>
    </w:p>
    <w:p w:rsidR="00F66E60" w:rsidRDefault="00F66E60" w:rsidP="00C400F5">
      <w:pPr>
        <w:jc w:val="both"/>
      </w:pPr>
    </w:p>
    <w:p w:rsidR="00F66E60" w:rsidRDefault="00F66E60" w:rsidP="00D75661">
      <w:pPr>
        <w:pStyle w:val="Bullet"/>
        <w:numPr>
          <w:ilvl w:val="0"/>
          <w:numId w:val="17"/>
        </w:numPr>
        <w:jc w:val="both"/>
      </w:pPr>
      <w:r>
        <w:t xml:space="preserve">Functional Relationships </w:t>
      </w:r>
      <w:r w:rsidR="00D054A7">
        <w:t>used in Financial Programming</w:t>
      </w:r>
      <w:r>
        <w:t>.</w:t>
      </w:r>
    </w:p>
    <w:p w:rsidR="00F66E60" w:rsidRDefault="00F66E60" w:rsidP="00C400F5">
      <w:pPr>
        <w:pStyle w:val="Bullet"/>
        <w:numPr>
          <w:ilvl w:val="0"/>
          <w:numId w:val="0"/>
        </w:numPr>
        <w:jc w:val="both"/>
      </w:pPr>
    </w:p>
    <w:p w:rsidR="00131385" w:rsidRDefault="002E3811" w:rsidP="00C400F5">
      <w:pPr>
        <w:ind w:firstLine="720"/>
        <w:jc w:val="both"/>
      </w:pPr>
      <w:r>
        <w:t>In a F</w:t>
      </w:r>
      <w:r w:rsidR="00D1327A">
        <w:t xml:space="preserve">inancial Programming </w:t>
      </w:r>
      <w:r>
        <w:t xml:space="preserve">it is </w:t>
      </w:r>
      <w:r w:rsidR="00775028">
        <w:t xml:space="preserve">necessary </w:t>
      </w:r>
      <w:r w:rsidR="00D1327A">
        <w:t xml:space="preserve">to choose a simple but comprehensive </w:t>
      </w:r>
      <w:r w:rsidR="004A69D9">
        <w:t xml:space="preserve">and flexible </w:t>
      </w:r>
      <w:r w:rsidR="00D1327A">
        <w:t>scheme of economic relationships</w:t>
      </w:r>
      <w:r w:rsidR="004A69D9">
        <w:t xml:space="preserve"> that ensure</w:t>
      </w:r>
      <w:r w:rsidR="005F10FB">
        <w:t>s</w:t>
      </w:r>
      <w:r w:rsidR="004A69D9">
        <w:t xml:space="preserve"> consistency of the program</w:t>
      </w:r>
      <w:r w:rsidR="00D1327A">
        <w:t>.</w:t>
      </w:r>
      <w:r w:rsidR="004A69D9">
        <w:t xml:space="preserve"> Using partial equilibrium or general equilibrium models would not prove useful as main objectives and targets are linked to economic policies that induce structural changes in the type of interrelations among the monetary, fiscal, external (balance of payments) and the real sector.</w:t>
      </w:r>
      <w:r w:rsidR="00775028">
        <w:t xml:space="preserve"> Flexibility allows the incorporation of functional relationships linking some key variables that are projected (for ex. imports made function of real GDP growth and the real exchange rate). The incorporation of functional relationships will depend on the situation specific to a particular country related to: availability and reliability of statistics</w:t>
      </w:r>
      <w:r w:rsidR="00F66E60">
        <w:t xml:space="preserve">, </w:t>
      </w:r>
      <w:r w:rsidR="00775028">
        <w:t>dynamic of policies and structural changes</w:t>
      </w:r>
      <w:r w:rsidR="00126D64">
        <w:t xml:space="preserve"> (which</w:t>
      </w:r>
      <w:r w:rsidR="00775028">
        <w:t xml:space="preserve"> may change the functional links among variables</w:t>
      </w:r>
      <w:r w:rsidR="00126D64">
        <w:t>)</w:t>
      </w:r>
      <w:r w:rsidR="00F66E60">
        <w:t>, institutional capabilities concerning training and resources available, and type of communications and data sharing  among the government agencies responsible for the compilation of the monetary, external, fiscal, and national accounts statistics</w:t>
      </w:r>
      <w:r w:rsidR="00775028">
        <w:t xml:space="preserve">. </w:t>
      </w:r>
    </w:p>
    <w:p w:rsidR="00D75661" w:rsidRDefault="00D75661" w:rsidP="00D75661">
      <w:pPr>
        <w:pStyle w:val="Bullet"/>
        <w:numPr>
          <w:ilvl w:val="0"/>
          <w:numId w:val="0"/>
        </w:numPr>
        <w:ind w:left="720"/>
        <w:jc w:val="both"/>
      </w:pPr>
    </w:p>
    <w:p w:rsidR="00F66E60" w:rsidRDefault="00F66E60" w:rsidP="00D75661">
      <w:pPr>
        <w:pStyle w:val="Bullet"/>
        <w:numPr>
          <w:ilvl w:val="0"/>
          <w:numId w:val="17"/>
        </w:numPr>
        <w:jc w:val="both"/>
      </w:pPr>
      <w:r>
        <w:t>Objectives, Targets, and Instruments.</w:t>
      </w:r>
    </w:p>
    <w:p w:rsidR="00F66E60" w:rsidRDefault="00F66E60" w:rsidP="00C400F5">
      <w:pPr>
        <w:pStyle w:val="Bullet"/>
        <w:numPr>
          <w:ilvl w:val="0"/>
          <w:numId w:val="0"/>
        </w:numPr>
        <w:jc w:val="both"/>
      </w:pPr>
    </w:p>
    <w:p w:rsidR="004A69D9" w:rsidRDefault="004A69D9" w:rsidP="00C400F5">
      <w:pPr>
        <w:ind w:firstLine="720"/>
        <w:jc w:val="both"/>
      </w:pPr>
      <w:r>
        <w:t xml:space="preserve">In a Financial </w:t>
      </w:r>
      <w:r w:rsidR="002E3811">
        <w:t>P</w:t>
      </w:r>
      <w:r>
        <w:t xml:space="preserve">rogram it is required to distinguish between </w:t>
      </w:r>
      <w:r w:rsidR="002E3811">
        <w:t>O</w:t>
      </w:r>
      <w:r>
        <w:t xml:space="preserve">bjectives (or final goals) for ex. </w:t>
      </w:r>
      <w:r w:rsidR="006D44CD">
        <w:t>r</w:t>
      </w:r>
      <w:r>
        <w:t xml:space="preserve">educe inflation, and </w:t>
      </w:r>
      <w:r w:rsidR="002E3811">
        <w:t>I</w:t>
      </w:r>
      <w:r>
        <w:t xml:space="preserve">ntermediate </w:t>
      </w:r>
      <w:r w:rsidR="002E3811">
        <w:t>T</w:t>
      </w:r>
      <w:r w:rsidR="006D44CD">
        <w:t>argets that help to assess the degree of achievement of the objectives for ex. setting a target for the expansion of domestic credit.</w:t>
      </w:r>
      <w:r w:rsidR="00871BB1">
        <w:t xml:space="preserve"> The targets are intermediate measures for monitoring the extent to which the final objectives are being achieved.</w:t>
      </w:r>
    </w:p>
    <w:p w:rsidR="006D44CD" w:rsidRDefault="006D44CD" w:rsidP="00C400F5">
      <w:pPr>
        <w:ind w:firstLine="720"/>
        <w:jc w:val="both"/>
      </w:pPr>
    </w:p>
    <w:p w:rsidR="006D44CD" w:rsidRDefault="006D44CD" w:rsidP="00C400F5">
      <w:pPr>
        <w:ind w:firstLine="720"/>
        <w:jc w:val="both"/>
      </w:pPr>
      <w:r>
        <w:t xml:space="preserve">In the achievement of goals and targets the policy makers need to use Instruments linked to the targets. For ex. cutting the expansion of domestic credit may require raising interest rates to curb the demand of credit by the private sector or </w:t>
      </w:r>
      <w:r w:rsidR="002E3811">
        <w:t xml:space="preserve">limit </w:t>
      </w:r>
      <w:r>
        <w:t>the fiscal deficit</w:t>
      </w:r>
      <w:r w:rsidR="000C0DE5">
        <w:t>.</w:t>
      </w:r>
      <w:r w:rsidR="002E3811">
        <w:t xml:space="preserve"> The exchange rate </w:t>
      </w:r>
      <w:r w:rsidR="000C0DE5">
        <w:t xml:space="preserve">may also </w:t>
      </w:r>
      <w:r w:rsidR="002E3811">
        <w:t>become an instrument for ex. for helping to contain inflation</w:t>
      </w:r>
      <w:r w:rsidR="00871BB1">
        <w:t xml:space="preserve"> (Objective)</w:t>
      </w:r>
      <w:r w:rsidR="002E3811">
        <w:t xml:space="preserve">. </w:t>
      </w:r>
      <w:r w:rsidR="00871BB1">
        <w:t>In some cases and Instrument could also become a Target for ex. reducing domestic inflation could require cutting domestic credit (Instrument) but a ceiling on the expansion of domestic credit could also be set as a Target as it relates to the achievement of the final objective (reducing inflation).</w:t>
      </w:r>
    </w:p>
    <w:p w:rsidR="00573D82" w:rsidRDefault="00573D82" w:rsidP="00573D82">
      <w:pPr>
        <w:jc w:val="both"/>
      </w:pPr>
    </w:p>
    <w:p w:rsidR="00573D82" w:rsidRPr="00B113C1" w:rsidRDefault="00573D82" w:rsidP="00573D82">
      <w:pPr>
        <w:pStyle w:val="Bullet"/>
        <w:numPr>
          <w:ilvl w:val="0"/>
          <w:numId w:val="16"/>
        </w:numPr>
        <w:jc w:val="both"/>
        <w:rPr>
          <w:b/>
        </w:rPr>
      </w:pPr>
      <w:r>
        <w:t xml:space="preserve"> </w:t>
      </w:r>
      <w:r>
        <w:rPr>
          <w:b/>
        </w:rPr>
        <w:t xml:space="preserve">The Flow of Funds: </w:t>
      </w:r>
      <w:r w:rsidRPr="00B113C1">
        <w:rPr>
          <w:b/>
        </w:rPr>
        <w:t xml:space="preserve">Macroeconomic Accounting Framework </w:t>
      </w:r>
      <w:r>
        <w:rPr>
          <w:b/>
        </w:rPr>
        <w:t>in</w:t>
      </w:r>
      <w:r w:rsidRPr="00B113C1">
        <w:rPr>
          <w:b/>
        </w:rPr>
        <w:t xml:space="preserve"> Short Term Financial Programming (IMF</w:t>
      </w:r>
      <w:r>
        <w:rPr>
          <w:b/>
        </w:rPr>
        <w:t>)</w:t>
      </w:r>
      <w:r w:rsidRPr="00B113C1">
        <w:rPr>
          <w:b/>
        </w:rPr>
        <w:t>.</w:t>
      </w:r>
      <w:r w:rsidRPr="00573D82">
        <w:rPr>
          <w:b/>
        </w:rPr>
        <w:t xml:space="preserve"> </w:t>
      </w:r>
    </w:p>
    <w:p w:rsidR="00573D82" w:rsidRDefault="00573D82" w:rsidP="00573D82">
      <w:pPr>
        <w:jc w:val="both"/>
      </w:pPr>
    </w:p>
    <w:p w:rsidR="00573D82" w:rsidRPr="004E3647" w:rsidRDefault="00573D82" w:rsidP="00573D82">
      <w:pPr>
        <w:ind w:firstLine="360"/>
        <w:jc w:val="both"/>
      </w:pPr>
      <w:r w:rsidRPr="004E3647">
        <w:t xml:space="preserve">The economy is divided into four aggregate analytical sectors (used in Financial Programming): Private sector, Non-Financial Public sector, </w:t>
      </w:r>
      <w:r>
        <w:t>Banking sector, and External sector.</w:t>
      </w:r>
      <w:r w:rsidRPr="004E3647">
        <w:t xml:space="preserve"> For each sector we distinguish between the sources and uses of funds: </w:t>
      </w:r>
    </w:p>
    <w:p w:rsidR="00573D82" w:rsidRDefault="00573D82" w:rsidP="00573D82">
      <w:pPr>
        <w:jc w:val="both"/>
      </w:pPr>
    </w:p>
    <w:p w:rsidR="00573D82" w:rsidRPr="004E3647" w:rsidRDefault="00573D82" w:rsidP="00573D82">
      <w:pPr>
        <w:jc w:val="both"/>
      </w:pPr>
      <w:r w:rsidRPr="004E3647">
        <w:t>Sources (right side): sources to finance the acquisition of financial assets.</w:t>
      </w:r>
    </w:p>
    <w:p w:rsidR="00573D82" w:rsidRPr="004E3647" w:rsidRDefault="00573D82" w:rsidP="00573D82">
      <w:pPr>
        <w:jc w:val="both"/>
      </w:pPr>
      <w:r w:rsidRPr="004E3647">
        <w:t xml:space="preserve">Uses (left side): net acquisition of financial assets (including money). </w:t>
      </w:r>
    </w:p>
    <w:p w:rsidR="00573D82" w:rsidRPr="004E3647" w:rsidRDefault="00573D82" w:rsidP="00573D82">
      <w:pPr>
        <w:jc w:val="both"/>
      </w:pPr>
    </w:p>
    <w:p w:rsidR="00573D82" w:rsidRDefault="00573D82" w:rsidP="00573D82">
      <w:pPr>
        <w:jc w:val="both"/>
      </w:pPr>
      <w:r w:rsidRPr="004E3647">
        <w:tab/>
        <w:t>The net source of funds for the non banking sector is equal to the excess of the current account balances (saving) over the acquisition of physical assets (investment).</w:t>
      </w:r>
    </w:p>
    <w:p w:rsidR="00573D82" w:rsidRPr="004E3647" w:rsidRDefault="00573D82" w:rsidP="00573D82">
      <w:pPr>
        <w:jc w:val="both"/>
      </w:pPr>
    </w:p>
    <w:p w:rsidR="00573D82" w:rsidRPr="004E3647" w:rsidRDefault="00573D82" w:rsidP="00573D82">
      <w:pPr>
        <w:jc w:val="both"/>
      </w:pPr>
      <w:r w:rsidRPr="004E3647">
        <w:tab/>
        <w:t>The banking sector issue domestic and external liabilities (sources) that are used to acquire domestic and external financial assets (uses)</w:t>
      </w:r>
    </w:p>
    <w:p w:rsidR="00573D82" w:rsidRDefault="00573D82" w:rsidP="00573D82">
      <w:pPr>
        <w:jc w:val="both"/>
        <w:rPr>
          <w:b/>
        </w:rPr>
      </w:pPr>
    </w:p>
    <w:p w:rsidR="00573D82" w:rsidRDefault="00573D82" w:rsidP="00573D82">
      <w:pPr>
        <w:jc w:val="both"/>
        <w:rPr>
          <w:b/>
        </w:rPr>
      </w:pPr>
      <w:r>
        <w:rPr>
          <w:b/>
        </w:rPr>
        <w:t xml:space="preserve">1. </w:t>
      </w:r>
      <w:r w:rsidRPr="00CE6E83">
        <w:rPr>
          <w:b/>
        </w:rPr>
        <w:t xml:space="preserve">Private Sector: </w:t>
      </w:r>
    </w:p>
    <w:p w:rsidR="00573D82" w:rsidRPr="00CE6E83" w:rsidRDefault="00573D82" w:rsidP="00573D82">
      <w:pPr>
        <w:jc w:val="both"/>
        <w:rPr>
          <w:b/>
        </w:rPr>
      </w:pPr>
    </w:p>
    <w:tbl>
      <w:tblPr>
        <w:tblW w:w="2081" w:type="dxa"/>
        <w:tblInd w:w="98" w:type="dxa"/>
        <w:tblLook w:val="0000"/>
      </w:tblPr>
      <w:tblGrid>
        <w:gridCol w:w="1145"/>
        <w:gridCol w:w="222"/>
        <w:gridCol w:w="950"/>
      </w:tblGrid>
      <w:tr w:rsidR="00573D82" w:rsidTr="000805DC">
        <w:trPr>
          <w:trHeight w:val="255"/>
        </w:trPr>
        <w:tc>
          <w:tcPr>
            <w:tcW w:w="2081" w:type="dxa"/>
            <w:gridSpan w:val="3"/>
            <w:tcBorders>
              <w:top w:val="nil"/>
              <w:left w:val="nil"/>
              <w:bottom w:val="single" w:sz="4" w:space="0" w:color="auto"/>
              <w:right w:val="nil"/>
            </w:tcBorders>
            <w:shd w:val="clear" w:color="auto" w:fill="auto"/>
            <w:noWrap/>
            <w:vAlign w:val="bottom"/>
          </w:tcPr>
          <w:p w:rsidR="00573D82" w:rsidRDefault="00573D82" w:rsidP="000805DC">
            <w:pPr>
              <w:rPr>
                <w:rFonts w:ascii="Arial" w:hAnsi="Arial" w:cs="Arial"/>
                <w:sz w:val="20"/>
                <w:szCs w:val="20"/>
              </w:rPr>
            </w:pPr>
            <w:r>
              <w:rPr>
                <w:rFonts w:ascii="Arial" w:hAnsi="Arial" w:cs="Arial"/>
                <w:sz w:val="20"/>
                <w:szCs w:val="20"/>
              </w:rPr>
              <w:t xml:space="preserve">   Private Sector</w:t>
            </w:r>
          </w:p>
        </w:tc>
      </w:tr>
      <w:tr w:rsidR="00573D82" w:rsidTr="000805DC">
        <w:trPr>
          <w:trHeight w:val="255"/>
        </w:trPr>
        <w:tc>
          <w:tcPr>
            <w:tcW w:w="1145" w:type="dxa"/>
            <w:tcBorders>
              <w:top w:val="nil"/>
              <w:left w:val="nil"/>
              <w:bottom w:val="single" w:sz="4" w:space="0" w:color="auto"/>
              <w:right w:val="nil"/>
            </w:tcBorders>
            <w:shd w:val="clear" w:color="auto" w:fill="auto"/>
            <w:noWrap/>
            <w:vAlign w:val="bottom"/>
          </w:tcPr>
          <w:p w:rsidR="00573D82" w:rsidRDefault="00573D82" w:rsidP="000805DC">
            <w:pPr>
              <w:rPr>
                <w:rFonts w:ascii="Arial" w:hAnsi="Arial" w:cs="Arial"/>
                <w:sz w:val="20"/>
                <w:szCs w:val="20"/>
              </w:rPr>
            </w:pPr>
            <w:r>
              <w:rPr>
                <w:rFonts w:ascii="Arial" w:hAnsi="Arial" w:cs="Arial"/>
                <w:sz w:val="20"/>
                <w:szCs w:val="20"/>
              </w:rPr>
              <w:t xml:space="preserve">  Uses</w:t>
            </w:r>
          </w:p>
        </w:tc>
        <w:tc>
          <w:tcPr>
            <w:tcW w:w="61" w:type="dxa"/>
            <w:tcBorders>
              <w:top w:val="nil"/>
              <w:left w:val="nil"/>
              <w:bottom w:val="nil"/>
              <w:right w:val="nil"/>
            </w:tcBorders>
            <w:shd w:val="clear" w:color="auto" w:fill="auto"/>
            <w:noWrap/>
            <w:vAlign w:val="bottom"/>
          </w:tcPr>
          <w:p w:rsidR="00573D82" w:rsidRDefault="00573D82" w:rsidP="000805DC">
            <w:pPr>
              <w:rPr>
                <w:rFonts w:ascii="Arial" w:hAnsi="Arial" w:cs="Arial"/>
                <w:sz w:val="20"/>
                <w:szCs w:val="20"/>
              </w:rPr>
            </w:pPr>
          </w:p>
        </w:tc>
        <w:tc>
          <w:tcPr>
            <w:tcW w:w="875" w:type="dxa"/>
            <w:tcBorders>
              <w:top w:val="nil"/>
              <w:left w:val="nil"/>
              <w:bottom w:val="single" w:sz="4" w:space="0" w:color="auto"/>
              <w:right w:val="nil"/>
            </w:tcBorders>
            <w:shd w:val="clear" w:color="auto" w:fill="auto"/>
            <w:noWrap/>
            <w:vAlign w:val="bottom"/>
          </w:tcPr>
          <w:p w:rsidR="00573D82" w:rsidRDefault="00573D82" w:rsidP="000805DC">
            <w:pPr>
              <w:rPr>
                <w:rFonts w:ascii="Arial" w:hAnsi="Arial" w:cs="Arial"/>
                <w:sz w:val="20"/>
                <w:szCs w:val="20"/>
              </w:rPr>
            </w:pPr>
            <w:r>
              <w:rPr>
                <w:rFonts w:ascii="Arial" w:hAnsi="Arial" w:cs="Arial"/>
                <w:sz w:val="20"/>
                <w:szCs w:val="20"/>
              </w:rPr>
              <w:t xml:space="preserve"> Sources</w:t>
            </w:r>
          </w:p>
        </w:tc>
      </w:tr>
      <w:tr w:rsidR="00573D82" w:rsidTr="000805DC">
        <w:trPr>
          <w:trHeight w:val="255"/>
        </w:trPr>
        <w:tc>
          <w:tcPr>
            <w:tcW w:w="1145" w:type="dxa"/>
            <w:tcBorders>
              <w:top w:val="nil"/>
              <w:left w:val="nil"/>
              <w:bottom w:val="nil"/>
              <w:right w:val="nil"/>
            </w:tcBorders>
            <w:shd w:val="clear" w:color="auto" w:fill="auto"/>
            <w:noWrap/>
            <w:vAlign w:val="bottom"/>
          </w:tcPr>
          <w:p w:rsidR="00573D82" w:rsidRDefault="00573D82" w:rsidP="000805DC">
            <w:pPr>
              <w:rPr>
                <w:rFonts w:ascii="Arial" w:hAnsi="Arial" w:cs="Arial"/>
                <w:sz w:val="20"/>
                <w:szCs w:val="20"/>
              </w:rPr>
            </w:pPr>
            <w:r>
              <w:rPr>
                <w:rFonts w:ascii="Arial" w:hAnsi="Arial" w:cs="Arial"/>
                <w:sz w:val="20"/>
                <w:szCs w:val="20"/>
              </w:rPr>
              <w:t xml:space="preserve">  dMd</w:t>
            </w:r>
          </w:p>
        </w:tc>
        <w:tc>
          <w:tcPr>
            <w:tcW w:w="61" w:type="dxa"/>
            <w:tcBorders>
              <w:top w:val="nil"/>
              <w:left w:val="nil"/>
              <w:bottom w:val="nil"/>
              <w:right w:val="nil"/>
            </w:tcBorders>
            <w:shd w:val="clear" w:color="auto" w:fill="auto"/>
            <w:noWrap/>
            <w:vAlign w:val="bottom"/>
          </w:tcPr>
          <w:p w:rsidR="00573D82" w:rsidRDefault="00573D82" w:rsidP="000805DC">
            <w:pPr>
              <w:rPr>
                <w:rFonts w:ascii="Arial" w:hAnsi="Arial" w:cs="Arial"/>
                <w:sz w:val="20"/>
                <w:szCs w:val="20"/>
              </w:rPr>
            </w:pPr>
          </w:p>
        </w:tc>
        <w:tc>
          <w:tcPr>
            <w:tcW w:w="875" w:type="dxa"/>
            <w:tcBorders>
              <w:top w:val="nil"/>
              <w:left w:val="nil"/>
              <w:bottom w:val="nil"/>
              <w:right w:val="nil"/>
            </w:tcBorders>
            <w:shd w:val="clear" w:color="auto" w:fill="auto"/>
            <w:noWrap/>
            <w:vAlign w:val="bottom"/>
          </w:tcPr>
          <w:p w:rsidR="00573D82" w:rsidRDefault="00573D82" w:rsidP="000805DC">
            <w:pPr>
              <w:rPr>
                <w:rFonts w:ascii="Arial" w:hAnsi="Arial" w:cs="Arial"/>
                <w:sz w:val="20"/>
                <w:szCs w:val="20"/>
              </w:rPr>
            </w:pPr>
            <w:r>
              <w:rPr>
                <w:rFonts w:ascii="Arial" w:hAnsi="Arial" w:cs="Arial"/>
                <w:sz w:val="20"/>
                <w:szCs w:val="20"/>
              </w:rPr>
              <w:t xml:space="preserve">   Sp</w:t>
            </w:r>
          </w:p>
        </w:tc>
      </w:tr>
      <w:tr w:rsidR="00573D82" w:rsidTr="000805DC">
        <w:trPr>
          <w:trHeight w:val="255"/>
        </w:trPr>
        <w:tc>
          <w:tcPr>
            <w:tcW w:w="1145" w:type="dxa"/>
            <w:tcBorders>
              <w:top w:val="nil"/>
              <w:left w:val="nil"/>
              <w:bottom w:val="nil"/>
              <w:right w:val="nil"/>
            </w:tcBorders>
            <w:shd w:val="clear" w:color="auto" w:fill="auto"/>
            <w:noWrap/>
            <w:vAlign w:val="bottom"/>
          </w:tcPr>
          <w:p w:rsidR="00573D82" w:rsidRDefault="00573D82" w:rsidP="000805DC">
            <w:pPr>
              <w:rPr>
                <w:rFonts w:ascii="Arial" w:hAnsi="Arial" w:cs="Arial"/>
                <w:sz w:val="20"/>
                <w:szCs w:val="20"/>
              </w:rPr>
            </w:pPr>
            <w:r>
              <w:rPr>
                <w:rFonts w:ascii="Arial" w:hAnsi="Arial" w:cs="Arial"/>
                <w:sz w:val="20"/>
                <w:szCs w:val="20"/>
              </w:rPr>
              <w:t xml:space="preserve">- dDp   </w:t>
            </w:r>
          </w:p>
        </w:tc>
        <w:tc>
          <w:tcPr>
            <w:tcW w:w="61" w:type="dxa"/>
            <w:tcBorders>
              <w:top w:val="nil"/>
              <w:left w:val="nil"/>
              <w:bottom w:val="nil"/>
              <w:right w:val="nil"/>
            </w:tcBorders>
            <w:shd w:val="clear" w:color="auto" w:fill="auto"/>
            <w:noWrap/>
            <w:vAlign w:val="bottom"/>
          </w:tcPr>
          <w:p w:rsidR="00573D82" w:rsidRDefault="00573D82" w:rsidP="000805DC">
            <w:pPr>
              <w:rPr>
                <w:rFonts w:ascii="Arial" w:hAnsi="Arial" w:cs="Arial"/>
                <w:sz w:val="20"/>
                <w:szCs w:val="20"/>
              </w:rPr>
            </w:pPr>
          </w:p>
        </w:tc>
        <w:tc>
          <w:tcPr>
            <w:tcW w:w="875" w:type="dxa"/>
            <w:tcBorders>
              <w:top w:val="nil"/>
              <w:left w:val="nil"/>
              <w:bottom w:val="nil"/>
              <w:right w:val="nil"/>
            </w:tcBorders>
            <w:shd w:val="clear" w:color="auto" w:fill="auto"/>
            <w:noWrap/>
            <w:vAlign w:val="bottom"/>
          </w:tcPr>
          <w:p w:rsidR="00573D82" w:rsidRDefault="00573D82" w:rsidP="000805DC">
            <w:pPr>
              <w:rPr>
                <w:rFonts w:ascii="Arial" w:hAnsi="Arial" w:cs="Arial"/>
                <w:sz w:val="20"/>
                <w:szCs w:val="20"/>
              </w:rPr>
            </w:pPr>
            <w:r>
              <w:rPr>
                <w:rFonts w:ascii="Arial" w:hAnsi="Arial" w:cs="Arial"/>
                <w:sz w:val="20"/>
                <w:szCs w:val="20"/>
              </w:rPr>
              <w:t xml:space="preserve"> - Ip  </w:t>
            </w:r>
          </w:p>
        </w:tc>
      </w:tr>
      <w:tr w:rsidR="00573D82" w:rsidTr="000805DC">
        <w:trPr>
          <w:trHeight w:val="255"/>
        </w:trPr>
        <w:tc>
          <w:tcPr>
            <w:tcW w:w="1145" w:type="dxa"/>
            <w:tcBorders>
              <w:top w:val="nil"/>
              <w:left w:val="nil"/>
              <w:bottom w:val="nil"/>
              <w:right w:val="nil"/>
            </w:tcBorders>
            <w:shd w:val="clear" w:color="auto" w:fill="auto"/>
            <w:noWrap/>
            <w:vAlign w:val="bottom"/>
          </w:tcPr>
          <w:p w:rsidR="00573D82" w:rsidRDefault="00573D82" w:rsidP="000805DC">
            <w:pPr>
              <w:rPr>
                <w:rFonts w:ascii="Arial" w:hAnsi="Arial" w:cs="Arial"/>
                <w:sz w:val="20"/>
                <w:szCs w:val="20"/>
              </w:rPr>
            </w:pPr>
            <w:r>
              <w:rPr>
                <w:rFonts w:ascii="Arial" w:hAnsi="Arial" w:cs="Arial"/>
                <w:sz w:val="20"/>
                <w:szCs w:val="20"/>
              </w:rPr>
              <w:t>- dFp</w:t>
            </w:r>
          </w:p>
        </w:tc>
        <w:tc>
          <w:tcPr>
            <w:tcW w:w="61" w:type="dxa"/>
            <w:tcBorders>
              <w:top w:val="nil"/>
              <w:left w:val="nil"/>
              <w:bottom w:val="nil"/>
              <w:right w:val="nil"/>
            </w:tcBorders>
            <w:shd w:val="clear" w:color="auto" w:fill="auto"/>
            <w:noWrap/>
            <w:vAlign w:val="bottom"/>
          </w:tcPr>
          <w:p w:rsidR="00573D82" w:rsidRDefault="00573D82" w:rsidP="000805DC">
            <w:pPr>
              <w:rPr>
                <w:rFonts w:ascii="Arial" w:hAnsi="Arial" w:cs="Arial"/>
                <w:sz w:val="20"/>
                <w:szCs w:val="20"/>
              </w:rPr>
            </w:pPr>
          </w:p>
        </w:tc>
        <w:tc>
          <w:tcPr>
            <w:tcW w:w="875" w:type="dxa"/>
            <w:tcBorders>
              <w:top w:val="nil"/>
              <w:left w:val="nil"/>
              <w:bottom w:val="nil"/>
              <w:right w:val="nil"/>
            </w:tcBorders>
            <w:shd w:val="clear" w:color="auto" w:fill="auto"/>
            <w:noWrap/>
            <w:vAlign w:val="bottom"/>
          </w:tcPr>
          <w:p w:rsidR="00573D82" w:rsidRDefault="00573D82" w:rsidP="000805DC">
            <w:pPr>
              <w:rPr>
                <w:rFonts w:ascii="Arial" w:hAnsi="Arial" w:cs="Arial"/>
                <w:sz w:val="20"/>
                <w:szCs w:val="20"/>
              </w:rPr>
            </w:pPr>
            <w:r>
              <w:rPr>
                <w:rFonts w:ascii="Arial" w:hAnsi="Arial" w:cs="Arial"/>
                <w:sz w:val="20"/>
                <w:szCs w:val="20"/>
              </w:rPr>
              <w:t xml:space="preserve"> </w:t>
            </w:r>
          </w:p>
        </w:tc>
      </w:tr>
    </w:tbl>
    <w:p w:rsidR="00573D82" w:rsidRDefault="00573D82" w:rsidP="00573D82">
      <w:pPr>
        <w:jc w:val="both"/>
        <w:rPr>
          <w:b/>
        </w:rPr>
      </w:pPr>
    </w:p>
    <w:p w:rsidR="00573D82" w:rsidRDefault="00573D82" w:rsidP="00573D82">
      <w:pPr>
        <w:jc w:val="both"/>
      </w:pPr>
      <w:r w:rsidRPr="00CE6E83">
        <w:rPr>
          <w:b/>
        </w:rPr>
        <w:t>Sources:</w:t>
      </w:r>
      <w:r>
        <w:t xml:space="preserve"> Sp - Ip: Private Saving (national disposable income – private consumption)- Private Investment.</w:t>
      </w:r>
    </w:p>
    <w:p w:rsidR="00573D82" w:rsidRDefault="00573D82" w:rsidP="00573D82">
      <w:pPr>
        <w:jc w:val="both"/>
      </w:pPr>
      <w:r w:rsidRPr="00CE6E83">
        <w:rPr>
          <w:b/>
        </w:rPr>
        <w:t>Uses:</w:t>
      </w:r>
      <w:r>
        <w:t xml:space="preserve"> dMd -</w:t>
      </w:r>
      <w:r w:rsidR="00FC36C1">
        <w:t xml:space="preserve"> Dp - </w:t>
      </w:r>
      <w:r>
        <w:t xml:space="preserve">dFp: Change in the demand for money – Change in the private sector’s domestic </w:t>
      </w:r>
      <w:r w:rsidR="00FC36C1">
        <w:t xml:space="preserve">and foreign </w:t>
      </w:r>
      <w:r>
        <w:t>demand for credit</w:t>
      </w:r>
      <w:r w:rsidR="00FC36C1">
        <w:t>.</w:t>
      </w:r>
      <w:r>
        <w:t xml:space="preserve"> </w:t>
      </w:r>
    </w:p>
    <w:p w:rsidR="00573D82" w:rsidRDefault="00573D82" w:rsidP="00573D82">
      <w:pPr>
        <w:jc w:val="both"/>
      </w:pPr>
    </w:p>
    <w:p w:rsidR="00573D82" w:rsidRPr="00CE6E83" w:rsidRDefault="00573D82" w:rsidP="00573D82">
      <w:pPr>
        <w:jc w:val="both"/>
        <w:rPr>
          <w:b/>
        </w:rPr>
      </w:pPr>
      <w:r w:rsidRPr="00CE6E83">
        <w:rPr>
          <w:b/>
        </w:rPr>
        <w:t>2. Non-Financial Public Sector:</w:t>
      </w:r>
    </w:p>
    <w:p w:rsidR="00573D82" w:rsidRDefault="00573D82" w:rsidP="00573D82">
      <w:pPr>
        <w:jc w:val="both"/>
        <w:rPr>
          <w:b/>
        </w:rPr>
      </w:pPr>
    </w:p>
    <w:tbl>
      <w:tblPr>
        <w:tblW w:w="2081" w:type="dxa"/>
        <w:tblInd w:w="98" w:type="dxa"/>
        <w:tblLook w:val="0000"/>
      </w:tblPr>
      <w:tblGrid>
        <w:gridCol w:w="1145"/>
        <w:gridCol w:w="222"/>
        <w:gridCol w:w="950"/>
      </w:tblGrid>
      <w:tr w:rsidR="00573D82" w:rsidTr="000805DC">
        <w:trPr>
          <w:trHeight w:val="255"/>
        </w:trPr>
        <w:tc>
          <w:tcPr>
            <w:tcW w:w="2081" w:type="dxa"/>
            <w:gridSpan w:val="3"/>
            <w:tcBorders>
              <w:top w:val="nil"/>
              <w:left w:val="nil"/>
              <w:bottom w:val="single" w:sz="4" w:space="0" w:color="auto"/>
              <w:right w:val="nil"/>
            </w:tcBorders>
            <w:shd w:val="clear" w:color="auto" w:fill="auto"/>
            <w:noWrap/>
            <w:vAlign w:val="bottom"/>
          </w:tcPr>
          <w:p w:rsidR="00573D82" w:rsidRDefault="00573D82" w:rsidP="000805DC">
            <w:pPr>
              <w:rPr>
                <w:rFonts w:ascii="Arial" w:hAnsi="Arial" w:cs="Arial"/>
                <w:sz w:val="20"/>
                <w:szCs w:val="20"/>
              </w:rPr>
            </w:pPr>
            <w:r>
              <w:rPr>
                <w:rFonts w:ascii="Arial" w:hAnsi="Arial" w:cs="Arial"/>
                <w:sz w:val="20"/>
                <w:szCs w:val="20"/>
              </w:rPr>
              <w:t>Non-Financial Public Sector</w:t>
            </w:r>
          </w:p>
        </w:tc>
      </w:tr>
      <w:tr w:rsidR="00573D82" w:rsidTr="000805DC">
        <w:trPr>
          <w:trHeight w:val="255"/>
        </w:trPr>
        <w:tc>
          <w:tcPr>
            <w:tcW w:w="1145" w:type="dxa"/>
            <w:tcBorders>
              <w:top w:val="nil"/>
              <w:left w:val="nil"/>
              <w:bottom w:val="single" w:sz="4" w:space="0" w:color="auto"/>
              <w:right w:val="nil"/>
            </w:tcBorders>
            <w:shd w:val="clear" w:color="auto" w:fill="auto"/>
            <w:noWrap/>
            <w:vAlign w:val="bottom"/>
          </w:tcPr>
          <w:p w:rsidR="00573D82" w:rsidRDefault="00573D82" w:rsidP="000805DC">
            <w:pPr>
              <w:rPr>
                <w:rFonts w:ascii="Arial" w:hAnsi="Arial" w:cs="Arial"/>
                <w:sz w:val="20"/>
                <w:szCs w:val="20"/>
              </w:rPr>
            </w:pPr>
            <w:r>
              <w:rPr>
                <w:rFonts w:ascii="Arial" w:hAnsi="Arial" w:cs="Arial"/>
                <w:sz w:val="20"/>
                <w:szCs w:val="20"/>
              </w:rPr>
              <w:t xml:space="preserve">  Uses</w:t>
            </w:r>
          </w:p>
        </w:tc>
        <w:tc>
          <w:tcPr>
            <w:tcW w:w="61" w:type="dxa"/>
            <w:tcBorders>
              <w:top w:val="nil"/>
              <w:left w:val="nil"/>
              <w:bottom w:val="nil"/>
              <w:right w:val="nil"/>
            </w:tcBorders>
            <w:shd w:val="clear" w:color="auto" w:fill="auto"/>
            <w:noWrap/>
            <w:vAlign w:val="bottom"/>
          </w:tcPr>
          <w:p w:rsidR="00573D82" w:rsidRDefault="00573D82" w:rsidP="000805DC">
            <w:pPr>
              <w:rPr>
                <w:rFonts w:ascii="Arial" w:hAnsi="Arial" w:cs="Arial"/>
                <w:sz w:val="20"/>
                <w:szCs w:val="20"/>
              </w:rPr>
            </w:pPr>
          </w:p>
        </w:tc>
        <w:tc>
          <w:tcPr>
            <w:tcW w:w="875" w:type="dxa"/>
            <w:tcBorders>
              <w:top w:val="nil"/>
              <w:left w:val="nil"/>
              <w:bottom w:val="single" w:sz="4" w:space="0" w:color="auto"/>
              <w:right w:val="nil"/>
            </w:tcBorders>
            <w:shd w:val="clear" w:color="auto" w:fill="auto"/>
            <w:noWrap/>
            <w:vAlign w:val="bottom"/>
          </w:tcPr>
          <w:p w:rsidR="00573D82" w:rsidRDefault="00573D82" w:rsidP="000805DC">
            <w:pPr>
              <w:rPr>
                <w:rFonts w:ascii="Arial" w:hAnsi="Arial" w:cs="Arial"/>
                <w:sz w:val="20"/>
                <w:szCs w:val="20"/>
              </w:rPr>
            </w:pPr>
            <w:r>
              <w:rPr>
                <w:rFonts w:ascii="Arial" w:hAnsi="Arial" w:cs="Arial"/>
                <w:sz w:val="20"/>
                <w:szCs w:val="20"/>
              </w:rPr>
              <w:t>Sources</w:t>
            </w:r>
          </w:p>
        </w:tc>
      </w:tr>
      <w:tr w:rsidR="00573D82" w:rsidTr="000805DC">
        <w:trPr>
          <w:trHeight w:val="255"/>
        </w:trPr>
        <w:tc>
          <w:tcPr>
            <w:tcW w:w="1145" w:type="dxa"/>
            <w:tcBorders>
              <w:top w:val="nil"/>
              <w:left w:val="nil"/>
              <w:bottom w:val="nil"/>
              <w:right w:val="nil"/>
            </w:tcBorders>
            <w:shd w:val="clear" w:color="auto" w:fill="auto"/>
            <w:noWrap/>
            <w:vAlign w:val="bottom"/>
          </w:tcPr>
          <w:p w:rsidR="00573D82" w:rsidRDefault="00573D82" w:rsidP="000805DC">
            <w:pPr>
              <w:rPr>
                <w:rFonts w:ascii="Arial" w:hAnsi="Arial" w:cs="Arial"/>
                <w:sz w:val="20"/>
                <w:szCs w:val="20"/>
              </w:rPr>
            </w:pPr>
            <w:r>
              <w:rPr>
                <w:rFonts w:ascii="Arial" w:hAnsi="Arial" w:cs="Arial"/>
                <w:sz w:val="20"/>
                <w:szCs w:val="20"/>
              </w:rPr>
              <w:t>- dFg</w:t>
            </w:r>
          </w:p>
        </w:tc>
        <w:tc>
          <w:tcPr>
            <w:tcW w:w="61" w:type="dxa"/>
            <w:tcBorders>
              <w:top w:val="nil"/>
              <w:left w:val="nil"/>
              <w:bottom w:val="nil"/>
              <w:right w:val="nil"/>
            </w:tcBorders>
            <w:shd w:val="clear" w:color="auto" w:fill="auto"/>
            <w:noWrap/>
            <w:vAlign w:val="bottom"/>
          </w:tcPr>
          <w:p w:rsidR="00573D82" w:rsidRDefault="00573D82" w:rsidP="000805DC">
            <w:pPr>
              <w:rPr>
                <w:rFonts w:ascii="Arial" w:hAnsi="Arial" w:cs="Arial"/>
                <w:sz w:val="20"/>
                <w:szCs w:val="20"/>
              </w:rPr>
            </w:pPr>
          </w:p>
        </w:tc>
        <w:tc>
          <w:tcPr>
            <w:tcW w:w="875" w:type="dxa"/>
            <w:tcBorders>
              <w:top w:val="nil"/>
              <w:left w:val="nil"/>
              <w:bottom w:val="nil"/>
              <w:right w:val="nil"/>
            </w:tcBorders>
            <w:shd w:val="clear" w:color="auto" w:fill="auto"/>
            <w:noWrap/>
            <w:vAlign w:val="bottom"/>
          </w:tcPr>
          <w:p w:rsidR="00573D82" w:rsidRDefault="00573D82" w:rsidP="000805DC">
            <w:pPr>
              <w:rPr>
                <w:rFonts w:ascii="Arial" w:hAnsi="Arial" w:cs="Arial"/>
                <w:sz w:val="20"/>
                <w:szCs w:val="20"/>
              </w:rPr>
            </w:pPr>
            <w:r>
              <w:rPr>
                <w:rFonts w:ascii="Arial" w:hAnsi="Arial" w:cs="Arial"/>
                <w:sz w:val="20"/>
                <w:szCs w:val="20"/>
              </w:rPr>
              <w:t xml:space="preserve">   Sg</w:t>
            </w:r>
          </w:p>
        </w:tc>
      </w:tr>
      <w:tr w:rsidR="00573D82" w:rsidTr="000805DC">
        <w:trPr>
          <w:trHeight w:val="255"/>
        </w:trPr>
        <w:tc>
          <w:tcPr>
            <w:tcW w:w="1145" w:type="dxa"/>
            <w:tcBorders>
              <w:top w:val="nil"/>
              <w:left w:val="nil"/>
              <w:bottom w:val="nil"/>
              <w:right w:val="nil"/>
            </w:tcBorders>
            <w:shd w:val="clear" w:color="auto" w:fill="auto"/>
            <w:noWrap/>
            <w:vAlign w:val="bottom"/>
          </w:tcPr>
          <w:p w:rsidR="00573D82" w:rsidRDefault="00573D82" w:rsidP="000805DC">
            <w:pPr>
              <w:rPr>
                <w:rFonts w:ascii="Arial" w:hAnsi="Arial" w:cs="Arial"/>
                <w:sz w:val="20"/>
                <w:szCs w:val="20"/>
              </w:rPr>
            </w:pPr>
            <w:r>
              <w:rPr>
                <w:rFonts w:ascii="Arial" w:hAnsi="Arial" w:cs="Arial"/>
                <w:sz w:val="20"/>
                <w:szCs w:val="20"/>
              </w:rPr>
              <w:t>- dDg</w:t>
            </w:r>
          </w:p>
        </w:tc>
        <w:tc>
          <w:tcPr>
            <w:tcW w:w="61" w:type="dxa"/>
            <w:tcBorders>
              <w:top w:val="nil"/>
              <w:left w:val="nil"/>
              <w:bottom w:val="nil"/>
              <w:right w:val="nil"/>
            </w:tcBorders>
            <w:shd w:val="clear" w:color="auto" w:fill="auto"/>
            <w:noWrap/>
            <w:vAlign w:val="bottom"/>
          </w:tcPr>
          <w:p w:rsidR="00573D82" w:rsidRDefault="00573D82" w:rsidP="000805DC">
            <w:pPr>
              <w:rPr>
                <w:rFonts w:ascii="Arial" w:hAnsi="Arial" w:cs="Arial"/>
                <w:sz w:val="20"/>
                <w:szCs w:val="20"/>
              </w:rPr>
            </w:pPr>
          </w:p>
        </w:tc>
        <w:tc>
          <w:tcPr>
            <w:tcW w:w="875" w:type="dxa"/>
            <w:tcBorders>
              <w:top w:val="nil"/>
              <w:left w:val="nil"/>
              <w:bottom w:val="nil"/>
              <w:right w:val="nil"/>
            </w:tcBorders>
            <w:shd w:val="clear" w:color="auto" w:fill="auto"/>
            <w:noWrap/>
            <w:vAlign w:val="bottom"/>
          </w:tcPr>
          <w:p w:rsidR="00573D82" w:rsidRDefault="00573D82" w:rsidP="000805DC">
            <w:pPr>
              <w:rPr>
                <w:rFonts w:ascii="Arial" w:hAnsi="Arial" w:cs="Arial"/>
                <w:sz w:val="20"/>
                <w:szCs w:val="20"/>
              </w:rPr>
            </w:pPr>
            <w:r>
              <w:rPr>
                <w:rFonts w:ascii="Arial" w:hAnsi="Arial" w:cs="Arial"/>
                <w:sz w:val="20"/>
                <w:szCs w:val="20"/>
              </w:rPr>
              <w:t xml:space="preserve"> - Ig</w:t>
            </w:r>
          </w:p>
        </w:tc>
      </w:tr>
    </w:tbl>
    <w:p w:rsidR="00573D82" w:rsidRDefault="00573D82" w:rsidP="00573D82">
      <w:pPr>
        <w:jc w:val="both"/>
        <w:rPr>
          <w:b/>
        </w:rPr>
      </w:pPr>
    </w:p>
    <w:p w:rsidR="00573D82" w:rsidRDefault="00573D82" w:rsidP="00573D82">
      <w:pPr>
        <w:jc w:val="both"/>
        <w:rPr>
          <w:b/>
        </w:rPr>
      </w:pPr>
    </w:p>
    <w:p w:rsidR="00573D82" w:rsidRDefault="00573D82" w:rsidP="00573D82">
      <w:pPr>
        <w:jc w:val="both"/>
      </w:pPr>
      <w:r w:rsidRPr="00CE6E83">
        <w:rPr>
          <w:b/>
        </w:rPr>
        <w:t>Sources:</w:t>
      </w:r>
      <w:r>
        <w:t xml:space="preserve"> Sg - Ig: Non-Financial Public Sector Savings (current revenue – current expenditure) – Public Sector Investment.</w:t>
      </w:r>
    </w:p>
    <w:p w:rsidR="00573D82" w:rsidRDefault="00573D82" w:rsidP="00573D82">
      <w:pPr>
        <w:jc w:val="both"/>
      </w:pPr>
      <w:r w:rsidRPr="00CE6E83">
        <w:rPr>
          <w:b/>
        </w:rPr>
        <w:t>Uses:</w:t>
      </w:r>
      <w:r>
        <w:t xml:space="preserve"> -dFg - dDg: Change in the non-financial public sector’s net foreign borrowing -</w:t>
      </w:r>
    </w:p>
    <w:p w:rsidR="00573D82" w:rsidRDefault="00573D82" w:rsidP="00573D82">
      <w:pPr>
        <w:jc w:val="both"/>
      </w:pPr>
      <w:r>
        <w:t xml:space="preserve">Change in the non-financial public sector’s domestic demand for credit. </w:t>
      </w:r>
    </w:p>
    <w:p w:rsidR="00573D82" w:rsidRDefault="00573D82" w:rsidP="00573D82">
      <w:pPr>
        <w:jc w:val="both"/>
        <w:rPr>
          <w:b/>
        </w:rPr>
      </w:pPr>
    </w:p>
    <w:p w:rsidR="00573D82" w:rsidRPr="00CE6E83" w:rsidRDefault="00573D82" w:rsidP="00573D82">
      <w:pPr>
        <w:jc w:val="both"/>
        <w:rPr>
          <w:b/>
        </w:rPr>
      </w:pPr>
      <w:r>
        <w:rPr>
          <w:b/>
        </w:rPr>
        <w:t xml:space="preserve">3. Banking </w:t>
      </w:r>
      <w:r w:rsidRPr="00CE6E83">
        <w:rPr>
          <w:b/>
        </w:rPr>
        <w:t>Sector:</w:t>
      </w:r>
    </w:p>
    <w:p w:rsidR="00573D82" w:rsidRDefault="00573D82" w:rsidP="00573D82">
      <w:pPr>
        <w:jc w:val="both"/>
        <w:rPr>
          <w:b/>
        </w:rPr>
      </w:pPr>
    </w:p>
    <w:tbl>
      <w:tblPr>
        <w:tblW w:w="2081" w:type="dxa"/>
        <w:tblInd w:w="98" w:type="dxa"/>
        <w:tblLook w:val="0000"/>
      </w:tblPr>
      <w:tblGrid>
        <w:gridCol w:w="1145"/>
        <w:gridCol w:w="222"/>
        <w:gridCol w:w="950"/>
      </w:tblGrid>
      <w:tr w:rsidR="00573D82" w:rsidTr="000805DC">
        <w:trPr>
          <w:trHeight w:val="255"/>
        </w:trPr>
        <w:tc>
          <w:tcPr>
            <w:tcW w:w="2081" w:type="dxa"/>
            <w:gridSpan w:val="3"/>
            <w:tcBorders>
              <w:top w:val="nil"/>
              <w:left w:val="nil"/>
              <w:bottom w:val="single" w:sz="4" w:space="0" w:color="auto"/>
              <w:right w:val="nil"/>
            </w:tcBorders>
            <w:shd w:val="clear" w:color="auto" w:fill="auto"/>
            <w:noWrap/>
            <w:vAlign w:val="bottom"/>
          </w:tcPr>
          <w:p w:rsidR="00573D82" w:rsidRDefault="00573D82" w:rsidP="000805DC">
            <w:pPr>
              <w:rPr>
                <w:rFonts w:ascii="Arial" w:hAnsi="Arial" w:cs="Arial"/>
                <w:sz w:val="20"/>
                <w:szCs w:val="20"/>
              </w:rPr>
            </w:pPr>
            <w:r>
              <w:rPr>
                <w:rFonts w:ascii="Arial" w:hAnsi="Arial" w:cs="Arial"/>
                <w:sz w:val="20"/>
                <w:szCs w:val="20"/>
              </w:rPr>
              <w:t xml:space="preserve">   Banking Sector</w:t>
            </w:r>
          </w:p>
        </w:tc>
      </w:tr>
      <w:tr w:rsidR="00573D82" w:rsidTr="000805DC">
        <w:trPr>
          <w:trHeight w:val="255"/>
        </w:trPr>
        <w:tc>
          <w:tcPr>
            <w:tcW w:w="1145" w:type="dxa"/>
            <w:tcBorders>
              <w:top w:val="nil"/>
              <w:left w:val="nil"/>
              <w:bottom w:val="single" w:sz="4" w:space="0" w:color="auto"/>
              <w:right w:val="nil"/>
            </w:tcBorders>
            <w:shd w:val="clear" w:color="auto" w:fill="auto"/>
            <w:noWrap/>
            <w:vAlign w:val="bottom"/>
          </w:tcPr>
          <w:p w:rsidR="00573D82" w:rsidRDefault="00573D82" w:rsidP="000805DC">
            <w:pPr>
              <w:rPr>
                <w:rFonts w:ascii="Arial" w:hAnsi="Arial" w:cs="Arial"/>
                <w:sz w:val="20"/>
                <w:szCs w:val="20"/>
              </w:rPr>
            </w:pPr>
            <w:r>
              <w:rPr>
                <w:rFonts w:ascii="Arial" w:hAnsi="Arial" w:cs="Arial"/>
                <w:sz w:val="20"/>
                <w:szCs w:val="20"/>
              </w:rPr>
              <w:t xml:space="preserve">  Uses</w:t>
            </w:r>
          </w:p>
        </w:tc>
        <w:tc>
          <w:tcPr>
            <w:tcW w:w="61" w:type="dxa"/>
            <w:tcBorders>
              <w:top w:val="nil"/>
              <w:left w:val="nil"/>
              <w:bottom w:val="nil"/>
              <w:right w:val="nil"/>
            </w:tcBorders>
            <w:shd w:val="clear" w:color="auto" w:fill="auto"/>
            <w:noWrap/>
            <w:vAlign w:val="bottom"/>
          </w:tcPr>
          <w:p w:rsidR="00573D82" w:rsidRDefault="00573D82" w:rsidP="000805DC">
            <w:pPr>
              <w:rPr>
                <w:rFonts w:ascii="Arial" w:hAnsi="Arial" w:cs="Arial"/>
                <w:sz w:val="20"/>
                <w:szCs w:val="20"/>
              </w:rPr>
            </w:pPr>
          </w:p>
        </w:tc>
        <w:tc>
          <w:tcPr>
            <w:tcW w:w="875" w:type="dxa"/>
            <w:tcBorders>
              <w:top w:val="nil"/>
              <w:left w:val="nil"/>
              <w:bottom w:val="single" w:sz="4" w:space="0" w:color="auto"/>
              <w:right w:val="nil"/>
            </w:tcBorders>
            <w:shd w:val="clear" w:color="auto" w:fill="auto"/>
            <w:noWrap/>
            <w:vAlign w:val="bottom"/>
          </w:tcPr>
          <w:p w:rsidR="00573D82" w:rsidRDefault="00573D82" w:rsidP="000805DC">
            <w:pPr>
              <w:rPr>
                <w:rFonts w:ascii="Arial" w:hAnsi="Arial" w:cs="Arial"/>
                <w:sz w:val="20"/>
                <w:szCs w:val="20"/>
              </w:rPr>
            </w:pPr>
            <w:r>
              <w:rPr>
                <w:rFonts w:ascii="Arial" w:hAnsi="Arial" w:cs="Arial"/>
                <w:sz w:val="20"/>
                <w:szCs w:val="20"/>
              </w:rPr>
              <w:t>Sources</w:t>
            </w:r>
          </w:p>
        </w:tc>
      </w:tr>
      <w:tr w:rsidR="00573D82" w:rsidTr="000805DC">
        <w:trPr>
          <w:trHeight w:val="255"/>
        </w:trPr>
        <w:tc>
          <w:tcPr>
            <w:tcW w:w="1145" w:type="dxa"/>
            <w:tcBorders>
              <w:top w:val="nil"/>
              <w:left w:val="nil"/>
              <w:bottom w:val="nil"/>
              <w:right w:val="nil"/>
            </w:tcBorders>
            <w:shd w:val="clear" w:color="auto" w:fill="auto"/>
            <w:noWrap/>
            <w:vAlign w:val="bottom"/>
          </w:tcPr>
          <w:p w:rsidR="00573D82" w:rsidRDefault="00573D82" w:rsidP="000805DC">
            <w:pPr>
              <w:rPr>
                <w:rFonts w:ascii="Arial" w:hAnsi="Arial" w:cs="Arial"/>
                <w:sz w:val="20"/>
                <w:szCs w:val="20"/>
              </w:rPr>
            </w:pPr>
            <w:r>
              <w:rPr>
                <w:rFonts w:ascii="Arial" w:hAnsi="Arial" w:cs="Arial"/>
                <w:sz w:val="20"/>
                <w:szCs w:val="20"/>
              </w:rPr>
              <w:t xml:space="preserve">    dR</w:t>
            </w:r>
          </w:p>
        </w:tc>
        <w:tc>
          <w:tcPr>
            <w:tcW w:w="61" w:type="dxa"/>
            <w:tcBorders>
              <w:top w:val="nil"/>
              <w:left w:val="nil"/>
              <w:bottom w:val="nil"/>
              <w:right w:val="nil"/>
            </w:tcBorders>
            <w:shd w:val="clear" w:color="auto" w:fill="auto"/>
            <w:noWrap/>
            <w:vAlign w:val="bottom"/>
          </w:tcPr>
          <w:p w:rsidR="00573D82" w:rsidRDefault="00573D82" w:rsidP="000805DC">
            <w:pPr>
              <w:rPr>
                <w:rFonts w:ascii="Arial" w:hAnsi="Arial" w:cs="Arial"/>
                <w:sz w:val="20"/>
                <w:szCs w:val="20"/>
              </w:rPr>
            </w:pPr>
          </w:p>
        </w:tc>
        <w:tc>
          <w:tcPr>
            <w:tcW w:w="875" w:type="dxa"/>
            <w:tcBorders>
              <w:top w:val="nil"/>
              <w:left w:val="nil"/>
              <w:bottom w:val="nil"/>
              <w:right w:val="nil"/>
            </w:tcBorders>
            <w:shd w:val="clear" w:color="auto" w:fill="auto"/>
            <w:noWrap/>
            <w:vAlign w:val="bottom"/>
          </w:tcPr>
          <w:p w:rsidR="00573D82" w:rsidRDefault="00573D82" w:rsidP="000805DC">
            <w:pPr>
              <w:rPr>
                <w:rFonts w:ascii="Arial" w:hAnsi="Arial" w:cs="Arial"/>
                <w:sz w:val="20"/>
                <w:szCs w:val="20"/>
              </w:rPr>
            </w:pPr>
            <w:r>
              <w:rPr>
                <w:rFonts w:ascii="Arial" w:hAnsi="Arial" w:cs="Arial"/>
                <w:sz w:val="20"/>
                <w:szCs w:val="20"/>
              </w:rPr>
              <w:t xml:space="preserve">    dM</w:t>
            </w:r>
          </w:p>
        </w:tc>
      </w:tr>
      <w:tr w:rsidR="00573D82" w:rsidTr="000805DC">
        <w:trPr>
          <w:trHeight w:val="255"/>
        </w:trPr>
        <w:tc>
          <w:tcPr>
            <w:tcW w:w="1145" w:type="dxa"/>
            <w:tcBorders>
              <w:top w:val="nil"/>
              <w:left w:val="nil"/>
              <w:bottom w:val="nil"/>
              <w:right w:val="nil"/>
            </w:tcBorders>
            <w:shd w:val="clear" w:color="auto" w:fill="auto"/>
            <w:noWrap/>
            <w:vAlign w:val="bottom"/>
          </w:tcPr>
          <w:p w:rsidR="00573D82" w:rsidRDefault="00573D82" w:rsidP="000805DC">
            <w:pPr>
              <w:rPr>
                <w:rFonts w:ascii="Arial" w:hAnsi="Arial" w:cs="Arial"/>
                <w:sz w:val="20"/>
                <w:szCs w:val="20"/>
              </w:rPr>
            </w:pPr>
            <w:r>
              <w:rPr>
                <w:rFonts w:ascii="Arial" w:hAnsi="Arial" w:cs="Arial"/>
                <w:sz w:val="20"/>
                <w:szCs w:val="20"/>
              </w:rPr>
              <w:t xml:space="preserve"> + dD</w:t>
            </w:r>
          </w:p>
        </w:tc>
        <w:tc>
          <w:tcPr>
            <w:tcW w:w="61" w:type="dxa"/>
            <w:tcBorders>
              <w:top w:val="nil"/>
              <w:left w:val="nil"/>
              <w:bottom w:val="nil"/>
              <w:right w:val="nil"/>
            </w:tcBorders>
            <w:shd w:val="clear" w:color="auto" w:fill="auto"/>
            <w:noWrap/>
            <w:vAlign w:val="bottom"/>
          </w:tcPr>
          <w:p w:rsidR="00573D82" w:rsidRDefault="00573D82" w:rsidP="000805DC">
            <w:pPr>
              <w:rPr>
                <w:rFonts w:ascii="Arial" w:hAnsi="Arial" w:cs="Arial"/>
                <w:sz w:val="20"/>
                <w:szCs w:val="20"/>
              </w:rPr>
            </w:pPr>
          </w:p>
        </w:tc>
        <w:tc>
          <w:tcPr>
            <w:tcW w:w="875" w:type="dxa"/>
            <w:tcBorders>
              <w:top w:val="nil"/>
              <w:left w:val="nil"/>
              <w:bottom w:val="nil"/>
              <w:right w:val="nil"/>
            </w:tcBorders>
            <w:shd w:val="clear" w:color="auto" w:fill="auto"/>
            <w:noWrap/>
            <w:vAlign w:val="bottom"/>
          </w:tcPr>
          <w:p w:rsidR="00573D82" w:rsidRDefault="00573D82" w:rsidP="000805DC">
            <w:pPr>
              <w:rPr>
                <w:rFonts w:ascii="Arial" w:hAnsi="Arial" w:cs="Arial"/>
                <w:sz w:val="20"/>
                <w:szCs w:val="20"/>
              </w:rPr>
            </w:pPr>
            <w:r>
              <w:rPr>
                <w:rFonts w:ascii="Arial" w:hAnsi="Arial" w:cs="Arial"/>
                <w:sz w:val="20"/>
                <w:szCs w:val="20"/>
              </w:rPr>
              <w:t xml:space="preserve"> + dFb</w:t>
            </w:r>
          </w:p>
        </w:tc>
      </w:tr>
    </w:tbl>
    <w:p w:rsidR="00573D82" w:rsidRDefault="00573D82" w:rsidP="00573D82">
      <w:pPr>
        <w:jc w:val="both"/>
        <w:rPr>
          <w:b/>
        </w:rPr>
      </w:pPr>
    </w:p>
    <w:p w:rsidR="00573D82" w:rsidRDefault="00573D82" w:rsidP="00573D82">
      <w:pPr>
        <w:jc w:val="both"/>
        <w:rPr>
          <w:b/>
        </w:rPr>
      </w:pPr>
    </w:p>
    <w:p w:rsidR="00573D82" w:rsidRDefault="00573D82" w:rsidP="00573D82">
      <w:pPr>
        <w:jc w:val="both"/>
      </w:pPr>
      <w:r w:rsidRPr="00CE6E83">
        <w:rPr>
          <w:b/>
        </w:rPr>
        <w:t>Sources:</w:t>
      </w:r>
      <w:r>
        <w:t xml:space="preserve"> dM - dFb: Change in the supply of money + Change in the financial sector’s foreign borrowing.</w:t>
      </w:r>
    </w:p>
    <w:p w:rsidR="00573D82" w:rsidRDefault="00573D82" w:rsidP="00573D82">
      <w:pPr>
        <w:jc w:val="both"/>
      </w:pPr>
      <w:r w:rsidRPr="00CE6E83">
        <w:rPr>
          <w:b/>
        </w:rPr>
        <w:t>Uses:</w:t>
      </w:r>
      <w:r>
        <w:t xml:space="preserve"> dR  + dD: Change in net international Reserves + Change in total domestic credit (=dDp + dDg).</w:t>
      </w:r>
    </w:p>
    <w:p w:rsidR="00A4009A" w:rsidRDefault="00A4009A" w:rsidP="00573D82">
      <w:pPr>
        <w:jc w:val="both"/>
        <w:rPr>
          <w:b/>
        </w:rPr>
      </w:pPr>
    </w:p>
    <w:p w:rsidR="00573D82" w:rsidRPr="00CE6E83" w:rsidRDefault="00573D82" w:rsidP="00573D82">
      <w:pPr>
        <w:jc w:val="both"/>
        <w:rPr>
          <w:b/>
        </w:rPr>
      </w:pPr>
      <w:r w:rsidRPr="00CE6E83">
        <w:rPr>
          <w:b/>
        </w:rPr>
        <w:lastRenderedPageBreak/>
        <w:t>4. External Sector:</w:t>
      </w:r>
    </w:p>
    <w:p w:rsidR="00573D82" w:rsidRDefault="00573D82" w:rsidP="00573D82">
      <w:pPr>
        <w:jc w:val="both"/>
        <w:rPr>
          <w:b/>
        </w:rPr>
      </w:pPr>
    </w:p>
    <w:tbl>
      <w:tblPr>
        <w:tblW w:w="2081" w:type="dxa"/>
        <w:tblInd w:w="98" w:type="dxa"/>
        <w:tblLook w:val="0000"/>
      </w:tblPr>
      <w:tblGrid>
        <w:gridCol w:w="1145"/>
        <w:gridCol w:w="222"/>
        <w:gridCol w:w="950"/>
      </w:tblGrid>
      <w:tr w:rsidR="00573D82" w:rsidTr="000805DC">
        <w:trPr>
          <w:trHeight w:val="255"/>
        </w:trPr>
        <w:tc>
          <w:tcPr>
            <w:tcW w:w="2081" w:type="dxa"/>
            <w:gridSpan w:val="3"/>
            <w:tcBorders>
              <w:top w:val="nil"/>
              <w:left w:val="nil"/>
              <w:bottom w:val="single" w:sz="4" w:space="0" w:color="auto"/>
              <w:right w:val="nil"/>
            </w:tcBorders>
            <w:shd w:val="clear" w:color="auto" w:fill="auto"/>
            <w:noWrap/>
            <w:vAlign w:val="bottom"/>
          </w:tcPr>
          <w:p w:rsidR="00573D82" w:rsidRDefault="00573D82" w:rsidP="000805DC">
            <w:pPr>
              <w:rPr>
                <w:rFonts w:ascii="Arial" w:hAnsi="Arial" w:cs="Arial"/>
                <w:sz w:val="20"/>
                <w:szCs w:val="20"/>
              </w:rPr>
            </w:pPr>
            <w:r>
              <w:rPr>
                <w:rFonts w:ascii="Arial" w:hAnsi="Arial" w:cs="Arial"/>
                <w:sz w:val="20"/>
                <w:szCs w:val="20"/>
              </w:rPr>
              <w:t xml:space="preserve">   External Sector</w:t>
            </w:r>
          </w:p>
        </w:tc>
      </w:tr>
      <w:tr w:rsidR="00573D82" w:rsidTr="000805DC">
        <w:trPr>
          <w:trHeight w:val="255"/>
        </w:trPr>
        <w:tc>
          <w:tcPr>
            <w:tcW w:w="1145" w:type="dxa"/>
            <w:tcBorders>
              <w:top w:val="nil"/>
              <w:left w:val="nil"/>
              <w:bottom w:val="single" w:sz="4" w:space="0" w:color="auto"/>
              <w:right w:val="nil"/>
            </w:tcBorders>
            <w:shd w:val="clear" w:color="auto" w:fill="auto"/>
            <w:noWrap/>
            <w:vAlign w:val="bottom"/>
          </w:tcPr>
          <w:p w:rsidR="00573D82" w:rsidRDefault="00573D82" w:rsidP="000805DC">
            <w:pPr>
              <w:rPr>
                <w:rFonts w:ascii="Arial" w:hAnsi="Arial" w:cs="Arial"/>
                <w:sz w:val="20"/>
                <w:szCs w:val="20"/>
              </w:rPr>
            </w:pPr>
            <w:r>
              <w:rPr>
                <w:rFonts w:ascii="Arial" w:hAnsi="Arial" w:cs="Arial"/>
                <w:sz w:val="20"/>
                <w:szCs w:val="20"/>
              </w:rPr>
              <w:t xml:space="preserve">  Uses</w:t>
            </w:r>
          </w:p>
        </w:tc>
        <w:tc>
          <w:tcPr>
            <w:tcW w:w="61" w:type="dxa"/>
            <w:tcBorders>
              <w:top w:val="nil"/>
              <w:left w:val="nil"/>
              <w:bottom w:val="nil"/>
              <w:right w:val="nil"/>
            </w:tcBorders>
            <w:shd w:val="clear" w:color="auto" w:fill="auto"/>
            <w:noWrap/>
            <w:vAlign w:val="bottom"/>
          </w:tcPr>
          <w:p w:rsidR="00573D82" w:rsidRDefault="00573D82" w:rsidP="000805DC">
            <w:pPr>
              <w:rPr>
                <w:rFonts w:ascii="Arial" w:hAnsi="Arial" w:cs="Arial"/>
                <w:sz w:val="20"/>
                <w:szCs w:val="20"/>
              </w:rPr>
            </w:pPr>
          </w:p>
        </w:tc>
        <w:tc>
          <w:tcPr>
            <w:tcW w:w="875" w:type="dxa"/>
            <w:tcBorders>
              <w:top w:val="nil"/>
              <w:left w:val="nil"/>
              <w:bottom w:val="single" w:sz="4" w:space="0" w:color="auto"/>
              <w:right w:val="nil"/>
            </w:tcBorders>
            <w:shd w:val="clear" w:color="auto" w:fill="auto"/>
            <w:noWrap/>
            <w:vAlign w:val="bottom"/>
          </w:tcPr>
          <w:p w:rsidR="00573D82" w:rsidRDefault="00573D82" w:rsidP="000805DC">
            <w:pPr>
              <w:rPr>
                <w:rFonts w:ascii="Arial" w:hAnsi="Arial" w:cs="Arial"/>
                <w:sz w:val="20"/>
                <w:szCs w:val="20"/>
              </w:rPr>
            </w:pPr>
            <w:r>
              <w:rPr>
                <w:rFonts w:ascii="Arial" w:hAnsi="Arial" w:cs="Arial"/>
                <w:sz w:val="20"/>
                <w:szCs w:val="20"/>
              </w:rPr>
              <w:t>Sources</w:t>
            </w:r>
          </w:p>
        </w:tc>
      </w:tr>
      <w:tr w:rsidR="00573D82" w:rsidTr="000805DC">
        <w:trPr>
          <w:trHeight w:val="255"/>
        </w:trPr>
        <w:tc>
          <w:tcPr>
            <w:tcW w:w="1145" w:type="dxa"/>
            <w:tcBorders>
              <w:top w:val="nil"/>
              <w:left w:val="nil"/>
              <w:bottom w:val="nil"/>
              <w:right w:val="nil"/>
            </w:tcBorders>
            <w:shd w:val="clear" w:color="auto" w:fill="auto"/>
            <w:noWrap/>
            <w:vAlign w:val="bottom"/>
          </w:tcPr>
          <w:p w:rsidR="00573D82" w:rsidRDefault="00573D82" w:rsidP="000805DC">
            <w:pPr>
              <w:rPr>
                <w:rFonts w:ascii="Arial" w:hAnsi="Arial" w:cs="Arial"/>
                <w:sz w:val="20"/>
                <w:szCs w:val="20"/>
              </w:rPr>
            </w:pPr>
            <w:r>
              <w:rPr>
                <w:rFonts w:ascii="Arial" w:hAnsi="Arial" w:cs="Arial"/>
                <w:sz w:val="20"/>
                <w:szCs w:val="20"/>
              </w:rPr>
              <w:t xml:space="preserve">   dF</w:t>
            </w:r>
          </w:p>
        </w:tc>
        <w:tc>
          <w:tcPr>
            <w:tcW w:w="61" w:type="dxa"/>
            <w:tcBorders>
              <w:top w:val="nil"/>
              <w:left w:val="nil"/>
              <w:bottom w:val="nil"/>
              <w:right w:val="nil"/>
            </w:tcBorders>
            <w:shd w:val="clear" w:color="auto" w:fill="auto"/>
            <w:noWrap/>
            <w:vAlign w:val="bottom"/>
          </w:tcPr>
          <w:p w:rsidR="00573D82" w:rsidRDefault="00573D82" w:rsidP="000805DC">
            <w:pPr>
              <w:rPr>
                <w:rFonts w:ascii="Arial" w:hAnsi="Arial" w:cs="Arial"/>
                <w:sz w:val="20"/>
                <w:szCs w:val="20"/>
              </w:rPr>
            </w:pPr>
          </w:p>
        </w:tc>
        <w:tc>
          <w:tcPr>
            <w:tcW w:w="875" w:type="dxa"/>
            <w:tcBorders>
              <w:top w:val="nil"/>
              <w:left w:val="nil"/>
              <w:bottom w:val="nil"/>
              <w:right w:val="nil"/>
            </w:tcBorders>
            <w:shd w:val="clear" w:color="auto" w:fill="auto"/>
            <w:noWrap/>
            <w:vAlign w:val="bottom"/>
          </w:tcPr>
          <w:p w:rsidR="00573D82" w:rsidRDefault="00573D82" w:rsidP="000805DC">
            <w:pPr>
              <w:rPr>
                <w:rFonts w:ascii="Arial" w:hAnsi="Arial" w:cs="Arial"/>
                <w:sz w:val="20"/>
                <w:szCs w:val="20"/>
              </w:rPr>
            </w:pPr>
            <w:r>
              <w:rPr>
                <w:rFonts w:ascii="Arial" w:hAnsi="Arial" w:cs="Arial"/>
                <w:sz w:val="20"/>
                <w:szCs w:val="20"/>
              </w:rPr>
              <w:t xml:space="preserve">  Sx</w:t>
            </w:r>
          </w:p>
        </w:tc>
      </w:tr>
      <w:tr w:rsidR="00573D82" w:rsidTr="000805DC">
        <w:trPr>
          <w:trHeight w:val="255"/>
        </w:trPr>
        <w:tc>
          <w:tcPr>
            <w:tcW w:w="1145" w:type="dxa"/>
            <w:tcBorders>
              <w:top w:val="nil"/>
              <w:left w:val="nil"/>
              <w:bottom w:val="nil"/>
              <w:right w:val="nil"/>
            </w:tcBorders>
            <w:shd w:val="clear" w:color="auto" w:fill="auto"/>
            <w:noWrap/>
            <w:vAlign w:val="bottom"/>
          </w:tcPr>
          <w:p w:rsidR="00573D82" w:rsidRDefault="00573D82" w:rsidP="000805DC">
            <w:pPr>
              <w:rPr>
                <w:rFonts w:ascii="Arial" w:hAnsi="Arial" w:cs="Arial"/>
                <w:sz w:val="20"/>
                <w:szCs w:val="20"/>
              </w:rPr>
            </w:pPr>
            <w:r>
              <w:rPr>
                <w:rFonts w:ascii="Arial" w:hAnsi="Arial" w:cs="Arial"/>
                <w:sz w:val="20"/>
                <w:szCs w:val="20"/>
              </w:rPr>
              <w:t>- dR</w:t>
            </w:r>
          </w:p>
        </w:tc>
        <w:tc>
          <w:tcPr>
            <w:tcW w:w="61" w:type="dxa"/>
            <w:tcBorders>
              <w:top w:val="nil"/>
              <w:left w:val="nil"/>
              <w:bottom w:val="nil"/>
              <w:right w:val="nil"/>
            </w:tcBorders>
            <w:shd w:val="clear" w:color="auto" w:fill="auto"/>
            <w:noWrap/>
            <w:vAlign w:val="bottom"/>
          </w:tcPr>
          <w:p w:rsidR="00573D82" w:rsidRDefault="00573D82" w:rsidP="000805DC">
            <w:pPr>
              <w:rPr>
                <w:rFonts w:ascii="Arial" w:hAnsi="Arial" w:cs="Arial"/>
                <w:sz w:val="20"/>
                <w:szCs w:val="20"/>
              </w:rPr>
            </w:pPr>
          </w:p>
        </w:tc>
        <w:tc>
          <w:tcPr>
            <w:tcW w:w="875" w:type="dxa"/>
            <w:tcBorders>
              <w:top w:val="nil"/>
              <w:left w:val="nil"/>
              <w:bottom w:val="nil"/>
              <w:right w:val="nil"/>
            </w:tcBorders>
            <w:shd w:val="clear" w:color="auto" w:fill="auto"/>
            <w:noWrap/>
            <w:vAlign w:val="bottom"/>
          </w:tcPr>
          <w:p w:rsidR="00573D82" w:rsidRDefault="00573D82" w:rsidP="000805DC">
            <w:pPr>
              <w:rPr>
                <w:rFonts w:ascii="Arial" w:hAnsi="Arial" w:cs="Arial"/>
                <w:sz w:val="20"/>
                <w:szCs w:val="20"/>
              </w:rPr>
            </w:pPr>
          </w:p>
        </w:tc>
      </w:tr>
    </w:tbl>
    <w:p w:rsidR="00573D82" w:rsidRDefault="00573D82" w:rsidP="00573D82">
      <w:pPr>
        <w:jc w:val="both"/>
        <w:rPr>
          <w:b/>
        </w:rPr>
      </w:pPr>
    </w:p>
    <w:p w:rsidR="00573D82" w:rsidRDefault="00573D82" w:rsidP="00573D82">
      <w:pPr>
        <w:jc w:val="both"/>
        <w:rPr>
          <w:b/>
        </w:rPr>
      </w:pPr>
    </w:p>
    <w:p w:rsidR="00573D82" w:rsidRDefault="00573D82" w:rsidP="00573D82">
      <w:pPr>
        <w:jc w:val="both"/>
      </w:pPr>
      <w:r w:rsidRPr="00CE6E83">
        <w:rPr>
          <w:b/>
        </w:rPr>
        <w:t>Sources:</w:t>
      </w:r>
      <w:r>
        <w:t xml:space="preserve"> Sx: External saving = - balance in the current account of the balance of payments.</w:t>
      </w:r>
    </w:p>
    <w:p w:rsidR="00573D82" w:rsidRDefault="00573D82" w:rsidP="00573D82">
      <w:pPr>
        <w:jc w:val="both"/>
      </w:pPr>
      <w:r w:rsidRPr="00CE6E83">
        <w:rPr>
          <w:b/>
        </w:rPr>
        <w:t>Uses:</w:t>
      </w:r>
      <w:r>
        <w:t xml:space="preserve"> dF – dR: Change in the aggregate foreign borrowing of the country – change in net international reserves.</w:t>
      </w:r>
    </w:p>
    <w:p w:rsidR="00573D82" w:rsidRDefault="00573D82" w:rsidP="00573D82">
      <w:pPr>
        <w:jc w:val="both"/>
      </w:pPr>
    </w:p>
    <w:p w:rsidR="00573D82" w:rsidRDefault="00573D82" w:rsidP="00573D82">
      <w:pPr>
        <w:ind w:firstLine="720"/>
        <w:jc w:val="both"/>
      </w:pPr>
      <w:r>
        <w:t>Adding the sources and uses of funds for the four sectors and considering an ex-post identity between the changes in the demand and supply for money we get:</w:t>
      </w:r>
    </w:p>
    <w:p w:rsidR="00573D82" w:rsidRDefault="00573D82" w:rsidP="00573D82">
      <w:pPr>
        <w:jc w:val="both"/>
      </w:pPr>
    </w:p>
    <w:p w:rsidR="00573D82" w:rsidRDefault="00C25D7C" w:rsidP="00573D82">
      <w:pPr>
        <w:jc w:val="both"/>
      </w:pPr>
      <w:r>
        <w:t>(1)</w:t>
      </w:r>
      <w:r>
        <w:tab/>
      </w:r>
      <w:r w:rsidR="00573D82">
        <w:t>(Sp + Sg + Sx) = (Ip + Ig) (total saving = total investment)</w:t>
      </w:r>
    </w:p>
    <w:p w:rsidR="00573D82" w:rsidRDefault="00573D82" w:rsidP="00573D82">
      <w:pPr>
        <w:jc w:val="both"/>
      </w:pPr>
    </w:p>
    <w:p w:rsidR="00573D82" w:rsidRDefault="00573D82" w:rsidP="00573D82">
      <w:pPr>
        <w:jc w:val="both"/>
      </w:pPr>
      <w:r>
        <w:tab/>
        <w:t>Consolidating only the three domestic sectors gives us the balance of payments:</w:t>
      </w:r>
    </w:p>
    <w:p w:rsidR="00573D82" w:rsidRDefault="00573D82" w:rsidP="00573D82">
      <w:pPr>
        <w:jc w:val="both"/>
      </w:pPr>
    </w:p>
    <w:p w:rsidR="00573D82" w:rsidRDefault="00573D82" w:rsidP="00573D82">
      <w:pPr>
        <w:jc w:val="both"/>
      </w:pPr>
      <w:r>
        <w:t xml:space="preserve">            (Sg + Sp) – (Ip + Ig) = - Sx = dR – dFp – dFg - dFb</w:t>
      </w:r>
    </w:p>
    <w:p w:rsidR="00573D82" w:rsidRDefault="00573D82" w:rsidP="00573D82">
      <w:pPr>
        <w:jc w:val="both"/>
      </w:pPr>
    </w:p>
    <w:p w:rsidR="00573D82" w:rsidRDefault="00573D82" w:rsidP="00573D82">
      <w:pPr>
        <w:jc w:val="both"/>
      </w:pPr>
      <w:r>
        <w:t xml:space="preserve">(2)         Sn (national saving) – I (domestic investment) = - Sx = dR – dF </w:t>
      </w:r>
    </w:p>
    <w:p w:rsidR="00573D82" w:rsidRDefault="00573D82" w:rsidP="00573D82">
      <w:pPr>
        <w:jc w:val="both"/>
      </w:pPr>
    </w:p>
    <w:p w:rsidR="00573D82" w:rsidRDefault="00573D82" w:rsidP="00573D82">
      <w:pPr>
        <w:jc w:val="both"/>
      </w:pPr>
      <w:r>
        <w:tab/>
        <w:t>An excess of national saving over domestic investment is reflected in a surplus in the current account of the balance of payments (negative foreign saving), which is also reflected in an accumulation of international reserves and decline of foreign borrowing (capital account of the balance of payments).</w:t>
      </w:r>
    </w:p>
    <w:p w:rsidR="00573D82" w:rsidRDefault="00573D82" w:rsidP="00573D82">
      <w:pPr>
        <w:jc w:val="both"/>
      </w:pPr>
    </w:p>
    <w:p w:rsidR="00573D82" w:rsidRDefault="00573D82" w:rsidP="00573D82">
      <w:pPr>
        <w:jc w:val="both"/>
      </w:pPr>
      <w:r>
        <w:tab/>
        <w:t xml:space="preserve">Remark: Sx is called foreign savings because it is the excess of saving over investment that rest of the world is transferring to finance the deficit of the current account (via a surplus in the capital account). If the level of foreign savings is negative (current account surplus) it is our economy that is transferring the excess of savings over investment to the rest of the world (via a deficit in the capital account.  </w:t>
      </w:r>
    </w:p>
    <w:p w:rsidR="00573D82" w:rsidRDefault="00573D82" w:rsidP="00573D82">
      <w:pPr>
        <w:jc w:val="both"/>
      </w:pPr>
    </w:p>
    <w:p w:rsidR="00573D82" w:rsidRDefault="00573D82" w:rsidP="00573D82">
      <w:pPr>
        <w:ind w:firstLine="360"/>
        <w:jc w:val="both"/>
      </w:pPr>
      <w:r>
        <w:tab/>
        <w:t xml:space="preserve">The flow of funds scheme helps to visualize the links that exist between the changes in savings and investment and changes in the financial variables (M, D, and F) and changes in the capital account of the balance of payments (including changes in foreign reserves). </w:t>
      </w:r>
    </w:p>
    <w:p w:rsidR="00573D82" w:rsidRDefault="00573D82" w:rsidP="00573D82">
      <w:pPr>
        <w:jc w:val="both"/>
      </w:pPr>
    </w:p>
    <w:p w:rsidR="00573D82" w:rsidRDefault="00573D82" w:rsidP="00573D82">
      <w:pPr>
        <w:jc w:val="both"/>
      </w:pPr>
      <w:r>
        <w:tab/>
        <w:t>Savings and investment variables derived through the National Accounts System:</w:t>
      </w:r>
    </w:p>
    <w:p w:rsidR="00573D82" w:rsidRDefault="00573D82" w:rsidP="00573D82">
      <w:pPr>
        <w:jc w:val="both"/>
      </w:pPr>
    </w:p>
    <w:p w:rsidR="00573D82" w:rsidRDefault="00573D82" w:rsidP="00573D82">
      <w:pPr>
        <w:jc w:val="both"/>
      </w:pPr>
      <w:r>
        <w:t>Y = Cp</w:t>
      </w:r>
      <w:r>
        <w:tab/>
        <w:t>+ Ip + G + X – Z</w:t>
      </w:r>
    </w:p>
    <w:p w:rsidR="00573D82" w:rsidRDefault="00573D82" w:rsidP="00573D82">
      <w:pPr>
        <w:jc w:val="both"/>
      </w:pPr>
    </w:p>
    <w:p w:rsidR="00573D82" w:rsidRDefault="00573D82" w:rsidP="00573D82">
      <w:pPr>
        <w:jc w:val="both"/>
      </w:pPr>
      <w:r>
        <w:t>The current account balance is the difference between national income and domestic spending:</w:t>
      </w:r>
    </w:p>
    <w:p w:rsidR="00573D82" w:rsidRDefault="00573D82" w:rsidP="00573D82">
      <w:pPr>
        <w:jc w:val="both"/>
      </w:pPr>
    </w:p>
    <w:p w:rsidR="00573D82" w:rsidRDefault="00573D82" w:rsidP="00573D82">
      <w:pPr>
        <w:jc w:val="both"/>
      </w:pPr>
      <w:r>
        <w:lastRenderedPageBreak/>
        <w:t>Yn –(Cp + Ip + G) = X – Z + NIx + NTRx</w:t>
      </w:r>
    </w:p>
    <w:p w:rsidR="00573D82" w:rsidRDefault="00573D82" w:rsidP="00573D82">
      <w:pPr>
        <w:jc w:val="both"/>
      </w:pPr>
    </w:p>
    <w:p w:rsidR="00573D82" w:rsidRDefault="00573D82" w:rsidP="00573D82">
      <w:pPr>
        <w:jc w:val="both"/>
      </w:pPr>
    </w:p>
    <w:p w:rsidR="00573D82" w:rsidRDefault="00573D82" w:rsidP="00573D82">
      <w:pPr>
        <w:jc w:val="both"/>
      </w:pPr>
      <w:r>
        <w:t>Yn = Cp +Ip +(Cg + Ig) + X – Z + NIx + NTRx</w:t>
      </w:r>
    </w:p>
    <w:p w:rsidR="00573D82" w:rsidRDefault="00573D82" w:rsidP="00573D82">
      <w:pPr>
        <w:jc w:val="both"/>
      </w:pPr>
    </w:p>
    <w:p w:rsidR="00573D82" w:rsidRDefault="00573D82" w:rsidP="00573D82">
      <w:pPr>
        <w:jc w:val="both"/>
      </w:pPr>
    </w:p>
    <w:p w:rsidR="00573D82" w:rsidRPr="00FF2B08" w:rsidRDefault="00573D82" w:rsidP="00573D82">
      <w:pPr>
        <w:jc w:val="both"/>
      </w:pPr>
      <w:r w:rsidRPr="00FF2B08">
        <w:t>Ynd + T = Cp + Ip + (Cg + Ig) + X – Z + NIx + NTRx</w:t>
      </w:r>
    </w:p>
    <w:p w:rsidR="00573D82" w:rsidRPr="00FF2B08" w:rsidRDefault="00573D82" w:rsidP="00573D82">
      <w:pPr>
        <w:jc w:val="both"/>
      </w:pPr>
    </w:p>
    <w:p w:rsidR="00573D82" w:rsidRDefault="00573D82" w:rsidP="00573D82">
      <w:pPr>
        <w:jc w:val="both"/>
      </w:pPr>
      <w:r>
        <w:t>Total Saving = Total Investment</w:t>
      </w:r>
    </w:p>
    <w:p w:rsidR="00573D82" w:rsidRDefault="00573D82" w:rsidP="00573D82">
      <w:pPr>
        <w:jc w:val="both"/>
      </w:pPr>
    </w:p>
    <w:p w:rsidR="00573D82" w:rsidRDefault="00573D82" w:rsidP="00573D82">
      <w:pPr>
        <w:jc w:val="both"/>
      </w:pPr>
      <w:r>
        <w:t>(Yd – Cp) + (T – Cg) + (Z – X –NIx – NTRx) = Ip + Ig</w:t>
      </w:r>
    </w:p>
    <w:p w:rsidR="00573D82" w:rsidRDefault="00573D82" w:rsidP="00573D82">
      <w:pPr>
        <w:jc w:val="both"/>
      </w:pPr>
    </w:p>
    <w:p w:rsidR="00573D82" w:rsidRDefault="00573D82" w:rsidP="00573D82">
      <w:pPr>
        <w:jc w:val="both"/>
      </w:pPr>
    </w:p>
    <w:p w:rsidR="00573D82" w:rsidRDefault="00573D82" w:rsidP="00573D82">
      <w:pPr>
        <w:jc w:val="both"/>
      </w:pPr>
      <w:r>
        <w:t>Sp + Sg + Sx = I</w:t>
      </w:r>
    </w:p>
    <w:p w:rsidR="00573D82" w:rsidRDefault="00573D82" w:rsidP="00573D82">
      <w:pPr>
        <w:jc w:val="both"/>
      </w:pPr>
    </w:p>
    <w:p w:rsidR="00573D82" w:rsidRDefault="00573D82" w:rsidP="00573D82">
      <w:pPr>
        <w:jc w:val="both"/>
      </w:pPr>
      <w:r>
        <w:t xml:space="preserve">Where, </w:t>
      </w:r>
    </w:p>
    <w:p w:rsidR="00573D82" w:rsidRDefault="00573D82" w:rsidP="00573D82">
      <w:pPr>
        <w:jc w:val="both"/>
      </w:pPr>
    </w:p>
    <w:p w:rsidR="00573D82" w:rsidRDefault="00573D82" w:rsidP="00573D82">
      <w:pPr>
        <w:jc w:val="both"/>
      </w:pPr>
      <w:r>
        <w:t>Y = GDP</w:t>
      </w:r>
    </w:p>
    <w:p w:rsidR="00573D82" w:rsidRDefault="00573D82" w:rsidP="00573D82">
      <w:pPr>
        <w:jc w:val="both"/>
      </w:pPr>
      <w:r>
        <w:t>C, Cp, Cg = total consumption, private consumption, government consumption</w:t>
      </w:r>
    </w:p>
    <w:p w:rsidR="00573D82" w:rsidRDefault="00573D82" w:rsidP="00573D82">
      <w:pPr>
        <w:jc w:val="both"/>
      </w:pPr>
      <w:r>
        <w:t>I, Ip, Ig = total investment, private investment, government investment</w:t>
      </w:r>
    </w:p>
    <w:p w:rsidR="00573D82" w:rsidRDefault="00573D82" w:rsidP="00573D82">
      <w:pPr>
        <w:jc w:val="both"/>
      </w:pPr>
      <w:r>
        <w:t>G = total government spending</w:t>
      </w:r>
    </w:p>
    <w:p w:rsidR="00573D82" w:rsidRDefault="00573D82" w:rsidP="00573D82">
      <w:pPr>
        <w:jc w:val="both"/>
      </w:pPr>
      <w:r>
        <w:t>X = exports of goods and services</w:t>
      </w:r>
    </w:p>
    <w:p w:rsidR="00573D82" w:rsidRDefault="00573D82" w:rsidP="00573D82">
      <w:pPr>
        <w:jc w:val="both"/>
      </w:pPr>
      <w:r>
        <w:t>Z = imports of goods and services</w:t>
      </w:r>
    </w:p>
    <w:p w:rsidR="00573D82" w:rsidRDefault="00573D82" w:rsidP="00573D82">
      <w:pPr>
        <w:jc w:val="both"/>
      </w:pPr>
      <w:r>
        <w:t>T = taxes</w:t>
      </w:r>
    </w:p>
    <w:p w:rsidR="00573D82" w:rsidRDefault="00573D82" w:rsidP="00573D82">
      <w:pPr>
        <w:jc w:val="both"/>
      </w:pPr>
      <w:r>
        <w:t>NIx = net income from abroad</w:t>
      </w:r>
    </w:p>
    <w:p w:rsidR="00573D82" w:rsidRDefault="00573D82" w:rsidP="00573D82">
      <w:pPr>
        <w:jc w:val="both"/>
      </w:pPr>
      <w:r>
        <w:t>NTRx = net transfers from abroad</w:t>
      </w:r>
    </w:p>
    <w:p w:rsidR="00573D82" w:rsidRDefault="00573D82" w:rsidP="00573D82">
      <w:pPr>
        <w:jc w:val="both"/>
      </w:pPr>
      <w:r>
        <w:t>S, Sp, Sg, Sx = total saving, private saving, government saving, external saving.</w:t>
      </w:r>
    </w:p>
    <w:p w:rsidR="00573D82" w:rsidRDefault="00573D82" w:rsidP="00573D82">
      <w:pPr>
        <w:jc w:val="both"/>
      </w:pPr>
    </w:p>
    <w:p w:rsidR="00573D82" w:rsidRPr="003D405E" w:rsidRDefault="00573D82" w:rsidP="00573D82">
      <w:pPr>
        <w:pStyle w:val="Bullet"/>
        <w:numPr>
          <w:ilvl w:val="0"/>
          <w:numId w:val="11"/>
        </w:numPr>
        <w:jc w:val="both"/>
        <w:rPr>
          <w:b/>
        </w:rPr>
      </w:pPr>
      <w:r w:rsidRPr="003D405E">
        <w:rPr>
          <w:b/>
        </w:rPr>
        <w:t>Financial Programming Basic Relationships</w:t>
      </w:r>
    </w:p>
    <w:p w:rsidR="00573D82" w:rsidRDefault="00573D82" w:rsidP="00573D82">
      <w:pPr>
        <w:pStyle w:val="Bullet"/>
        <w:numPr>
          <w:ilvl w:val="0"/>
          <w:numId w:val="0"/>
        </w:numPr>
        <w:jc w:val="both"/>
      </w:pPr>
    </w:p>
    <w:p w:rsidR="00573D82" w:rsidRDefault="00573D82" w:rsidP="00573D82">
      <w:pPr>
        <w:pStyle w:val="Bullet"/>
        <w:numPr>
          <w:ilvl w:val="0"/>
          <w:numId w:val="0"/>
        </w:numPr>
        <w:ind w:firstLine="360"/>
        <w:jc w:val="both"/>
      </w:pPr>
      <w:r>
        <w:t xml:space="preserve">From the Banking Sector sources and uses of funds (also called Monetary Survey) </w:t>
      </w:r>
      <w:r w:rsidR="00A87A9E">
        <w:t xml:space="preserve">and introducing the </w:t>
      </w:r>
      <w:r w:rsidR="00FC3723">
        <w:t>exchange rate</w:t>
      </w:r>
      <w:r w:rsidR="00A87A9E">
        <w:t xml:space="preserve"> (E) to translate foreign flows and stocks into local currency</w:t>
      </w:r>
      <w:r>
        <w:t>:</w:t>
      </w:r>
    </w:p>
    <w:p w:rsidR="00573D82" w:rsidRDefault="00573D82" w:rsidP="00573D82">
      <w:pPr>
        <w:pStyle w:val="Bullet"/>
        <w:numPr>
          <w:ilvl w:val="0"/>
          <w:numId w:val="0"/>
        </w:numPr>
        <w:ind w:firstLine="360"/>
        <w:jc w:val="both"/>
      </w:pPr>
    </w:p>
    <w:p w:rsidR="00573D82" w:rsidRDefault="00C25D7C" w:rsidP="00C25D7C">
      <w:pPr>
        <w:pStyle w:val="Bullet"/>
        <w:numPr>
          <w:ilvl w:val="0"/>
          <w:numId w:val="0"/>
        </w:numPr>
        <w:ind w:left="360" w:hanging="360"/>
        <w:jc w:val="both"/>
      </w:pPr>
      <w:r>
        <w:t>(3)</w:t>
      </w:r>
      <w:r>
        <w:tab/>
      </w:r>
      <w:r>
        <w:tab/>
        <w:t>dM</w:t>
      </w:r>
      <w:r w:rsidR="00573D82">
        <w:t xml:space="preserve"> = </w:t>
      </w:r>
      <w:r w:rsidR="00763C16">
        <w:t>E</w:t>
      </w:r>
      <w:r w:rsidR="00573D82">
        <w:t xml:space="preserve">dR – </w:t>
      </w:r>
      <w:r w:rsidR="00763C16">
        <w:t>E</w:t>
      </w:r>
      <w:r w:rsidR="00573D82">
        <w:t>dFb + dD</w:t>
      </w:r>
    </w:p>
    <w:p w:rsidR="00573D82" w:rsidRDefault="00573D82" w:rsidP="00573D82">
      <w:pPr>
        <w:pStyle w:val="Bullet"/>
        <w:numPr>
          <w:ilvl w:val="0"/>
          <w:numId w:val="0"/>
        </w:numPr>
        <w:ind w:firstLine="360"/>
        <w:jc w:val="both"/>
      </w:pPr>
    </w:p>
    <w:p w:rsidR="00573D82" w:rsidRDefault="00C25D7C" w:rsidP="00C25D7C">
      <w:pPr>
        <w:pStyle w:val="Bullet"/>
        <w:numPr>
          <w:ilvl w:val="0"/>
          <w:numId w:val="0"/>
        </w:numPr>
        <w:ind w:left="360" w:hanging="360"/>
        <w:jc w:val="both"/>
      </w:pPr>
      <w:r>
        <w:t>(4)</w:t>
      </w:r>
      <w:r>
        <w:tab/>
      </w:r>
      <w:r>
        <w:tab/>
      </w:r>
      <w:r w:rsidR="00763C16">
        <w:t>E</w:t>
      </w:r>
      <w:r w:rsidR="00573D82">
        <w:t xml:space="preserve">dR = dM –dD + </w:t>
      </w:r>
      <w:r w:rsidR="00FC3723">
        <w:t>E</w:t>
      </w:r>
      <w:r w:rsidR="00573D82">
        <w:t>dFb</w:t>
      </w:r>
    </w:p>
    <w:p w:rsidR="00573D82" w:rsidRDefault="00573D82" w:rsidP="00573D82">
      <w:pPr>
        <w:pStyle w:val="Bullet"/>
        <w:numPr>
          <w:ilvl w:val="0"/>
          <w:numId w:val="0"/>
        </w:numPr>
        <w:ind w:firstLine="360"/>
        <w:jc w:val="both"/>
      </w:pPr>
    </w:p>
    <w:p w:rsidR="00573D82" w:rsidRDefault="00573D82" w:rsidP="00573D82">
      <w:pPr>
        <w:pStyle w:val="Bullet"/>
        <w:numPr>
          <w:ilvl w:val="0"/>
          <w:numId w:val="0"/>
        </w:numPr>
        <w:ind w:firstLine="360"/>
        <w:jc w:val="both"/>
      </w:pPr>
      <w:r>
        <w:t xml:space="preserve">The work of financial programming centers on the relations between money (dM), domestic credit (dD), and foreign borrowing by the banking sector (dFb) on one side the balance of payments (dR) on the other side. </w:t>
      </w:r>
    </w:p>
    <w:p w:rsidR="001D50C1" w:rsidRDefault="001D50C1" w:rsidP="00573D82">
      <w:pPr>
        <w:pStyle w:val="Bullet"/>
        <w:numPr>
          <w:ilvl w:val="0"/>
          <w:numId w:val="0"/>
        </w:numPr>
        <w:ind w:firstLine="360"/>
        <w:jc w:val="both"/>
      </w:pPr>
    </w:p>
    <w:p w:rsidR="001D50C1" w:rsidRDefault="001D50C1" w:rsidP="00573D82">
      <w:pPr>
        <w:pStyle w:val="Bullet"/>
        <w:numPr>
          <w:ilvl w:val="0"/>
          <w:numId w:val="0"/>
        </w:numPr>
        <w:ind w:firstLine="360"/>
        <w:jc w:val="both"/>
      </w:pPr>
      <w:r>
        <w:t>The model assumes continuous flow equilibrium in the money market (</w:t>
      </w:r>
      <w:r w:rsidR="00681910">
        <w:t>changes</w:t>
      </w:r>
      <w:r>
        <w:t xml:space="preserve"> in money supply equals changes in money demand):</w:t>
      </w:r>
    </w:p>
    <w:p w:rsidR="001D50C1" w:rsidRDefault="001D50C1" w:rsidP="00573D82">
      <w:pPr>
        <w:pStyle w:val="Bullet"/>
        <w:numPr>
          <w:ilvl w:val="0"/>
          <w:numId w:val="0"/>
        </w:numPr>
        <w:ind w:firstLine="360"/>
        <w:jc w:val="both"/>
      </w:pPr>
    </w:p>
    <w:p w:rsidR="001D50C1" w:rsidRDefault="00C25D7C" w:rsidP="00C25D7C">
      <w:pPr>
        <w:pStyle w:val="Bullet"/>
        <w:numPr>
          <w:ilvl w:val="0"/>
          <w:numId w:val="0"/>
        </w:numPr>
        <w:ind w:left="360" w:hanging="360"/>
        <w:jc w:val="both"/>
      </w:pPr>
      <w:r>
        <w:t>(5)</w:t>
      </w:r>
      <w:r>
        <w:tab/>
      </w:r>
      <w:r>
        <w:tab/>
      </w:r>
      <w:r w:rsidR="001D50C1">
        <w:t>dMs = dMd</w:t>
      </w:r>
    </w:p>
    <w:p w:rsidR="00573D82" w:rsidRDefault="00573D82" w:rsidP="00573D82">
      <w:pPr>
        <w:pStyle w:val="Bullet"/>
        <w:numPr>
          <w:ilvl w:val="0"/>
          <w:numId w:val="0"/>
        </w:numPr>
        <w:ind w:firstLine="360"/>
        <w:jc w:val="both"/>
      </w:pPr>
    </w:p>
    <w:p w:rsidR="00573D82" w:rsidRDefault="00573D82" w:rsidP="00573D82">
      <w:pPr>
        <w:pStyle w:val="Bullet"/>
        <w:numPr>
          <w:ilvl w:val="0"/>
          <w:numId w:val="0"/>
        </w:numPr>
        <w:ind w:firstLine="360"/>
        <w:jc w:val="both"/>
      </w:pPr>
      <w:r>
        <w:t xml:space="preserve">Increments in International Reserves reflect expansion in the supply </w:t>
      </w:r>
      <w:r w:rsidR="001D50C1">
        <w:t xml:space="preserve">(and demand) </w:t>
      </w:r>
      <w:r>
        <w:t>of money (</w:t>
      </w:r>
      <w:r w:rsidR="001D50C1">
        <w:t xml:space="preserve">expansion </w:t>
      </w:r>
      <w:r>
        <w:t xml:space="preserve">in the monetary </w:t>
      </w:r>
      <w:r w:rsidR="001D50C1">
        <w:t xml:space="preserve">that translate in expansion in the rest of </w:t>
      </w:r>
      <w:r>
        <w:t xml:space="preserve">monetary aggregates: M1, M2, M3), contractions of domestic credit, and increases in foreign borrowing by the banking sector (central bank + commercial banks). Changes in domestic prices are related to the changes in the supply of money trough a type of quantitative </w:t>
      </w:r>
      <w:r w:rsidR="00F34FD2">
        <w:t xml:space="preserve">money </w:t>
      </w:r>
      <w:r>
        <w:t>equation of the form:</w:t>
      </w:r>
    </w:p>
    <w:p w:rsidR="00A87A9E" w:rsidRDefault="00A87A9E" w:rsidP="00573D82">
      <w:pPr>
        <w:pStyle w:val="Bullet"/>
        <w:numPr>
          <w:ilvl w:val="0"/>
          <w:numId w:val="0"/>
        </w:numPr>
        <w:ind w:firstLine="360"/>
        <w:jc w:val="both"/>
      </w:pPr>
    </w:p>
    <w:p w:rsidR="00A87A9E" w:rsidRPr="004422BA" w:rsidRDefault="00C25D7C" w:rsidP="00C25D7C">
      <w:pPr>
        <w:pStyle w:val="Bullet"/>
        <w:numPr>
          <w:ilvl w:val="0"/>
          <w:numId w:val="0"/>
        </w:numPr>
        <w:ind w:left="360" w:hanging="360"/>
        <w:jc w:val="both"/>
        <w:rPr>
          <w:lang w:val="es-CL"/>
        </w:rPr>
      </w:pPr>
      <w:r>
        <w:rPr>
          <w:lang w:val="es-ES"/>
        </w:rPr>
        <w:t>(6)</w:t>
      </w:r>
      <w:r>
        <w:rPr>
          <w:lang w:val="es-ES"/>
        </w:rPr>
        <w:tab/>
      </w:r>
      <w:r>
        <w:rPr>
          <w:lang w:val="es-ES"/>
        </w:rPr>
        <w:tab/>
      </w:r>
      <w:r w:rsidR="00A87A9E" w:rsidRPr="004422BA">
        <w:rPr>
          <w:lang w:val="es-CL"/>
        </w:rPr>
        <w:t xml:space="preserve">dMd = (1/v) dY </w:t>
      </w:r>
    </w:p>
    <w:p w:rsidR="00A87A9E" w:rsidRPr="004422BA" w:rsidRDefault="00A87A9E" w:rsidP="00A87A9E">
      <w:pPr>
        <w:pStyle w:val="Bullet"/>
        <w:numPr>
          <w:ilvl w:val="0"/>
          <w:numId w:val="0"/>
        </w:numPr>
        <w:ind w:firstLine="360"/>
        <w:jc w:val="both"/>
        <w:rPr>
          <w:lang w:val="es-CL"/>
        </w:rPr>
      </w:pPr>
    </w:p>
    <w:p w:rsidR="00A87A9E" w:rsidRPr="00C25D7C" w:rsidRDefault="00C25D7C" w:rsidP="00C25D7C">
      <w:pPr>
        <w:pStyle w:val="Bullet"/>
        <w:numPr>
          <w:ilvl w:val="0"/>
          <w:numId w:val="0"/>
        </w:numPr>
        <w:ind w:left="360" w:hanging="360"/>
        <w:jc w:val="both"/>
        <w:rPr>
          <w:lang w:val="es-ES"/>
        </w:rPr>
      </w:pPr>
      <w:r w:rsidRPr="00C25D7C">
        <w:rPr>
          <w:lang w:val="es-ES"/>
        </w:rPr>
        <w:t>(6)’</w:t>
      </w:r>
      <w:r w:rsidRPr="00C25D7C">
        <w:rPr>
          <w:lang w:val="es-ES"/>
        </w:rPr>
        <w:tab/>
      </w:r>
      <w:r w:rsidRPr="00C25D7C">
        <w:rPr>
          <w:lang w:val="es-ES"/>
        </w:rPr>
        <w:tab/>
      </w:r>
      <w:r w:rsidR="00A87A9E" w:rsidRPr="00C25D7C">
        <w:rPr>
          <w:lang w:val="es-ES"/>
        </w:rPr>
        <w:t>dMd = (1/v) (P</w:t>
      </w:r>
      <w:r w:rsidRPr="00C25D7C">
        <w:rPr>
          <w:lang w:val="es-ES"/>
        </w:rPr>
        <w:t>o</w:t>
      </w:r>
      <w:r w:rsidR="00451C9C">
        <w:rPr>
          <w:lang w:val="es-ES"/>
        </w:rPr>
        <w:t xml:space="preserve"> dy</w:t>
      </w:r>
      <w:r w:rsidR="00A87A9E" w:rsidRPr="00C25D7C">
        <w:rPr>
          <w:lang w:val="es-ES"/>
        </w:rPr>
        <w:t>+yo dP)</w:t>
      </w:r>
    </w:p>
    <w:p w:rsidR="00573D82" w:rsidRPr="00C25D7C" w:rsidRDefault="00573D82" w:rsidP="00573D82">
      <w:pPr>
        <w:pStyle w:val="Bullet"/>
        <w:numPr>
          <w:ilvl w:val="0"/>
          <w:numId w:val="0"/>
        </w:numPr>
        <w:ind w:firstLine="360"/>
        <w:jc w:val="both"/>
        <w:rPr>
          <w:lang w:val="es-ES"/>
        </w:rPr>
      </w:pPr>
    </w:p>
    <w:p w:rsidR="00A87A9E" w:rsidRPr="00C25D7C" w:rsidRDefault="00C25D7C" w:rsidP="00573D82">
      <w:pPr>
        <w:pStyle w:val="Bullet"/>
        <w:numPr>
          <w:ilvl w:val="0"/>
          <w:numId w:val="0"/>
        </w:numPr>
        <w:ind w:firstLine="360"/>
        <w:jc w:val="both"/>
        <w:rPr>
          <w:lang w:val="es-ES"/>
        </w:rPr>
      </w:pPr>
      <w:r w:rsidRPr="00C25D7C">
        <w:rPr>
          <w:lang w:val="es-ES"/>
        </w:rPr>
        <w:t>Then</w:t>
      </w:r>
      <w:r w:rsidR="00F34FD2" w:rsidRPr="00C25D7C">
        <w:rPr>
          <w:lang w:val="es-ES"/>
        </w:rPr>
        <w:t>,</w:t>
      </w:r>
    </w:p>
    <w:p w:rsidR="00A87A9E" w:rsidRPr="00C25D7C" w:rsidRDefault="00A87A9E" w:rsidP="00573D82">
      <w:pPr>
        <w:pStyle w:val="Bullet"/>
        <w:numPr>
          <w:ilvl w:val="0"/>
          <w:numId w:val="0"/>
        </w:numPr>
        <w:ind w:firstLine="360"/>
        <w:jc w:val="both"/>
        <w:rPr>
          <w:lang w:val="es-ES"/>
        </w:rPr>
      </w:pPr>
    </w:p>
    <w:p w:rsidR="00A87A9E" w:rsidRPr="00C25D7C" w:rsidRDefault="00C25D7C" w:rsidP="00C25D7C">
      <w:pPr>
        <w:pStyle w:val="Bullet"/>
        <w:numPr>
          <w:ilvl w:val="0"/>
          <w:numId w:val="0"/>
        </w:numPr>
        <w:ind w:left="360" w:hanging="360"/>
        <w:jc w:val="both"/>
        <w:rPr>
          <w:lang w:val="es-ES"/>
        </w:rPr>
      </w:pPr>
      <w:r w:rsidRPr="00C25D7C">
        <w:rPr>
          <w:lang w:val="es-ES"/>
        </w:rPr>
        <w:t>(7)</w:t>
      </w:r>
      <w:r>
        <w:rPr>
          <w:lang w:val="es-ES"/>
        </w:rPr>
        <w:tab/>
      </w:r>
      <w:r>
        <w:rPr>
          <w:lang w:val="es-ES"/>
        </w:rPr>
        <w:tab/>
      </w:r>
      <w:r w:rsidR="00A87A9E" w:rsidRPr="00C25D7C">
        <w:rPr>
          <w:lang w:val="es-ES"/>
        </w:rPr>
        <w:t>dP = [dMd – (1/v) Po dy</w:t>
      </w:r>
      <w:r w:rsidR="00F34FD2" w:rsidRPr="00C25D7C">
        <w:rPr>
          <w:lang w:val="es-ES"/>
        </w:rPr>
        <w:t>]</w:t>
      </w:r>
      <w:r w:rsidR="00A87A9E" w:rsidRPr="00C25D7C">
        <w:rPr>
          <w:lang w:val="es-ES"/>
        </w:rPr>
        <w:t xml:space="preserve">/yo = </w:t>
      </w:r>
      <w:r w:rsidR="00F34FD2" w:rsidRPr="00C25D7C">
        <w:rPr>
          <w:lang w:val="es-ES"/>
        </w:rPr>
        <w:t>[EdR – EdFb + dD – (1/v) Po dy]/yo</w:t>
      </w:r>
    </w:p>
    <w:p w:rsidR="00A87A9E" w:rsidRPr="00C25D7C" w:rsidRDefault="00A87A9E" w:rsidP="00573D82">
      <w:pPr>
        <w:pStyle w:val="Bullet"/>
        <w:numPr>
          <w:ilvl w:val="0"/>
          <w:numId w:val="0"/>
        </w:numPr>
        <w:ind w:firstLine="360"/>
        <w:jc w:val="both"/>
        <w:rPr>
          <w:lang w:val="es-ES"/>
        </w:rPr>
      </w:pPr>
    </w:p>
    <w:p w:rsidR="00451C9C" w:rsidRDefault="00451C9C" w:rsidP="00573D82">
      <w:pPr>
        <w:pStyle w:val="Bullet"/>
        <w:numPr>
          <w:ilvl w:val="0"/>
          <w:numId w:val="0"/>
        </w:numPr>
        <w:ind w:firstLine="360"/>
        <w:jc w:val="both"/>
      </w:pPr>
      <w:r>
        <w:t>Equation (7) tells that the domestic inflation reflects the excess in the rate of money creation over the rate of growth of real GDP.</w:t>
      </w:r>
    </w:p>
    <w:p w:rsidR="00451C9C" w:rsidRDefault="00451C9C" w:rsidP="00573D82">
      <w:pPr>
        <w:pStyle w:val="Bullet"/>
        <w:numPr>
          <w:ilvl w:val="0"/>
          <w:numId w:val="0"/>
        </w:numPr>
        <w:ind w:firstLine="360"/>
        <w:jc w:val="both"/>
      </w:pPr>
    </w:p>
    <w:p w:rsidR="00245E15" w:rsidRDefault="00245E15" w:rsidP="00573D82">
      <w:pPr>
        <w:pStyle w:val="Bullet"/>
        <w:numPr>
          <w:ilvl w:val="0"/>
          <w:numId w:val="0"/>
        </w:numPr>
        <w:ind w:firstLine="360"/>
        <w:jc w:val="both"/>
      </w:pPr>
      <w:r>
        <w:t xml:space="preserve">We observe from equation (7) that if dP = 0 and the economy is near full potential </w:t>
      </w:r>
    </w:p>
    <w:p w:rsidR="00451C9C" w:rsidRDefault="00245E15" w:rsidP="00245E15">
      <w:pPr>
        <w:pStyle w:val="Bullet"/>
        <w:numPr>
          <w:ilvl w:val="0"/>
          <w:numId w:val="0"/>
        </w:numPr>
        <w:jc w:val="both"/>
      </w:pPr>
      <w:r>
        <w:t>(dy = 0) and dFb = 0 then all increases is domestic credit are reflected in an identical decline in international reserves (dD = =dR). This is the case of a small very open economy with a fixed exchange rate.</w:t>
      </w:r>
    </w:p>
    <w:p w:rsidR="00245E15" w:rsidRDefault="00245E15" w:rsidP="00245E15">
      <w:pPr>
        <w:pStyle w:val="Bullet"/>
        <w:numPr>
          <w:ilvl w:val="0"/>
          <w:numId w:val="0"/>
        </w:numPr>
        <w:jc w:val="both"/>
      </w:pPr>
    </w:p>
    <w:p w:rsidR="00245E15" w:rsidRDefault="00245E15" w:rsidP="00245E15">
      <w:pPr>
        <w:pStyle w:val="Bullet"/>
        <w:numPr>
          <w:ilvl w:val="0"/>
          <w:numId w:val="0"/>
        </w:numPr>
        <w:ind w:firstLine="360"/>
        <w:jc w:val="both"/>
      </w:pPr>
      <w:r>
        <w:t>In country with fixed exchange rates an increase of international reserves could be induced by a contraction of domestic credit. This is because the quantity of money (M) is whatever is demanded by people, which in turn is determined by GDP growth and inflation. In practice, a contraction of credit induces some reductions in inflation and undesirable contractions of economic growth. This type of program relies on “expenditure reductions” as cut in domestic credit implies cuts in spending by the government and the private sector.</w:t>
      </w:r>
    </w:p>
    <w:p w:rsidR="00245E15" w:rsidRDefault="00245E15" w:rsidP="00245E15">
      <w:pPr>
        <w:pStyle w:val="Bullet"/>
        <w:numPr>
          <w:ilvl w:val="0"/>
          <w:numId w:val="0"/>
        </w:numPr>
        <w:jc w:val="both"/>
      </w:pPr>
    </w:p>
    <w:p w:rsidR="00245E15" w:rsidRPr="003D405E" w:rsidRDefault="00245E15" w:rsidP="00245E15">
      <w:pPr>
        <w:pStyle w:val="Bullet"/>
        <w:numPr>
          <w:ilvl w:val="0"/>
          <w:numId w:val="11"/>
        </w:numPr>
        <w:jc w:val="both"/>
        <w:rPr>
          <w:b/>
        </w:rPr>
      </w:pPr>
      <w:r w:rsidRPr="003D405E">
        <w:rPr>
          <w:b/>
        </w:rPr>
        <w:t>The Role of the Exchange Rate</w:t>
      </w:r>
    </w:p>
    <w:p w:rsidR="00245E15" w:rsidRDefault="00245E15" w:rsidP="00245E15">
      <w:pPr>
        <w:pStyle w:val="Bullet"/>
        <w:numPr>
          <w:ilvl w:val="0"/>
          <w:numId w:val="0"/>
        </w:numPr>
        <w:jc w:val="both"/>
      </w:pPr>
    </w:p>
    <w:p w:rsidR="00F34FD2" w:rsidRDefault="00C25D7C" w:rsidP="00573D82">
      <w:pPr>
        <w:pStyle w:val="Bullet"/>
        <w:numPr>
          <w:ilvl w:val="0"/>
          <w:numId w:val="0"/>
        </w:numPr>
        <w:ind w:firstLine="360"/>
        <w:jc w:val="both"/>
      </w:pPr>
      <w:r>
        <w:t xml:space="preserve">The aggregate change in the price level (dP) can be disaggregated into three main components: the change in the price of </w:t>
      </w:r>
      <w:r w:rsidR="00C97C6C">
        <w:t xml:space="preserve">non-tradable </w:t>
      </w:r>
      <w:r>
        <w:t xml:space="preserve">goods and services </w:t>
      </w:r>
      <w:r w:rsidR="00C97C6C">
        <w:t>(PNT)</w:t>
      </w:r>
      <w:r>
        <w:t xml:space="preserve">, the change in the price of </w:t>
      </w:r>
      <w:r w:rsidR="00C97C6C">
        <w:t xml:space="preserve">tradable goods </w:t>
      </w:r>
      <w:r>
        <w:t xml:space="preserve">and services </w:t>
      </w:r>
      <w:r w:rsidR="00C97C6C">
        <w:t>(PT)</w:t>
      </w:r>
      <w:r>
        <w:t xml:space="preserve">, and the change in the </w:t>
      </w:r>
      <w:r w:rsidR="00C97C6C">
        <w:t>exchange rate (E)</w:t>
      </w:r>
      <w:r w:rsidR="00F34FD2">
        <w:t>:</w:t>
      </w:r>
    </w:p>
    <w:p w:rsidR="001D50C1" w:rsidRDefault="00F34FD2" w:rsidP="00573D82">
      <w:pPr>
        <w:pStyle w:val="Bullet"/>
        <w:numPr>
          <w:ilvl w:val="0"/>
          <w:numId w:val="0"/>
        </w:numPr>
        <w:ind w:firstLine="360"/>
        <w:jc w:val="both"/>
      </w:pPr>
      <w:r>
        <w:t xml:space="preserve"> </w:t>
      </w:r>
    </w:p>
    <w:p w:rsidR="001D50C1" w:rsidRPr="00C25D7C" w:rsidRDefault="00C25D7C" w:rsidP="00C25D7C">
      <w:pPr>
        <w:pStyle w:val="Bullet"/>
        <w:numPr>
          <w:ilvl w:val="0"/>
          <w:numId w:val="0"/>
        </w:numPr>
        <w:ind w:left="360" w:hanging="360"/>
        <w:jc w:val="both"/>
      </w:pPr>
      <w:r>
        <w:t>(8)</w:t>
      </w:r>
      <w:r>
        <w:tab/>
      </w:r>
      <w:r>
        <w:tab/>
      </w:r>
      <w:r w:rsidR="00763C16" w:rsidRPr="00C25D7C">
        <w:t>d</w:t>
      </w:r>
      <w:r w:rsidR="001D50C1" w:rsidRPr="00C25D7C">
        <w:t xml:space="preserve">P = a </w:t>
      </w:r>
      <w:r w:rsidR="00763C16" w:rsidRPr="00C25D7C">
        <w:t>d</w:t>
      </w:r>
      <w:r w:rsidR="001D50C1" w:rsidRPr="00C25D7C">
        <w:t xml:space="preserve">PNT </w:t>
      </w:r>
      <w:r w:rsidR="0083240C" w:rsidRPr="00C25D7C">
        <w:t>+ (</w:t>
      </w:r>
      <w:r w:rsidR="001D50C1" w:rsidRPr="00C25D7C">
        <w:t xml:space="preserve">1-a) </w:t>
      </w:r>
      <w:r w:rsidR="00763C16" w:rsidRPr="00C25D7C">
        <w:t>d</w:t>
      </w:r>
      <w:r w:rsidR="001D50C1" w:rsidRPr="00C25D7C">
        <w:t>PT</w:t>
      </w:r>
    </w:p>
    <w:p w:rsidR="00763C16" w:rsidRPr="00C25D7C" w:rsidRDefault="00763C16" w:rsidP="00573D82">
      <w:pPr>
        <w:pStyle w:val="Bullet"/>
        <w:numPr>
          <w:ilvl w:val="0"/>
          <w:numId w:val="0"/>
        </w:numPr>
        <w:ind w:firstLine="360"/>
        <w:jc w:val="both"/>
      </w:pPr>
    </w:p>
    <w:p w:rsidR="00C25D7C" w:rsidRDefault="00C25D7C" w:rsidP="00573D82">
      <w:pPr>
        <w:pStyle w:val="Bullet"/>
        <w:numPr>
          <w:ilvl w:val="0"/>
          <w:numId w:val="0"/>
        </w:numPr>
        <w:ind w:firstLine="360"/>
        <w:jc w:val="both"/>
      </w:pPr>
      <w:r>
        <w:t xml:space="preserve">Where, </w:t>
      </w:r>
    </w:p>
    <w:p w:rsidR="00C25D7C" w:rsidRDefault="00C25D7C" w:rsidP="00573D82">
      <w:pPr>
        <w:pStyle w:val="Bullet"/>
        <w:numPr>
          <w:ilvl w:val="0"/>
          <w:numId w:val="0"/>
        </w:numPr>
        <w:ind w:firstLine="360"/>
        <w:jc w:val="both"/>
      </w:pPr>
    </w:p>
    <w:p w:rsidR="00763C16" w:rsidRPr="00C25D7C" w:rsidRDefault="00763C16" w:rsidP="00C25D7C">
      <w:pPr>
        <w:pStyle w:val="Bullet"/>
        <w:numPr>
          <w:ilvl w:val="0"/>
          <w:numId w:val="0"/>
        </w:numPr>
        <w:ind w:firstLine="720"/>
        <w:jc w:val="both"/>
      </w:pPr>
      <w:r w:rsidRPr="00C25D7C">
        <w:t>dPT = (dE + dPT*)</w:t>
      </w:r>
    </w:p>
    <w:p w:rsidR="001D50C1" w:rsidRPr="00C25D7C" w:rsidRDefault="001D50C1" w:rsidP="00573D82">
      <w:pPr>
        <w:pStyle w:val="Bullet"/>
        <w:numPr>
          <w:ilvl w:val="0"/>
          <w:numId w:val="0"/>
        </w:numPr>
        <w:ind w:firstLine="360"/>
        <w:jc w:val="both"/>
      </w:pPr>
    </w:p>
    <w:p w:rsidR="00F34FD2" w:rsidRDefault="00245E15" w:rsidP="00573D82">
      <w:pPr>
        <w:pStyle w:val="Bullet"/>
        <w:numPr>
          <w:ilvl w:val="0"/>
          <w:numId w:val="0"/>
        </w:numPr>
        <w:ind w:firstLine="360"/>
        <w:jc w:val="both"/>
      </w:pPr>
      <w:r>
        <w:lastRenderedPageBreak/>
        <w:t>From (7) and (8) we obtain the</w:t>
      </w:r>
      <w:r w:rsidR="00C25D7C">
        <w:t xml:space="preserve"> change in the price on non-tradable goods and services</w:t>
      </w:r>
      <w:r>
        <w:t>:</w:t>
      </w:r>
    </w:p>
    <w:p w:rsidR="00F34FD2" w:rsidRDefault="00F34FD2" w:rsidP="00573D82">
      <w:pPr>
        <w:pStyle w:val="Bullet"/>
        <w:numPr>
          <w:ilvl w:val="0"/>
          <w:numId w:val="0"/>
        </w:numPr>
        <w:ind w:firstLine="360"/>
        <w:jc w:val="both"/>
      </w:pPr>
    </w:p>
    <w:p w:rsidR="00F34FD2" w:rsidRPr="00C25D7C" w:rsidRDefault="00C25D7C" w:rsidP="00C25D7C">
      <w:pPr>
        <w:pStyle w:val="Bullet"/>
        <w:numPr>
          <w:ilvl w:val="0"/>
          <w:numId w:val="0"/>
        </w:numPr>
        <w:ind w:left="360" w:hanging="360"/>
        <w:jc w:val="both"/>
        <w:rPr>
          <w:lang w:val="es-ES"/>
        </w:rPr>
      </w:pPr>
      <w:r w:rsidRPr="00C25D7C">
        <w:rPr>
          <w:lang w:val="es-ES"/>
        </w:rPr>
        <w:t>(9)</w:t>
      </w:r>
      <w:r w:rsidRPr="00C25D7C">
        <w:rPr>
          <w:lang w:val="es-ES"/>
        </w:rPr>
        <w:tab/>
      </w:r>
      <w:r>
        <w:rPr>
          <w:lang w:val="es-ES"/>
        </w:rPr>
        <w:tab/>
      </w:r>
      <w:r w:rsidR="00F34FD2" w:rsidRPr="00C25D7C">
        <w:rPr>
          <w:lang w:val="es-ES"/>
        </w:rPr>
        <w:t xml:space="preserve">dPNT = [EdR – EdFb + dD – (1/v) Po dy]/a yo </w:t>
      </w:r>
      <w:r w:rsidR="00451C9C">
        <w:rPr>
          <w:lang w:val="es-ES"/>
        </w:rPr>
        <w:t>-</w:t>
      </w:r>
      <w:r w:rsidR="00F34FD2" w:rsidRPr="00C25D7C">
        <w:rPr>
          <w:lang w:val="es-ES"/>
        </w:rPr>
        <w:t xml:space="preserve"> [(1-a)/a] (dE + dPT*)</w:t>
      </w:r>
    </w:p>
    <w:p w:rsidR="00F34FD2" w:rsidRPr="00C25D7C" w:rsidRDefault="00F34FD2" w:rsidP="00573D82">
      <w:pPr>
        <w:pStyle w:val="Bullet"/>
        <w:numPr>
          <w:ilvl w:val="0"/>
          <w:numId w:val="0"/>
        </w:numPr>
        <w:ind w:firstLine="360"/>
        <w:jc w:val="both"/>
        <w:rPr>
          <w:lang w:val="es-ES"/>
        </w:rPr>
      </w:pPr>
    </w:p>
    <w:p w:rsidR="00573D82" w:rsidRPr="000C2E09" w:rsidRDefault="00573D82" w:rsidP="005F6D73">
      <w:pPr>
        <w:pStyle w:val="Bullet"/>
        <w:numPr>
          <w:ilvl w:val="0"/>
          <w:numId w:val="0"/>
        </w:numPr>
        <w:ind w:firstLine="360"/>
        <w:jc w:val="both"/>
        <w:rPr>
          <w:rFonts w:eastAsia="PMingLiU"/>
          <w:lang w:eastAsia="zh-MO"/>
        </w:rPr>
      </w:pPr>
      <w:r>
        <w:t xml:space="preserve">In order to alleviate the magnitude of the contraction impact on growth and at the same time facilitate improvements in the balance of payments the exchange rate is used to induce “expenditure switching”. An increase in the exchange rate switches aggregate demand away from imports and into domestically produced goods and services.  </w:t>
      </w:r>
      <w:r w:rsidR="003E6959">
        <w:t xml:space="preserve">In equation (9) we can see that an increase in the exchange rate is equivalent to a reduction </w:t>
      </w:r>
      <w:r w:rsidR="007B5DD5">
        <w:rPr>
          <w:rFonts w:eastAsia="PMingLiU" w:hint="eastAsia"/>
          <w:lang w:eastAsia="zh-MO"/>
        </w:rPr>
        <w:t xml:space="preserve">in the </w:t>
      </w:r>
      <w:r w:rsidR="003E6959">
        <w:t>price of non-tradable</w:t>
      </w:r>
      <w:r w:rsidR="007B5DD5">
        <w:rPr>
          <w:rFonts w:eastAsia="PMingLiU" w:hint="eastAsia"/>
          <w:lang w:eastAsia="zh-MO"/>
        </w:rPr>
        <w:t xml:space="preserve"> goods and services, i.e, </w:t>
      </w:r>
      <w:r w:rsidR="003E6959">
        <w:t>non-tradable</w:t>
      </w:r>
      <w:r w:rsidR="007B5DD5">
        <w:rPr>
          <w:rFonts w:eastAsia="PMingLiU" w:hint="eastAsia"/>
          <w:lang w:eastAsia="zh-MO"/>
        </w:rPr>
        <w:t xml:space="preserve"> goods and services </w:t>
      </w:r>
      <w:r w:rsidR="003E6959">
        <w:t>become cheaper in relative terms.</w:t>
      </w:r>
      <w:r>
        <w:t xml:space="preserve"> </w:t>
      </w:r>
      <w:r w:rsidR="000C2E09">
        <w:rPr>
          <w:rFonts w:eastAsia="PMingLiU" w:hint="eastAsia"/>
          <w:lang w:eastAsia="zh-MO"/>
        </w:rPr>
        <w:t xml:space="preserve">In the extreme case of fixed exchange rate (dE = 0) and zero external inflation (dPT* = 0) the increases in the stock of money (dM = EdR </w:t>
      </w:r>
      <w:r w:rsidR="000C2E09">
        <w:rPr>
          <w:rFonts w:eastAsia="PMingLiU"/>
          <w:lang w:eastAsia="zh-MO"/>
        </w:rPr>
        <w:t>–</w:t>
      </w:r>
      <w:r w:rsidR="000C2E09">
        <w:rPr>
          <w:rFonts w:eastAsia="PMingLiU" w:hint="eastAsia"/>
          <w:lang w:eastAsia="zh-MO"/>
        </w:rPr>
        <w:t xml:space="preserve">dFb + dD) would </w:t>
      </w:r>
      <w:r w:rsidR="005F6D73">
        <w:rPr>
          <w:rFonts w:eastAsia="PMingLiU" w:hint="eastAsia"/>
          <w:lang w:eastAsia="zh-MO"/>
        </w:rPr>
        <w:t>push up the price of non-tradable goods and services, which means the exchange rate (PNT/EPT) appreciates making the export sector less competitive.</w:t>
      </w:r>
      <w:r w:rsidR="000C2E09">
        <w:rPr>
          <w:rFonts w:eastAsia="PMingLiU" w:hint="eastAsia"/>
          <w:lang w:eastAsia="zh-MO"/>
        </w:rPr>
        <w:t xml:space="preserve"> </w:t>
      </w:r>
    </w:p>
    <w:p w:rsidR="00573D82" w:rsidRDefault="00573D82" w:rsidP="00573D82">
      <w:pPr>
        <w:pStyle w:val="Bullet"/>
        <w:numPr>
          <w:ilvl w:val="0"/>
          <w:numId w:val="0"/>
        </w:numPr>
        <w:ind w:firstLine="360"/>
        <w:jc w:val="both"/>
      </w:pPr>
    </w:p>
    <w:p w:rsidR="00573D82" w:rsidRDefault="00573D82" w:rsidP="005F6D73">
      <w:pPr>
        <w:pStyle w:val="Bullet"/>
        <w:numPr>
          <w:ilvl w:val="0"/>
          <w:numId w:val="0"/>
        </w:numPr>
        <w:ind w:firstLine="360"/>
        <w:jc w:val="both"/>
      </w:pPr>
      <w:r>
        <w:t xml:space="preserve">The exchange rate is used </w:t>
      </w:r>
      <w:r w:rsidR="00283859">
        <w:t xml:space="preserve">in some cases </w:t>
      </w:r>
      <w:r>
        <w:t>as a main instrument to reduce inflation. In some cases the rate is fixed or a crawling peg system is adopted to bring down inflationary expectations. In th</w:t>
      </w:r>
      <w:r w:rsidR="00283859">
        <w:t xml:space="preserve">is case </w:t>
      </w:r>
      <w:r>
        <w:t xml:space="preserve">it is crucial a monetary policy and wages policy consistent with the use of the exchange rate </w:t>
      </w:r>
      <w:r w:rsidR="00283859">
        <w:t xml:space="preserve">as a tool </w:t>
      </w:r>
      <w:r>
        <w:t xml:space="preserve">to reduce </w:t>
      </w:r>
      <w:r w:rsidR="00283859">
        <w:t xml:space="preserve">dPNT and hereby </w:t>
      </w:r>
      <w:r>
        <w:t xml:space="preserve">inflation. An excessive monetary expansion or wages indexed to past inflation would </w:t>
      </w:r>
      <w:r w:rsidR="00283859">
        <w:t xml:space="preserve">make difficult to curb the rate of increase in PNT and inflation, making </w:t>
      </w:r>
      <w:r>
        <w:t>exchange rate</w:t>
      </w:r>
      <w:r w:rsidR="00283859">
        <w:t xml:space="preserve"> policy unsustainable</w:t>
      </w:r>
      <w:r>
        <w:t xml:space="preserve">.      </w:t>
      </w:r>
    </w:p>
    <w:p w:rsidR="00573D82" w:rsidRDefault="00573D82" w:rsidP="00573D82">
      <w:pPr>
        <w:ind w:left="360"/>
        <w:jc w:val="both"/>
      </w:pPr>
    </w:p>
    <w:p w:rsidR="00573D82" w:rsidRPr="00C919E7" w:rsidRDefault="00573D82" w:rsidP="00573D82">
      <w:pPr>
        <w:numPr>
          <w:ilvl w:val="0"/>
          <w:numId w:val="11"/>
        </w:numPr>
        <w:jc w:val="both"/>
        <w:rPr>
          <w:b/>
        </w:rPr>
      </w:pPr>
      <w:r w:rsidRPr="00C919E7">
        <w:rPr>
          <w:b/>
        </w:rPr>
        <w:t>Example of Short Term Financial Programming</w:t>
      </w:r>
      <w:r>
        <w:rPr>
          <w:b/>
        </w:rPr>
        <w:t>:</w:t>
      </w:r>
    </w:p>
    <w:p w:rsidR="00573D82" w:rsidRDefault="00573D82" w:rsidP="00573D82">
      <w:pPr>
        <w:jc w:val="both"/>
      </w:pPr>
    </w:p>
    <w:p w:rsidR="00573D82" w:rsidRDefault="00573D82" w:rsidP="00573D82">
      <w:pPr>
        <w:jc w:val="both"/>
      </w:pPr>
      <w:r>
        <w:tab/>
        <w:t xml:space="preserve">A country has fixed exchange rate or target the exchange rate. Growing current account deficit caused by a rising demand for imports. International reserves are falling. Inflation is rising. Public balance is deteriorating. Access to foreign financing is narrowing. </w:t>
      </w:r>
    </w:p>
    <w:p w:rsidR="00573D82" w:rsidRDefault="00573D82" w:rsidP="00573D82">
      <w:pPr>
        <w:jc w:val="both"/>
      </w:pPr>
    </w:p>
    <w:p w:rsidR="00573D82" w:rsidRDefault="00573D82" w:rsidP="00573D82">
      <w:pPr>
        <w:jc w:val="both"/>
      </w:pPr>
      <w:r>
        <w:t>Diagnostic: It is found that the main source of the balance of payments problem is an excessive monetization of the public deficit. The public deficit has been growing and reflected in growth of domestic credit to the public sector. This expansion of credit is producing a loss of international reserves and rising inflation.</w:t>
      </w:r>
    </w:p>
    <w:p w:rsidR="00573D82" w:rsidRDefault="00573D82" w:rsidP="00573D82">
      <w:pPr>
        <w:jc w:val="both"/>
      </w:pPr>
    </w:p>
    <w:p w:rsidR="00573D82" w:rsidRDefault="00573D82" w:rsidP="00573D82">
      <w:pPr>
        <w:jc w:val="both"/>
      </w:pPr>
      <w:r>
        <w:t xml:space="preserve">Financial program: </w:t>
      </w:r>
      <w:r w:rsidR="00E60264">
        <w:t>IMF short-term</w:t>
      </w:r>
    </w:p>
    <w:p w:rsidR="00573D82" w:rsidRDefault="00573D82" w:rsidP="00573D82">
      <w:pPr>
        <w:jc w:val="both"/>
      </w:pPr>
      <w:r>
        <w:t>Objective: Contain the loss of international reserves (set floor for international reserves).</w:t>
      </w:r>
    </w:p>
    <w:p w:rsidR="00573D82" w:rsidRDefault="00573D82" w:rsidP="00573D82">
      <w:pPr>
        <w:jc w:val="both"/>
      </w:pPr>
      <w:r>
        <w:t xml:space="preserve">Targets: Set a ceiling for domestic credit to the public sector </w:t>
      </w:r>
    </w:p>
    <w:p w:rsidR="00573D82" w:rsidRDefault="00573D82" w:rsidP="00573D82">
      <w:pPr>
        <w:jc w:val="both"/>
      </w:pPr>
      <w:r>
        <w:t xml:space="preserve">Instruments: Reduction of the fiscal deficit and/or allow the exchange rate to depreciate in order to induce an improvement in the current account balance (mainly through a contraction of imports) and/or an increase of interest rates (to help reduce demand for credit). </w:t>
      </w:r>
    </w:p>
    <w:p w:rsidR="002E3811" w:rsidRDefault="002E3811" w:rsidP="00C400F5">
      <w:pPr>
        <w:ind w:firstLine="720"/>
        <w:jc w:val="both"/>
      </w:pPr>
    </w:p>
    <w:p w:rsidR="00D75661" w:rsidRPr="00B113C1" w:rsidRDefault="00D75661" w:rsidP="00D75661">
      <w:pPr>
        <w:pStyle w:val="Bullet"/>
        <w:numPr>
          <w:ilvl w:val="0"/>
          <w:numId w:val="16"/>
        </w:numPr>
        <w:jc w:val="both"/>
        <w:rPr>
          <w:b/>
        </w:rPr>
      </w:pPr>
      <w:r w:rsidRPr="00B113C1">
        <w:rPr>
          <w:b/>
        </w:rPr>
        <w:t>Medium Term Programs (</w:t>
      </w:r>
      <w:r w:rsidR="00573D82">
        <w:rPr>
          <w:b/>
        </w:rPr>
        <w:t xml:space="preserve">The </w:t>
      </w:r>
      <w:r w:rsidRPr="00B113C1">
        <w:rPr>
          <w:b/>
        </w:rPr>
        <w:t xml:space="preserve">World Bank). </w:t>
      </w:r>
    </w:p>
    <w:p w:rsidR="00D75661" w:rsidRDefault="00D75661" w:rsidP="00D75661">
      <w:pPr>
        <w:pStyle w:val="Bullet"/>
        <w:numPr>
          <w:ilvl w:val="0"/>
          <w:numId w:val="0"/>
        </w:numPr>
        <w:ind w:firstLine="720"/>
        <w:jc w:val="both"/>
      </w:pPr>
    </w:p>
    <w:p w:rsidR="00D75661" w:rsidRDefault="00D75661" w:rsidP="00D75661">
      <w:pPr>
        <w:pStyle w:val="Bullet"/>
        <w:numPr>
          <w:ilvl w:val="0"/>
          <w:numId w:val="0"/>
        </w:numPr>
        <w:ind w:firstLine="720"/>
        <w:jc w:val="both"/>
      </w:pPr>
      <w:r>
        <w:lastRenderedPageBreak/>
        <w:t xml:space="preserve">In medium term programs economic growth, investment and savings (national and foreign) are at the center of these programs. Medium term policies include establishing incentives for domestic savings and investment. Medium Term Instruments include investment in infrastructure and human capital (health and education), improving the efficiency of the financial system, improving the operation of domestic markets (deregulation and competition policies), and opening the economy to international trade and promotion of exports. Polices aimed for the Medium Term are often called supply-side or structural policies. Raising economic growth on a sustainable basis requires more time than reducing inflation through demand management because the structural policies that are required take time to be designed and implemented. </w:t>
      </w:r>
    </w:p>
    <w:p w:rsidR="00D75661" w:rsidRDefault="00D75661" w:rsidP="00D75661">
      <w:pPr>
        <w:pStyle w:val="Bullet"/>
        <w:numPr>
          <w:ilvl w:val="0"/>
          <w:numId w:val="0"/>
        </w:numPr>
        <w:ind w:left="1440"/>
        <w:jc w:val="both"/>
      </w:pPr>
    </w:p>
    <w:p w:rsidR="00D75661" w:rsidRDefault="00D75661" w:rsidP="00D75661">
      <w:pPr>
        <w:ind w:firstLine="720"/>
        <w:jc w:val="both"/>
      </w:pPr>
      <w:r>
        <w:t xml:space="preserve">At the same time, the Medium Term objectives are generally influenced by Short Term objectives. Changes in exchange rates, interest rates, and controls on the expansion of domestic credit and government budget may interfere with the timing for achieving some Medium Term objectives of raising investment and economic growth. On the other side, achieving price stability (Short Run objective) becomes also a basic element to stimulate private investment, which is crucial in a Medium Term program. </w:t>
      </w:r>
    </w:p>
    <w:p w:rsidR="00D75661" w:rsidRDefault="00D75661" w:rsidP="00D75661">
      <w:pPr>
        <w:ind w:firstLine="720"/>
        <w:jc w:val="both"/>
      </w:pPr>
    </w:p>
    <w:p w:rsidR="00D75661" w:rsidRDefault="00D75661" w:rsidP="00D75661">
      <w:pPr>
        <w:ind w:firstLine="720"/>
        <w:jc w:val="both"/>
      </w:pPr>
      <w:r>
        <w:t xml:space="preserve">Designing a Macro Economic Programming with a Medium Term perspective is complicated for the reasons explained above: conflicts usually arise between the short and medium term objectives, targets, and instruments. For this reason the design of a Financial Programming that takes account of the medium term requires policy and political compromises that involve assigning priorities to the objectives from a time perspective. Functional relationships become more important for medium term projections because of the dynamic relationships between investment, savings, and economic growth. </w:t>
      </w:r>
    </w:p>
    <w:p w:rsidR="00B113C1" w:rsidRDefault="00B113C1" w:rsidP="00573D82">
      <w:pPr>
        <w:jc w:val="center"/>
      </w:pPr>
    </w:p>
    <w:p w:rsidR="00B113C1" w:rsidRPr="009624D9" w:rsidRDefault="00B113C1" w:rsidP="00573D82">
      <w:pPr>
        <w:numPr>
          <w:ilvl w:val="0"/>
          <w:numId w:val="16"/>
        </w:numPr>
        <w:jc w:val="both"/>
        <w:rPr>
          <w:b/>
        </w:rPr>
      </w:pPr>
      <w:r w:rsidRPr="009624D9">
        <w:rPr>
          <w:b/>
        </w:rPr>
        <w:t>The use of the Incremental</w:t>
      </w:r>
      <w:r w:rsidR="00630E01" w:rsidRPr="009624D9">
        <w:rPr>
          <w:b/>
        </w:rPr>
        <w:t xml:space="preserve"> </w:t>
      </w:r>
      <w:r w:rsidRPr="009624D9">
        <w:rPr>
          <w:b/>
        </w:rPr>
        <w:t>Capital</w:t>
      </w:r>
      <w:r w:rsidR="00630E01" w:rsidRPr="009624D9">
        <w:rPr>
          <w:b/>
        </w:rPr>
        <w:t>-</w:t>
      </w:r>
      <w:r w:rsidRPr="009624D9">
        <w:rPr>
          <w:b/>
        </w:rPr>
        <w:t xml:space="preserve">Output </w:t>
      </w:r>
      <w:r w:rsidR="00630E01" w:rsidRPr="009624D9">
        <w:rPr>
          <w:b/>
        </w:rPr>
        <w:t xml:space="preserve">(ICOR) </w:t>
      </w:r>
      <w:r w:rsidRPr="009624D9">
        <w:rPr>
          <w:b/>
        </w:rPr>
        <w:t>ratio for Medium term economic programs.</w:t>
      </w:r>
    </w:p>
    <w:p w:rsidR="00630E01" w:rsidRDefault="006D599A" w:rsidP="00630E01">
      <w:pPr>
        <w:spacing w:before="100" w:beforeAutospacing="1" w:after="100" w:afterAutospacing="1"/>
        <w:ind w:firstLine="360"/>
        <w:rPr>
          <w:color w:val="000000"/>
        </w:rPr>
      </w:pPr>
      <w:r>
        <w:rPr>
          <w:color w:val="000000"/>
        </w:rPr>
        <w:t>The World Bank traditional Revised Minimum Standards Model (RMSM) focus</w:t>
      </w:r>
      <w:r w:rsidR="0083240C">
        <w:rPr>
          <w:color w:val="000000"/>
        </w:rPr>
        <w:t>es</w:t>
      </w:r>
      <w:r>
        <w:rPr>
          <w:color w:val="000000"/>
        </w:rPr>
        <w:t xml:space="preserve"> on medium term growth and its financing through national and external savings</w:t>
      </w:r>
      <w:r w:rsidR="00A4009A">
        <w:rPr>
          <w:color w:val="000000"/>
        </w:rPr>
        <w:t xml:space="preserve"> (twp-gaps model</w:t>
      </w:r>
      <w:r>
        <w:rPr>
          <w:color w:val="000000"/>
        </w:rPr>
        <w:t xml:space="preserve">. It is based on a simple relationship between investment and growth called the incremental-capital output ratio (ICOR). </w:t>
      </w:r>
      <w:r w:rsidR="00630E01" w:rsidRPr="00DA5409">
        <w:rPr>
          <w:color w:val="000000"/>
        </w:rPr>
        <w:t xml:space="preserve">The incremental capital output ratio (ICOR) </w:t>
      </w:r>
      <w:r w:rsidR="009624D9">
        <w:rPr>
          <w:color w:val="000000"/>
        </w:rPr>
        <w:t xml:space="preserve">in period t </w:t>
      </w:r>
      <w:r w:rsidR="00630E01" w:rsidRPr="00DA5409">
        <w:rPr>
          <w:color w:val="000000"/>
        </w:rPr>
        <w:t xml:space="preserve">is defined as the ratio between investment in </w:t>
      </w:r>
      <w:r w:rsidR="009624D9">
        <w:rPr>
          <w:color w:val="000000"/>
        </w:rPr>
        <w:t xml:space="preserve">the </w:t>
      </w:r>
      <w:r w:rsidR="00630E01" w:rsidRPr="00DA5409">
        <w:rPr>
          <w:color w:val="000000"/>
        </w:rPr>
        <w:t>previous period</w:t>
      </w:r>
      <w:r w:rsidR="009624D9">
        <w:rPr>
          <w:color w:val="000000"/>
        </w:rPr>
        <w:t xml:space="preserve"> t-1</w:t>
      </w:r>
      <w:r w:rsidR="00630E01" w:rsidRPr="00DA5409">
        <w:rPr>
          <w:color w:val="000000"/>
        </w:rPr>
        <w:t xml:space="preserve"> and the </w:t>
      </w:r>
      <w:r w:rsidR="009624D9">
        <w:rPr>
          <w:color w:val="000000"/>
        </w:rPr>
        <w:t xml:space="preserve">change </w:t>
      </w:r>
      <w:r w:rsidR="00630E01" w:rsidRPr="00DA5409">
        <w:rPr>
          <w:color w:val="000000"/>
        </w:rPr>
        <w:t xml:space="preserve">in output </w:t>
      </w:r>
      <w:r w:rsidR="009624D9">
        <w:rPr>
          <w:color w:val="000000"/>
        </w:rPr>
        <w:t>between period t and t-1</w:t>
      </w:r>
      <w:r w:rsidR="00630E01" w:rsidRPr="00DA5409">
        <w:rPr>
          <w:color w:val="000000"/>
        </w:rPr>
        <w:t xml:space="preserve">. </w:t>
      </w:r>
      <w:r w:rsidR="00DB2D3F">
        <w:rPr>
          <w:color w:val="000000"/>
        </w:rPr>
        <w:t>The ICOR is a measure of the efficiency of investment in generating GDP growth (</w:t>
      </w:r>
      <w:r w:rsidR="00C919E7">
        <w:rPr>
          <w:color w:val="000000"/>
        </w:rPr>
        <w:t xml:space="preserve">the inverse of the ICOR measures the </w:t>
      </w:r>
      <w:r w:rsidR="00DB2D3F">
        <w:rPr>
          <w:color w:val="000000"/>
        </w:rPr>
        <w:t xml:space="preserve">productivity of capital). </w:t>
      </w:r>
      <w:r w:rsidR="00C919E7">
        <w:rPr>
          <w:color w:val="000000"/>
        </w:rPr>
        <w:t xml:space="preserve">The ICOR is </w:t>
      </w:r>
      <w:r w:rsidR="00630E01">
        <w:rPr>
          <w:color w:val="000000"/>
        </w:rPr>
        <w:t xml:space="preserve">calculated using investment and GDP data at </w:t>
      </w:r>
      <w:r w:rsidR="00630E01" w:rsidRPr="00DA5409">
        <w:rPr>
          <w:color w:val="000000"/>
        </w:rPr>
        <w:t>constant price</w:t>
      </w:r>
      <w:r w:rsidR="00630E01">
        <w:rPr>
          <w:color w:val="000000"/>
        </w:rPr>
        <w:t>s:</w:t>
      </w:r>
    </w:p>
    <w:p w:rsidR="00A7230A" w:rsidRDefault="006D599A" w:rsidP="006D599A">
      <w:pPr>
        <w:spacing w:before="100" w:beforeAutospacing="1" w:after="100" w:afterAutospacing="1"/>
        <w:rPr>
          <w:color w:val="000000"/>
        </w:rPr>
      </w:pPr>
      <w:r>
        <w:rPr>
          <w:color w:val="000000"/>
        </w:rPr>
        <w:t>(10)</w:t>
      </w:r>
      <w:r>
        <w:rPr>
          <w:color w:val="000000"/>
        </w:rPr>
        <w:tab/>
      </w:r>
      <w:r w:rsidR="00630E01">
        <w:rPr>
          <w:color w:val="000000"/>
        </w:rPr>
        <w:t>ICOR</w:t>
      </w:r>
      <w:r w:rsidR="009624D9">
        <w:rPr>
          <w:color w:val="000000"/>
        </w:rPr>
        <w:t>t</w:t>
      </w:r>
      <w:r w:rsidR="00630E01">
        <w:rPr>
          <w:color w:val="000000"/>
        </w:rPr>
        <w:t xml:space="preserve"> = I</w:t>
      </w:r>
      <w:r w:rsidR="00A7230A">
        <w:rPr>
          <w:color w:val="000000"/>
        </w:rPr>
        <w:t>t</w:t>
      </w:r>
      <w:r w:rsidR="00630E01">
        <w:rPr>
          <w:color w:val="000000"/>
        </w:rPr>
        <w:t>-1</w:t>
      </w:r>
      <w:r w:rsidR="0083240C">
        <w:rPr>
          <w:color w:val="000000"/>
        </w:rPr>
        <w:t>/(</w:t>
      </w:r>
      <w:r w:rsidR="005D13B9">
        <w:rPr>
          <w:color w:val="000000"/>
        </w:rPr>
        <w:t>y</w:t>
      </w:r>
      <w:r w:rsidR="00630E01">
        <w:rPr>
          <w:color w:val="000000"/>
        </w:rPr>
        <w:t xml:space="preserve">t – </w:t>
      </w:r>
      <w:r w:rsidR="005D13B9">
        <w:rPr>
          <w:color w:val="000000"/>
        </w:rPr>
        <w:t>y</w:t>
      </w:r>
      <w:r w:rsidR="00630E01">
        <w:rPr>
          <w:color w:val="000000"/>
        </w:rPr>
        <w:t>t-1)</w:t>
      </w:r>
      <w:r w:rsidR="00A7230A">
        <w:rPr>
          <w:color w:val="000000"/>
        </w:rPr>
        <w:t xml:space="preserve"> </w:t>
      </w:r>
    </w:p>
    <w:p w:rsidR="00A7230A" w:rsidRDefault="00A76465" w:rsidP="00A7230A">
      <w:pPr>
        <w:spacing w:before="100" w:beforeAutospacing="1" w:after="100" w:afterAutospacing="1"/>
        <w:ind w:firstLine="360"/>
        <w:rPr>
          <w:color w:val="000000"/>
        </w:rPr>
      </w:pPr>
      <w:r>
        <w:rPr>
          <w:color w:val="000000"/>
        </w:rPr>
        <w:t>Dividing</w:t>
      </w:r>
      <w:r w:rsidR="00A7230A">
        <w:rPr>
          <w:color w:val="000000"/>
        </w:rPr>
        <w:t xml:space="preserve"> both sides by </w:t>
      </w:r>
      <w:r w:rsidR="005D13B9">
        <w:rPr>
          <w:color w:val="000000"/>
        </w:rPr>
        <w:t>y</w:t>
      </w:r>
      <w:r w:rsidR="00A7230A">
        <w:rPr>
          <w:color w:val="000000"/>
        </w:rPr>
        <w:t xml:space="preserve">t-1 we get </w:t>
      </w:r>
      <w:r w:rsidR="005D13B9">
        <w:rPr>
          <w:color w:val="000000"/>
        </w:rPr>
        <w:t>an equation for real GDP growth:</w:t>
      </w:r>
    </w:p>
    <w:p w:rsidR="005D13B9" w:rsidRDefault="00014319" w:rsidP="00014319">
      <w:pPr>
        <w:spacing w:before="100" w:beforeAutospacing="1" w:after="100" w:afterAutospacing="1"/>
        <w:rPr>
          <w:color w:val="000000"/>
        </w:rPr>
      </w:pPr>
      <w:r>
        <w:rPr>
          <w:color w:val="000000"/>
        </w:rPr>
        <w:t>(11)</w:t>
      </w:r>
      <w:r>
        <w:rPr>
          <w:color w:val="000000"/>
        </w:rPr>
        <w:tab/>
      </w:r>
      <w:r w:rsidR="005D13B9">
        <w:rPr>
          <w:color w:val="000000"/>
        </w:rPr>
        <w:t xml:space="preserve">(yt – yt-1)/yt-1 = </w:t>
      </w:r>
      <w:r w:rsidR="00A7230A">
        <w:rPr>
          <w:color w:val="000000"/>
        </w:rPr>
        <w:t>[</w:t>
      </w:r>
      <w:r w:rsidR="005D13B9">
        <w:rPr>
          <w:color w:val="000000"/>
        </w:rPr>
        <w:t>(</w:t>
      </w:r>
      <w:r w:rsidR="00A7230A">
        <w:rPr>
          <w:color w:val="000000"/>
        </w:rPr>
        <w:t>It-1</w:t>
      </w:r>
      <w:r w:rsidR="005D13B9">
        <w:rPr>
          <w:color w:val="000000"/>
        </w:rPr>
        <w:t>/yt-1)</w:t>
      </w:r>
      <w:r w:rsidR="00A7230A">
        <w:rPr>
          <w:color w:val="000000"/>
        </w:rPr>
        <w:t>/</w:t>
      </w:r>
      <w:r w:rsidR="005D13B9">
        <w:rPr>
          <w:color w:val="000000"/>
        </w:rPr>
        <w:t>ICOR</w:t>
      </w:r>
    </w:p>
    <w:p w:rsidR="005D13B9" w:rsidRDefault="005D13B9" w:rsidP="005D13B9">
      <w:pPr>
        <w:spacing w:before="100" w:beforeAutospacing="1" w:after="100" w:afterAutospacing="1"/>
        <w:ind w:firstLine="360"/>
        <w:rPr>
          <w:color w:val="000000"/>
        </w:rPr>
      </w:pPr>
      <w:r>
        <w:rPr>
          <w:color w:val="000000"/>
        </w:rPr>
        <w:lastRenderedPageBreak/>
        <w:t>Equation (11) tells that real GDP growth is reflecting the rate of investment and the efficiency of investment.</w:t>
      </w:r>
    </w:p>
    <w:p w:rsidR="00630E01" w:rsidRDefault="005D13B9" w:rsidP="005D13B9">
      <w:pPr>
        <w:spacing w:before="100" w:beforeAutospacing="1" w:after="100" w:afterAutospacing="1"/>
        <w:ind w:firstLine="360"/>
        <w:rPr>
          <w:color w:val="000000"/>
        </w:rPr>
      </w:pPr>
      <w:r>
        <w:rPr>
          <w:color w:val="000000"/>
        </w:rPr>
        <w:t>The</w:t>
      </w:r>
      <w:r w:rsidR="00630E01" w:rsidRPr="00DA5409">
        <w:rPr>
          <w:color w:val="000000"/>
        </w:rPr>
        <w:t xml:space="preserve">re are </w:t>
      </w:r>
      <w:r w:rsidR="00630E01">
        <w:rPr>
          <w:color w:val="000000"/>
        </w:rPr>
        <w:t>two key issues to consider when calculating the ICOR for medium term economic programming:</w:t>
      </w:r>
    </w:p>
    <w:p w:rsidR="00630E01" w:rsidRDefault="00630E01" w:rsidP="00630E01">
      <w:pPr>
        <w:numPr>
          <w:ilvl w:val="0"/>
          <w:numId w:val="19"/>
        </w:numPr>
        <w:spacing w:before="100" w:beforeAutospacing="1" w:after="100" w:afterAutospacing="1"/>
        <w:rPr>
          <w:color w:val="000000"/>
        </w:rPr>
      </w:pPr>
      <w:r>
        <w:rPr>
          <w:color w:val="000000"/>
        </w:rPr>
        <w:t>GDP g</w:t>
      </w:r>
      <w:r w:rsidRPr="00DA5409">
        <w:rPr>
          <w:color w:val="000000"/>
        </w:rPr>
        <w:t xml:space="preserve">rowth </w:t>
      </w:r>
      <w:r>
        <w:rPr>
          <w:color w:val="000000"/>
        </w:rPr>
        <w:t xml:space="preserve">could originate from </w:t>
      </w:r>
      <w:r w:rsidRPr="00DA5409">
        <w:rPr>
          <w:color w:val="000000"/>
        </w:rPr>
        <w:t xml:space="preserve">factors </w:t>
      </w:r>
      <w:r>
        <w:rPr>
          <w:color w:val="000000"/>
        </w:rPr>
        <w:t xml:space="preserve">other than </w:t>
      </w:r>
      <w:r w:rsidRPr="00DA5409">
        <w:rPr>
          <w:color w:val="000000"/>
        </w:rPr>
        <w:t>investment in new capital</w:t>
      </w:r>
      <w:r>
        <w:rPr>
          <w:color w:val="000000"/>
        </w:rPr>
        <w:t xml:space="preserve"> such as</w:t>
      </w:r>
      <w:r w:rsidRPr="00DA5409">
        <w:rPr>
          <w:color w:val="000000"/>
        </w:rPr>
        <w:t xml:space="preserve"> growth in productivity, production capacity utilization, and </w:t>
      </w:r>
    </w:p>
    <w:p w:rsidR="00F643DF" w:rsidRDefault="00630E01" w:rsidP="00630E01">
      <w:pPr>
        <w:numPr>
          <w:ilvl w:val="0"/>
          <w:numId w:val="19"/>
        </w:numPr>
        <w:spacing w:before="100" w:beforeAutospacing="1" w:after="100" w:afterAutospacing="1"/>
        <w:rPr>
          <w:color w:val="000000"/>
        </w:rPr>
      </w:pPr>
      <w:r w:rsidRPr="00DA5409">
        <w:rPr>
          <w:color w:val="000000"/>
        </w:rPr>
        <w:t xml:space="preserve">The </w:t>
      </w:r>
      <w:r>
        <w:rPr>
          <w:color w:val="000000"/>
        </w:rPr>
        <w:t xml:space="preserve">annual data on the ICOR changes as the lag between investment and GDP changes </w:t>
      </w:r>
      <w:r w:rsidR="00F643DF">
        <w:rPr>
          <w:color w:val="000000"/>
        </w:rPr>
        <w:t xml:space="preserve">depends on the structure of investment and many factors such as investment sentiment and the sectoral investment structure. </w:t>
      </w:r>
    </w:p>
    <w:p w:rsidR="00F643DF" w:rsidRDefault="00F643DF" w:rsidP="00E60264">
      <w:pPr>
        <w:spacing w:before="100" w:beforeAutospacing="1" w:after="100" w:afterAutospacing="1"/>
        <w:ind w:firstLine="360"/>
        <w:rPr>
          <w:color w:val="000000"/>
        </w:rPr>
      </w:pPr>
      <w:r>
        <w:rPr>
          <w:color w:val="000000"/>
        </w:rPr>
        <w:t xml:space="preserve">Therefore, </w:t>
      </w:r>
      <w:r w:rsidR="00630E01" w:rsidRPr="00DA5409">
        <w:rPr>
          <w:color w:val="000000"/>
        </w:rPr>
        <w:t xml:space="preserve">to obtain a reliable relationship the measurement of ICOR </w:t>
      </w:r>
      <w:r>
        <w:rPr>
          <w:color w:val="000000"/>
        </w:rPr>
        <w:t xml:space="preserve">it is advisable to compute the ICOR using data for several years. In addition, the period used </w:t>
      </w:r>
      <w:r w:rsidR="00630E01" w:rsidRPr="00DA5409">
        <w:rPr>
          <w:color w:val="000000"/>
        </w:rPr>
        <w:t>should be as “normal” as possible</w:t>
      </w:r>
      <w:r>
        <w:rPr>
          <w:color w:val="000000"/>
        </w:rPr>
        <w:t xml:space="preserve">. </w:t>
      </w:r>
    </w:p>
    <w:p w:rsidR="00630E01" w:rsidRDefault="00F643DF" w:rsidP="00E60264">
      <w:pPr>
        <w:spacing w:before="100" w:beforeAutospacing="1" w:after="100" w:afterAutospacing="1"/>
        <w:ind w:firstLine="360"/>
        <w:rPr>
          <w:color w:val="000000"/>
        </w:rPr>
      </w:pPr>
      <w:r>
        <w:rPr>
          <w:color w:val="000000"/>
        </w:rPr>
        <w:t>A</w:t>
      </w:r>
      <w:r w:rsidR="00630E01" w:rsidRPr="00DA5409">
        <w:rPr>
          <w:color w:val="000000"/>
        </w:rPr>
        <w:t xml:space="preserve"> pragmatic solution to this problem is to derive ICOR on the basis of several periods</w:t>
      </w:r>
      <w:r>
        <w:rPr>
          <w:color w:val="000000"/>
        </w:rPr>
        <w:t>:</w:t>
      </w:r>
    </w:p>
    <w:p w:rsidR="00F643DF" w:rsidRPr="00DA5409" w:rsidRDefault="00F643DF" w:rsidP="00F643DF">
      <w:pPr>
        <w:spacing w:before="100" w:beforeAutospacing="1" w:after="100" w:afterAutospacing="1"/>
        <w:ind w:left="360"/>
        <w:rPr>
          <w:color w:val="000000"/>
        </w:rPr>
      </w:pPr>
      <w:r>
        <w:rPr>
          <w:color w:val="000000"/>
        </w:rPr>
        <w:t xml:space="preserve">ICOR = </w:t>
      </w:r>
      <w:r w:rsidR="009624D9">
        <w:rPr>
          <w:color w:val="000000"/>
        </w:rPr>
        <w:t>Average annual share of Investment in GDP/ Average annual growth rate o</w:t>
      </w:r>
      <w:r w:rsidR="00DB2D3F">
        <w:rPr>
          <w:color w:val="000000"/>
        </w:rPr>
        <w:t>f</w:t>
      </w:r>
      <w:r w:rsidR="009624D9">
        <w:rPr>
          <w:color w:val="000000"/>
        </w:rPr>
        <w:t xml:space="preserve"> GDP </w:t>
      </w:r>
    </w:p>
    <w:p w:rsidR="009624D9" w:rsidRDefault="009624D9" w:rsidP="00C919E7">
      <w:pPr>
        <w:numPr>
          <w:ilvl w:val="0"/>
          <w:numId w:val="11"/>
        </w:numPr>
        <w:jc w:val="both"/>
        <w:rPr>
          <w:b/>
          <w:bCs/>
          <w:iCs/>
          <w:color w:val="000000"/>
        </w:rPr>
      </w:pPr>
      <w:r w:rsidRPr="00DA5409">
        <w:rPr>
          <w:b/>
          <w:bCs/>
          <w:iCs/>
          <w:color w:val="000000"/>
        </w:rPr>
        <w:t>Example</w:t>
      </w:r>
      <w:r w:rsidR="00C919E7">
        <w:rPr>
          <w:b/>
          <w:bCs/>
          <w:iCs/>
          <w:color w:val="000000"/>
        </w:rPr>
        <w:t xml:space="preserve"> of use of </w:t>
      </w:r>
      <w:r w:rsidR="00573D82">
        <w:rPr>
          <w:b/>
          <w:bCs/>
          <w:iCs/>
          <w:color w:val="000000"/>
        </w:rPr>
        <w:t xml:space="preserve">the </w:t>
      </w:r>
      <w:r w:rsidR="00C919E7">
        <w:rPr>
          <w:b/>
          <w:bCs/>
          <w:iCs/>
          <w:color w:val="000000"/>
        </w:rPr>
        <w:t>ICOR in medium-term economic programming:</w:t>
      </w:r>
    </w:p>
    <w:p w:rsidR="00DB2D3F" w:rsidRDefault="00C919E7" w:rsidP="00DB2D3F">
      <w:pPr>
        <w:spacing w:before="100" w:beforeAutospacing="1" w:after="100" w:afterAutospacing="1"/>
        <w:ind w:firstLine="360"/>
        <w:rPr>
          <w:iCs/>
          <w:color w:val="000000"/>
        </w:rPr>
      </w:pPr>
      <w:r>
        <w:rPr>
          <w:iCs/>
          <w:color w:val="000000"/>
        </w:rPr>
        <w:t>A</w:t>
      </w:r>
      <w:r w:rsidR="009624D9" w:rsidRPr="00DA5409">
        <w:rPr>
          <w:iCs/>
          <w:color w:val="000000"/>
        </w:rPr>
        <w:t xml:space="preserve"> country has an investment rate of </w:t>
      </w:r>
      <w:r>
        <w:rPr>
          <w:iCs/>
          <w:color w:val="000000"/>
        </w:rPr>
        <w:t>12</w:t>
      </w:r>
      <w:r w:rsidR="009624D9" w:rsidRPr="00DA5409">
        <w:rPr>
          <w:iCs/>
          <w:color w:val="000000"/>
        </w:rPr>
        <w:t xml:space="preserve"> percent of GDP and an ICOR of </w:t>
      </w:r>
      <w:r>
        <w:rPr>
          <w:iCs/>
          <w:color w:val="000000"/>
        </w:rPr>
        <w:t>4</w:t>
      </w:r>
      <w:r w:rsidR="009624D9" w:rsidRPr="00DA5409">
        <w:rPr>
          <w:iCs/>
          <w:color w:val="000000"/>
        </w:rPr>
        <w:t xml:space="preserve">, </w:t>
      </w:r>
      <w:r w:rsidR="00DB2D3F">
        <w:rPr>
          <w:iCs/>
          <w:color w:val="000000"/>
        </w:rPr>
        <w:t xml:space="preserve">GDP </w:t>
      </w:r>
      <w:r w:rsidR="009624D9" w:rsidRPr="00DA5409">
        <w:rPr>
          <w:iCs/>
          <w:color w:val="000000"/>
        </w:rPr>
        <w:t>growth w</w:t>
      </w:r>
      <w:r w:rsidR="00DB2D3F">
        <w:rPr>
          <w:iCs/>
          <w:color w:val="000000"/>
        </w:rPr>
        <w:t xml:space="preserve">ould be </w:t>
      </w:r>
      <w:r>
        <w:rPr>
          <w:iCs/>
          <w:color w:val="000000"/>
        </w:rPr>
        <w:t>3</w:t>
      </w:r>
      <w:r w:rsidR="00DB2D3F">
        <w:rPr>
          <w:iCs/>
          <w:color w:val="000000"/>
        </w:rPr>
        <w:t xml:space="preserve"> </w:t>
      </w:r>
      <w:r w:rsidR="00A76465">
        <w:rPr>
          <w:iCs/>
          <w:color w:val="000000"/>
        </w:rPr>
        <w:t xml:space="preserve">percent </w:t>
      </w:r>
      <w:r w:rsidR="00A76465" w:rsidRPr="00DA5409">
        <w:rPr>
          <w:iCs/>
          <w:color w:val="000000"/>
        </w:rPr>
        <w:t>per</w:t>
      </w:r>
      <w:r w:rsidR="009624D9" w:rsidRPr="00DA5409">
        <w:rPr>
          <w:iCs/>
          <w:color w:val="000000"/>
        </w:rPr>
        <w:t xml:space="preserve"> year. If the population is growing </w:t>
      </w:r>
      <w:r w:rsidR="00DB2D3F">
        <w:rPr>
          <w:iCs/>
          <w:color w:val="000000"/>
        </w:rPr>
        <w:t xml:space="preserve">less than 4 percent, </w:t>
      </w:r>
      <w:r w:rsidR="009624D9" w:rsidRPr="00DA5409">
        <w:rPr>
          <w:iCs/>
          <w:color w:val="000000"/>
        </w:rPr>
        <w:t xml:space="preserve">GDP per capita will </w:t>
      </w:r>
      <w:r>
        <w:rPr>
          <w:iCs/>
          <w:color w:val="000000"/>
        </w:rPr>
        <w:t>fall</w:t>
      </w:r>
      <w:r w:rsidR="009624D9" w:rsidRPr="00DA5409">
        <w:rPr>
          <w:iCs/>
          <w:color w:val="000000"/>
        </w:rPr>
        <w:t>.</w:t>
      </w:r>
      <w:r>
        <w:rPr>
          <w:iCs/>
          <w:color w:val="000000"/>
        </w:rPr>
        <w:t xml:space="preserve"> The objective would be in this case to design policies aimed at raising the rate of investment and increasing the productivity of investment (reducing the ICOR). </w:t>
      </w:r>
    </w:p>
    <w:p w:rsidR="00903DED" w:rsidRDefault="00903DED" w:rsidP="00903DED">
      <w:pPr>
        <w:numPr>
          <w:ilvl w:val="0"/>
          <w:numId w:val="11"/>
        </w:numPr>
        <w:spacing w:before="100" w:beforeAutospacing="1" w:after="100" w:afterAutospacing="1"/>
        <w:rPr>
          <w:b/>
          <w:iCs/>
        </w:rPr>
      </w:pPr>
      <w:r w:rsidRPr="00903DED">
        <w:rPr>
          <w:b/>
          <w:iCs/>
        </w:rPr>
        <w:t>Foreign Financing Constraint</w:t>
      </w:r>
    </w:p>
    <w:p w:rsidR="00073B50" w:rsidRDefault="00A4009A" w:rsidP="00F732BA">
      <w:pPr>
        <w:spacing w:before="100" w:beforeAutospacing="1" w:after="100" w:afterAutospacing="1"/>
        <w:ind w:firstLine="360"/>
        <w:rPr>
          <w:iCs/>
        </w:rPr>
      </w:pPr>
      <w:r>
        <w:rPr>
          <w:iCs/>
        </w:rPr>
        <w:t xml:space="preserve">The simple IMF financial programming real GDP growth is exogenous </w:t>
      </w:r>
      <w:r w:rsidR="00073B50">
        <w:rPr>
          <w:iCs/>
        </w:rPr>
        <w:t xml:space="preserve">as the </w:t>
      </w:r>
      <w:r>
        <w:rPr>
          <w:iCs/>
        </w:rPr>
        <w:t xml:space="preserve">focus is on financial flows </w:t>
      </w:r>
      <w:r w:rsidR="00073B50">
        <w:rPr>
          <w:iCs/>
        </w:rPr>
        <w:t xml:space="preserve">to target inflation and </w:t>
      </w:r>
      <w:r>
        <w:rPr>
          <w:iCs/>
        </w:rPr>
        <w:t xml:space="preserve">the Balance of Payments (dR). In the World Bank </w:t>
      </w:r>
      <w:r w:rsidR="00073B50">
        <w:rPr>
          <w:iCs/>
        </w:rPr>
        <w:t xml:space="preserve">inflation is exogenous as the focus is on investment and savings to target real GDP growth. The so called RMSM-X growth, inflation, and the balance of payments are determined simultaneously by merging the IMF and World Bank </w:t>
      </w:r>
      <w:r>
        <w:rPr>
          <w:iCs/>
        </w:rPr>
        <w:t xml:space="preserve">RMSM </w:t>
      </w:r>
      <w:r w:rsidR="00073B50">
        <w:rPr>
          <w:iCs/>
        </w:rPr>
        <w:t xml:space="preserve">models. </w:t>
      </w:r>
    </w:p>
    <w:p w:rsidR="00014319" w:rsidRDefault="00073B50" w:rsidP="00F732BA">
      <w:pPr>
        <w:spacing w:before="100" w:beforeAutospacing="1" w:after="100" w:afterAutospacing="1"/>
        <w:ind w:firstLine="360"/>
        <w:rPr>
          <w:iCs/>
        </w:rPr>
      </w:pPr>
      <w:r>
        <w:rPr>
          <w:iCs/>
        </w:rPr>
        <w:t xml:space="preserve">In the RMSM-X model the </w:t>
      </w:r>
      <w:r w:rsidR="005D13B9">
        <w:rPr>
          <w:iCs/>
        </w:rPr>
        <w:t xml:space="preserve">financing of investment </w:t>
      </w:r>
      <w:r>
        <w:rPr>
          <w:iCs/>
        </w:rPr>
        <w:t xml:space="preserve">becomes a </w:t>
      </w:r>
      <w:r w:rsidR="005D13B9">
        <w:rPr>
          <w:iCs/>
        </w:rPr>
        <w:t xml:space="preserve">crucial issue </w:t>
      </w:r>
      <w:r>
        <w:rPr>
          <w:iCs/>
        </w:rPr>
        <w:t xml:space="preserve">for </w:t>
      </w:r>
      <w:r w:rsidR="005D13B9">
        <w:rPr>
          <w:iCs/>
        </w:rPr>
        <w:t xml:space="preserve">medium-term growth as part of investment is financed with </w:t>
      </w:r>
      <w:r w:rsidR="00014319">
        <w:rPr>
          <w:iCs/>
        </w:rPr>
        <w:t xml:space="preserve">external savings, which amounts to the </w:t>
      </w:r>
      <w:r w:rsidR="00903DED">
        <w:rPr>
          <w:iCs/>
        </w:rPr>
        <w:t>size of the current account balance with opposite sign: a positive amount of external savings implies a current account deficit</w:t>
      </w:r>
      <w:r w:rsidR="00014319">
        <w:rPr>
          <w:iCs/>
        </w:rPr>
        <w:t xml:space="preserve">. A current account deficit needs to </w:t>
      </w:r>
      <w:r w:rsidR="00903DED">
        <w:rPr>
          <w:iCs/>
        </w:rPr>
        <w:t xml:space="preserve">be financed with capital inflows and/or international reserves. </w:t>
      </w:r>
    </w:p>
    <w:p w:rsidR="00014319" w:rsidRDefault="00014319" w:rsidP="00F732BA">
      <w:pPr>
        <w:spacing w:before="100" w:beforeAutospacing="1" w:after="100" w:afterAutospacing="1"/>
        <w:ind w:firstLine="360"/>
        <w:rPr>
          <w:iCs/>
        </w:rPr>
      </w:pPr>
      <w:r>
        <w:rPr>
          <w:iCs/>
        </w:rPr>
        <w:t>From equation (1) we obtain:</w:t>
      </w:r>
    </w:p>
    <w:p w:rsidR="00014319" w:rsidRDefault="00014319" w:rsidP="00014319">
      <w:pPr>
        <w:spacing w:before="100" w:beforeAutospacing="1" w:after="100" w:afterAutospacing="1"/>
        <w:rPr>
          <w:iCs/>
        </w:rPr>
      </w:pPr>
      <w:r>
        <w:rPr>
          <w:iCs/>
        </w:rPr>
        <w:lastRenderedPageBreak/>
        <w:t>(12)</w:t>
      </w:r>
      <w:r>
        <w:rPr>
          <w:iCs/>
        </w:rPr>
        <w:tab/>
        <w:t>I = Sn –dR +dF</w:t>
      </w:r>
    </w:p>
    <w:p w:rsidR="00014319" w:rsidRDefault="00014319" w:rsidP="00014319">
      <w:pPr>
        <w:spacing w:before="100" w:beforeAutospacing="1" w:after="100" w:afterAutospacing="1"/>
        <w:ind w:firstLine="360"/>
        <w:rPr>
          <w:iCs/>
        </w:rPr>
      </w:pPr>
      <w:r>
        <w:rPr>
          <w:iCs/>
        </w:rPr>
        <w:t>Combining (11</w:t>
      </w:r>
      <w:r w:rsidR="00722122">
        <w:rPr>
          <w:iCs/>
        </w:rPr>
        <w:t>)</w:t>
      </w:r>
      <w:r>
        <w:rPr>
          <w:iCs/>
        </w:rPr>
        <w:t xml:space="preserve"> and (12</w:t>
      </w:r>
      <w:r w:rsidR="0083240C">
        <w:rPr>
          <w:iCs/>
        </w:rPr>
        <w:t>) :</w:t>
      </w:r>
    </w:p>
    <w:p w:rsidR="00014319" w:rsidRDefault="00014319" w:rsidP="00014319">
      <w:pPr>
        <w:spacing w:before="100" w:beforeAutospacing="1" w:after="100" w:afterAutospacing="1"/>
        <w:rPr>
          <w:color w:val="000000"/>
        </w:rPr>
      </w:pPr>
      <w:r>
        <w:rPr>
          <w:iCs/>
        </w:rPr>
        <w:t xml:space="preserve">(13) </w:t>
      </w:r>
      <w:r>
        <w:rPr>
          <w:iCs/>
        </w:rPr>
        <w:tab/>
      </w:r>
      <w:r>
        <w:rPr>
          <w:color w:val="000000"/>
        </w:rPr>
        <w:t>(yt – yt-1)/yt-1 = [</w:t>
      </w:r>
      <w:r w:rsidR="00E60264">
        <w:rPr>
          <w:color w:val="000000"/>
        </w:rPr>
        <w:t>(</w:t>
      </w:r>
      <w:r w:rsidR="00E60264">
        <w:rPr>
          <w:iCs/>
        </w:rPr>
        <w:t>Snt-1 –dRt-1 +dFt-1)</w:t>
      </w:r>
      <w:r>
        <w:rPr>
          <w:color w:val="000000"/>
        </w:rPr>
        <w:t>/</w:t>
      </w:r>
      <w:smartTag w:uri="urn:schemas-microsoft-com:office:smarttags" w:element="place">
        <w:smartTag w:uri="urn:schemas-microsoft-com:office:smarttags" w:element="State">
          <w:r>
            <w:rPr>
              <w:color w:val="000000"/>
            </w:rPr>
            <w:t>yt-</w:t>
          </w:r>
        </w:smartTag>
      </w:smartTag>
      <w:r>
        <w:rPr>
          <w:color w:val="000000"/>
        </w:rPr>
        <w:t>1)/ICOR</w:t>
      </w:r>
    </w:p>
    <w:p w:rsidR="00E60264" w:rsidRDefault="00E60264" w:rsidP="00014319">
      <w:pPr>
        <w:spacing w:before="100" w:beforeAutospacing="1" w:after="100" w:afterAutospacing="1"/>
        <w:rPr>
          <w:color w:val="000000"/>
        </w:rPr>
      </w:pPr>
      <w:r>
        <w:rPr>
          <w:color w:val="000000"/>
        </w:rPr>
        <w:tab/>
        <w:t xml:space="preserve">Equation (13) tells that the financing of GDP growth would be limited by the size of national savings (Sn), the extent to which international reserves can be depleted, and the availability of foreign resources (dF). </w:t>
      </w:r>
      <w:r w:rsidR="00073B50">
        <w:rPr>
          <w:color w:val="000000"/>
        </w:rPr>
        <w:t xml:space="preserve">As national savings is made up of private and government savings policies and </w:t>
      </w:r>
      <w:r w:rsidR="003D405E">
        <w:rPr>
          <w:color w:val="000000"/>
        </w:rPr>
        <w:t xml:space="preserve">improve the competitiveness of the financial system become essential to promote private savings. </w:t>
      </w:r>
      <w:r w:rsidR="0083240C">
        <w:rPr>
          <w:color w:val="000000"/>
        </w:rPr>
        <w:t>Policies</w:t>
      </w:r>
      <w:r w:rsidR="003D405E">
        <w:rPr>
          <w:color w:val="000000"/>
        </w:rPr>
        <w:t xml:space="preserve"> to promote a more efficient public sector are also crucial to stimulate government savings. </w:t>
      </w:r>
      <w:r w:rsidR="00073B50">
        <w:rPr>
          <w:color w:val="000000"/>
        </w:rPr>
        <w:t xml:space="preserve"> </w:t>
      </w:r>
    </w:p>
    <w:p w:rsidR="00E60264" w:rsidRDefault="00E60264" w:rsidP="00E60264">
      <w:pPr>
        <w:spacing w:before="100" w:beforeAutospacing="1" w:after="100" w:afterAutospacing="1"/>
        <w:ind w:firstLine="360"/>
        <w:rPr>
          <w:iCs/>
          <w:color w:val="000000"/>
        </w:rPr>
      </w:pPr>
      <w:r>
        <w:rPr>
          <w:iCs/>
          <w:color w:val="000000"/>
        </w:rPr>
        <w:t>As investment is financed with national + external savings structural policies would aim at promoting additional national savings (private and public) and increasing the availability of external finance (external savings) such as expanding the export capacity and improving the climate for foreign investment. Policies aimed at increasing the efficiency of investment would also be relevant such as reducing rigidities in the labor and capital markets, improving the efficiency of public investment, and improving human capital though education and health reforms.</w:t>
      </w:r>
    </w:p>
    <w:p w:rsidR="00E60264" w:rsidRDefault="00E60264" w:rsidP="00014319">
      <w:pPr>
        <w:spacing w:before="100" w:beforeAutospacing="1" w:after="100" w:afterAutospacing="1"/>
        <w:rPr>
          <w:color w:val="000000"/>
        </w:rPr>
      </w:pPr>
    </w:p>
    <w:p w:rsidR="00014319" w:rsidRDefault="00014319" w:rsidP="00014319">
      <w:pPr>
        <w:spacing w:before="100" w:beforeAutospacing="1" w:after="100" w:afterAutospacing="1"/>
        <w:ind w:firstLine="360"/>
        <w:rPr>
          <w:iCs/>
        </w:rPr>
      </w:pPr>
    </w:p>
    <w:p w:rsidR="00014319" w:rsidRDefault="00014319" w:rsidP="00014319">
      <w:pPr>
        <w:spacing w:before="100" w:beforeAutospacing="1" w:after="100" w:afterAutospacing="1"/>
        <w:ind w:firstLine="360"/>
        <w:rPr>
          <w:iCs/>
        </w:rPr>
      </w:pPr>
    </w:p>
    <w:p w:rsidR="00F732BA" w:rsidRDefault="00014319" w:rsidP="00F732BA">
      <w:pPr>
        <w:spacing w:before="100" w:beforeAutospacing="1" w:after="100" w:afterAutospacing="1"/>
        <w:ind w:firstLine="360"/>
        <w:rPr>
          <w:iCs/>
          <w:color w:val="000000"/>
        </w:rPr>
      </w:pPr>
      <w:r>
        <w:rPr>
          <w:iCs/>
        </w:rPr>
        <w:t xml:space="preserve"> </w:t>
      </w:r>
    </w:p>
    <w:p w:rsidR="00573D82" w:rsidRPr="00573D82" w:rsidRDefault="00573D82" w:rsidP="001C206E">
      <w:pPr>
        <w:spacing w:before="100" w:beforeAutospacing="1" w:after="100" w:afterAutospacing="1"/>
        <w:ind w:left="360"/>
        <w:jc w:val="center"/>
        <w:rPr>
          <w:b/>
          <w:iCs/>
          <w:color w:val="000000"/>
          <w:sz w:val="28"/>
          <w:szCs w:val="28"/>
        </w:rPr>
      </w:pPr>
      <w:r>
        <w:rPr>
          <w:iCs/>
          <w:color w:val="000000"/>
        </w:rPr>
        <w:br w:type="page"/>
      </w:r>
      <w:r w:rsidRPr="00573D82">
        <w:rPr>
          <w:b/>
          <w:iCs/>
          <w:color w:val="000000"/>
          <w:sz w:val="28"/>
          <w:szCs w:val="28"/>
        </w:rPr>
        <w:lastRenderedPageBreak/>
        <w:t>Appendix</w:t>
      </w:r>
    </w:p>
    <w:p w:rsidR="00D054A7" w:rsidRDefault="00C33495" w:rsidP="00573D82">
      <w:pPr>
        <w:spacing w:before="100" w:beforeAutospacing="1" w:after="100" w:afterAutospacing="1"/>
        <w:jc w:val="center"/>
        <w:rPr>
          <w:b/>
        </w:rPr>
      </w:pPr>
      <w:r w:rsidRPr="00DB2D3F">
        <w:rPr>
          <w:b/>
        </w:rPr>
        <w:t xml:space="preserve">Structure of a Financial Programming Model Data Base, </w:t>
      </w:r>
      <w:r w:rsidR="00D054A7" w:rsidRPr="00DB2D3F">
        <w:rPr>
          <w:b/>
        </w:rPr>
        <w:t xml:space="preserve">Exogenous and </w:t>
      </w:r>
      <w:r w:rsidRPr="00DB2D3F">
        <w:rPr>
          <w:b/>
        </w:rPr>
        <w:t>E</w:t>
      </w:r>
      <w:r w:rsidR="00D054A7" w:rsidRPr="00DB2D3F">
        <w:rPr>
          <w:b/>
        </w:rPr>
        <w:t xml:space="preserve">ndogenous variables, </w:t>
      </w:r>
      <w:r w:rsidRPr="00DB2D3F">
        <w:rPr>
          <w:b/>
        </w:rPr>
        <w:t>D</w:t>
      </w:r>
      <w:r w:rsidR="00D054A7" w:rsidRPr="00DB2D3F">
        <w:rPr>
          <w:b/>
        </w:rPr>
        <w:t xml:space="preserve">ata sources, and </w:t>
      </w:r>
      <w:r w:rsidRPr="00DB2D3F">
        <w:rPr>
          <w:b/>
        </w:rPr>
        <w:t>P</w:t>
      </w:r>
      <w:r w:rsidR="00D054A7" w:rsidRPr="00DB2D3F">
        <w:rPr>
          <w:b/>
        </w:rPr>
        <w:t xml:space="preserve">otential </w:t>
      </w:r>
      <w:r w:rsidRPr="00DB2D3F">
        <w:rPr>
          <w:b/>
        </w:rPr>
        <w:t>D</w:t>
      </w:r>
      <w:r w:rsidR="00D054A7" w:rsidRPr="00DB2D3F">
        <w:rPr>
          <w:b/>
        </w:rPr>
        <w:t xml:space="preserve">ata </w:t>
      </w:r>
      <w:r w:rsidRPr="00DB2D3F">
        <w:rPr>
          <w:b/>
        </w:rPr>
        <w:t>I</w:t>
      </w:r>
      <w:r w:rsidR="00D054A7" w:rsidRPr="00DB2D3F">
        <w:rPr>
          <w:b/>
        </w:rPr>
        <w:t>ssues.</w:t>
      </w:r>
    </w:p>
    <w:p w:rsidR="005B6D7A" w:rsidRDefault="00A01ABC" w:rsidP="005B6D7A">
      <w:pPr>
        <w:spacing w:before="100" w:beforeAutospacing="1" w:after="100" w:afterAutospacing="1"/>
        <w:ind w:left="360"/>
      </w:pPr>
      <w:r>
        <w:pict>
          <v:group id="_x0000_s1044" editas="canvas" style="width:431.5pt;height:461.15pt;mso-position-horizontal-relative:char;mso-position-vertical-relative:line" coordsize="8630,922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width:8630;height:9223" o:preferrelative="f">
              <v:fill o:detectmouseclick="t"/>
              <v:path o:extrusionok="t" o:connecttype="none"/>
              <o:lock v:ext="edit" text="t"/>
            </v:shape>
            <v:rect id="_x0000_s1045" style="position:absolute;left:364;top:13;width:2194;height:138;mso-wrap-style:none" filled="f" stroked="f">
              <v:textbox style="mso-fit-shape-to-text:t" inset="0,0,0,0">
                <w:txbxContent>
                  <w:p w:rsidR="004422BA" w:rsidRDefault="004422BA">
                    <w:r>
                      <w:rPr>
                        <w:rFonts w:ascii="Arial" w:hAnsi="Arial" w:cs="Arial"/>
                        <w:b/>
                        <w:bCs/>
                        <w:color w:val="000000"/>
                        <w:sz w:val="12"/>
                        <w:szCs w:val="12"/>
                      </w:rPr>
                      <w:t>TABLE 1: FINANCIAL PROGRAMMING</w:t>
                    </w:r>
                  </w:p>
                </w:txbxContent>
              </v:textbox>
            </v:rect>
            <v:rect id="_x0000_s1046" style="position:absolute;left:364;top:163;width:3327;height:138;mso-wrap-style:none" filled="f" stroked="f">
              <v:textbox style="mso-fit-shape-to-text:t" inset="0,0,0,0">
                <w:txbxContent>
                  <w:p w:rsidR="004422BA" w:rsidRDefault="004422BA">
                    <w:r>
                      <w:rPr>
                        <w:rFonts w:ascii="Arial" w:hAnsi="Arial" w:cs="Arial"/>
                        <w:b/>
                        <w:bCs/>
                        <w:color w:val="000000"/>
                        <w:sz w:val="12"/>
                        <w:szCs w:val="12"/>
                      </w:rPr>
                      <w:t>STRUCTURE OF FINANCIAL PROGRAMMING DATA BASE</w:t>
                    </w:r>
                  </w:p>
                </w:txbxContent>
              </v:textbox>
            </v:rect>
            <v:rect id="_x0000_s1047" style="position:absolute;left:4378;top:325;width:1827;height:138;mso-wrap-style:none" filled="f" stroked="f">
              <v:textbox style="mso-fit-shape-to-text:t" inset="0,0,0,0">
                <w:txbxContent>
                  <w:p w:rsidR="004422BA" w:rsidRDefault="004422BA">
                    <w:r>
                      <w:rPr>
                        <w:rFonts w:ascii="Arial" w:hAnsi="Arial" w:cs="Arial"/>
                        <w:b/>
                        <w:bCs/>
                        <w:color w:val="000000"/>
                        <w:sz w:val="12"/>
                        <w:szCs w:val="12"/>
                      </w:rPr>
                      <w:t xml:space="preserve">MACROECONOMIC ACCOUNTS </w:t>
                    </w:r>
                  </w:p>
                </w:txbxContent>
              </v:textbox>
            </v:rect>
            <v:rect id="_x0000_s1048" style="position:absolute;left:364;top:476;width:3440;height:138;mso-wrap-style:none" filled="f" stroked="f">
              <v:textbox style="mso-fit-shape-to-text:t" inset="0,0,0,0">
                <w:txbxContent>
                  <w:p w:rsidR="004422BA" w:rsidRDefault="004422BA">
                    <w:r>
                      <w:rPr>
                        <w:rFonts w:ascii="Arial" w:hAnsi="Arial" w:cs="Arial"/>
                        <w:b/>
                        <w:bCs/>
                        <w:color w:val="000000"/>
                        <w:sz w:val="12"/>
                        <w:szCs w:val="12"/>
                      </w:rPr>
                      <w:t>SECTORAL BREAKDOWN FOR FINANCIAL PROGRAMMING</w:t>
                    </w:r>
                  </w:p>
                </w:txbxContent>
              </v:textbox>
            </v:rect>
            <v:rect id="_x0000_s1049" style="position:absolute;left:4378;top:476;width:1334;height:138;mso-wrap-style:none" filled="f" stroked="f">
              <v:textbox style="mso-fit-shape-to-text:t" inset="0,0,0,0">
                <w:txbxContent>
                  <w:p w:rsidR="004422BA" w:rsidRDefault="004422BA">
                    <w:r>
                      <w:rPr>
                        <w:rFonts w:ascii="Arial" w:hAnsi="Arial" w:cs="Arial"/>
                        <w:b/>
                        <w:bCs/>
                        <w:color w:val="000000"/>
                        <w:sz w:val="12"/>
                        <w:szCs w:val="12"/>
                      </w:rPr>
                      <w:t>INTERRELATIONSHIPS</w:t>
                    </w:r>
                  </w:p>
                </w:txbxContent>
              </v:textbox>
            </v:rect>
            <v:rect id="_x0000_s1050" style="position:absolute;left:25;top:788;width:147;height:138;mso-wrap-style:none" filled="f" stroked="f">
              <v:textbox style="mso-fit-shape-to-text:t" inset="0,0,0,0">
                <w:txbxContent>
                  <w:p w:rsidR="004422BA" w:rsidRDefault="004422BA">
                    <w:r>
                      <w:rPr>
                        <w:rFonts w:ascii="Arial" w:hAnsi="Arial" w:cs="Arial"/>
                        <w:color w:val="000000"/>
                        <w:sz w:val="12"/>
                        <w:szCs w:val="12"/>
                      </w:rPr>
                      <w:t>A5</w:t>
                    </w:r>
                  </w:p>
                </w:txbxContent>
              </v:textbox>
            </v:rect>
            <v:rect id="_x0000_s1051" style="position:absolute;left:364;top:788;width:1334;height:138;mso-wrap-style:none" filled="f" stroked="f">
              <v:textbox style="mso-fit-shape-to-text:t" inset="0,0,0,0">
                <w:txbxContent>
                  <w:p w:rsidR="004422BA" w:rsidRDefault="004422BA">
                    <w:r>
                      <w:rPr>
                        <w:rFonts w:ascii="Arial" w:hAnsi="Arial" w:cs="Arial"/>
                        <w:b/>
                        <w:bCs/>
                        <w:color w:val="000000"/>
                        <w:sz w:val="12"/>
                        <w:szCs w:val="12"/>
                      </w:rPr>
                      <w:t>NATIONAL ACCOUNTS</w:t>
                    </w:r>
                  </w:p>
                </w:txbxContent>
              </v:textbox>
            </v:rect>
            <v:rect id="_x0000_s1052" style="position:absolute;left:25;top:939;width:147;height:138;mso-wrap-style:none" filled="f" stroked="f">
              <v:textbox style="mso-fit-shape-to-text:t" inset="0,0,0,0">
                <w:txbxContent>
                  <w:p w:rsidR="004422BA" w:rsidRDefault="004422BA">
                    <w:r>
                      <w:rPr>
                        <w:rFonts w:ascii="Arial" w:hAnsi="Arial" w:cs="Arial"/>
                        <w:color w:val="000000"/>
                        <w:sz w:val="12"/>
                        <w:szCs w:val="12"/>
                      </w:rPr>
                      <w:t>A6</w:t>
                    </w:r>
                  </w:p>
                </w:txbxContent>
              </v:textbox>
            </v:rect>
            <v:rect id="_x0000_s1053" style="position:absolute;left:364;top:939;width:1621;height:138;mso-wrap-style:none" filled="f" stroked="f">
              <v:textbox style="mso-fit-shape-to-text:t" inset="0,0,0,0">
                <w:txbxContent>
                  <w:p w:rsidR="004422BA" w:rsidRDefault="004422BA">
                    <w:r>
                      <w:rPr>
                        <w:rFonts w:ascii="Arial" w:hAnsi="Arial" w:cs="Arial"/>
                        <w:color w:val="000000"/>
                        <w:sz w:val="12"/>
                        <w:szCs w:val="12"/>
                      </w:rPr>
                      <w:t>Total GDPmp (by econ setors)</w:t>
                    </w:r>
                  </w:p>
                </w:txbxContent>
              </v:textbox>
            </v:rect>
            <v:rect id="_x0000_s1054" style="position:absolute;left:4378;top:939;width:217;height:138;mso-wrap-style:none" filled="f" stroked="f">
              <v:textbox style="mso-fit-shape-to-text:t" inset="0,0,0,0">
                <w:txbxContent>
                  <w:p w:rsidR="004422BA" w:rsidRDefault="004422BA">
                    <w:r>
                      <w:rPr>
                        <w:rFonts w:ascii="Arial" w:hAnsi="Arial" w:cs="Arial"/>
                        <w:color w:val="000000"/>
                        <w:sz w:val="12"/>
                        <w:szCs w:val="12"/>
                      </w:rPr>
                      <w:t>=A8</w:t>
                    </w:r>
                  </w:p>
                </w:txbxContent>
              </v:textbox>
            </v:rect>
            <v:rect id="_x0000_s1055" style="position:absolute;left:25;top:1101;width:147;height:138;mso-wrap-style:none" filled="f" stroked="f">
              <v:textbox style="mso-fit-shape-to-text:t" inset="0,0,0,0">
                <w:txbxContent>
                  <w:p w:rsidR="004422BA" w:rsidRDefault="004422BA">
                    <w:r>
                      <w:rPr>
                        <w:rFonts w:ascii="Arial" w:hAnsi="Arial" w:cs="Arial"/>
                        <w:color w:val="000000"/>
                        <w:sz w:val="12"/>
                        <w:szCs w:val="12"/>
                      </w:rPr>
                      <w:t>A7</w:t>
                    </w:r>
                  </w:p>
                </w:txbxContent>
              </v:textbox>
            </v:rect>
            <v:rect id="_x0000_s1056" style="position:absolute;left:25;top:1251;width:147;height:138;mso-wrap-style:none" filled="f" stroked="f">
              <v:textbox style="mso-fit-shape-to-text:t" inset="0,0,0,0">
                <w:txbxContent>
                  <w:p w:rsidR="004422BA" w:rsidRDefault="004422BA">
                    <w:r>
                      <w:rPr>
                        <w:rFonts w:ascii="Arial" w:hAnsi="Arial" w:cs="Arial"/>
                        <w:color w:val="000000"/>
                        <w:sz w:val="12"/>
                        <w:szCs w:val="12"/>
                      </w:rPr>
                      <w:t>A8</w:t>
                    </w:r>
                  </w:p>
                </w:txbxContent>
              </v:textbox>
            </v:rect>
            <v:rect id="_x0000_s1057" style="position:absolute;left:364;top:1251;width:1628;height:138;mso-wrap-style:none" filled="f" stroked="f">
              <v:textbox style="mso-fit-shape-to-text:t" inset="0,0,0,0">
                <w:txbxContent>
                  <w:p w:rsidR="004422BA" w:rsidRDefault="004422BA">
                    <w:r>
                      <w:rPr>
                        <w:rFonts w:ascii="Arial" w:hAnsi="Arial" w:cs="Arial"/>
                        <w:color w:val="000000"/>
                        <w:sz w:val="12"/>
                        <w:szCs w:val="12"/>
                      </w:rPr>
                      <w:t>Total GDPmp (by expenditure)</w:t>
                    </w:r>
                  </w:p>
                </w:txbxContent>
              </v:textbox>
            </v:rect>
            <v:rect id="_x0000_s1058" style="position:absolute;left:4378;top:1251;width:1038;height:138;mso-wrap-style:none" filled="f" stroked="f">
              <v:textbox style="mso-fit-shape-to-text:t" inset="0,0,0,0">
                <w:txbxContent>
                  <w:p w:rsidR="004422BA" w:rsidRDefault="004422BA">
                    <w:r>
                      <w:rPr>
                        <w:rFonts w:ascii="Arial" w:hAnsi="Arial" w:cs="Arial"/>
                        <w:color w:val="000000"/>
                        <w:sz w:val="12"/>
                        <w:szCs w:val="12"/>
                      </w:rPr>
                      <w:t>=A</w:t>
                    </w:r>
                    <w:r w:rsidR="00FC36C1">
                      <w:rPr>
                        <w:rFonts w:ascii="Arial" w:hAnsi="Arial" w:cs="Arial"/>
                        <w:color w:val="000000"/>
                        <w:sz w:val="12"/>
                        <w:szCs w:val="12"/>
                      </w:rPr>
                      <w:t>5</w:t>
                    </w:r>
                    <w:r>
                      <w:rPr>
                        <w:rFonts w:ascii="Arial" w:hAnsi="Arial" w:cs="Arial"/>
                        <w:color w:val="000000"/>
                        <w:sz w:val="12"/>
                        <w:szCs w:val="12"/>
                      </w:rPr>
                      <w:t>+A11+A16-A17</w:t>
                    </w:r>
                  </w:p>
                </w:txbxContent>
              </v:textbox>
            </v:rect>
            <v:rect id="_x0000_s1059" style="position:absolute;left:25;top:1414;width:147;height:138;mso-wrap-style:none" filled="f" stroked="f">
              <v:textbox style="mso-fit-shape-to-text:t" inset="0,0,0,0">
                <w:txbxContent>
                  <w:p w:rsidR="004422BA" w:rsidRDefault="004422BA">
                    <w:r>
                      <w:rPr>
                        <w:rFonts w:ascii="Arial" w:hAnsi="Arial" w:cs="Arial"/>
                        <w:color w:val="000000"/>
                        <w:sz w:val="12"/>
                        <w:szCs w:val="12"/>
                      </w:rPr>
                      <w:t>A9</w:t>
                    </w:r>
                  </w:p>
                </w:txbxContent>
              </v:textbox>
            </v:rect>
            <v:rect id="_x0000_s1060" style="position:absolute;left:364;top:1414;width:1074;height:138;mso-wrap-style:none" filled="f" stroked="f">
              <v:textbox style="mso-fit-shape-to-text:t" inset="0,0,0,0">
                <w:txbxContent>
                  <w:p w:rsidR="004422BA" w:rsidRDefault="004422BA">
                    <w:r>
                      <w:rPr>
                        <w:rFonts w:ascii="Arial" w:hAnsi="Arial" w:cs="Arial"/>
                        <w:color w:val="000000"/>
                        <w:sz w:val="12"/>
                        <w:szCs w:val="12"/>
                      </w:rPr>
                      <w:t xml:space="preserve">  Total Consumption</w:t>
                    </w:r>
                  </w:p>
                </w:txbxContent>
              </v:textbox>
            </v:rect>
            <v:rect id="_x0000_s1061" style="position:absolute;left:25;top:1564;width:214;height:138;mso-wrap-style:none" filled="f" stroked="f">
              <v:textbox style="mso-fit-shape-to-text:t" inset="0,0,0,0">
                <w:txbxContent>
                  <w:p w:rsidR="004422BA" w:rsidRDefault="004422BA">
                    <w:r>
                      <w:rPr>
                        <w:rFonts w:ascii="Arial" w:hAnsi="Arial" w:cs="Arial"/>
                        <w:color w:val="000000"/>
                        <w:sz w:val="12"/>
                        <w:szCs w:val="12"/>
                      </w:rPr>
                      <w:t>A10</w:t>
                    </w:r>
                  </w:p>
                </w:txbxContent>
              </v:textbox>
            </v:rect>
            <v:rect id="_x0000_s1062" style="position:absolute;left:364;top:1564;width:1248;height:138;mso-wrap-style:none" filled="f" stroked="f">
              <v:textbox style="mso-fit-shape-to-text:t" inset="0,0,0,0">
                <w:txbxContent>
                  <w:p w:rsidR="004422BA" w:rsidRDefault="004422BA">
                    <w:r>
                      <w:rPr>
                        <w:rFonts w:ascii="Arial" w:hAnsi="Arial" w:cs="Arial"/>
                        <w:color w:val="000000"/>
                        <w:sz w:val="12"/>
                        <w:szCs w:val="12"/>
                      </w:rPr>
                      <w:t xml:space="preserve">    Private Consumption</w:t>
                    </w:r>
                  </w:p>
                </w:txbxContent>
              </v:textbox>
            </v:rect>
            <v:rect id="_x0000_s1063" style="position:absolute;left:25;top:1714;width:214;height:138;mso-wrap-style:none" filled="f" stroked="f">
              <v:textbox style="mso-fit-shape-to-text:t" inset="0,0,0,0">
                <w:txbxContent>
                  <w:p w:rsidR="004422BA" w:rsidRDefault="004422BA">
                    <w:r>
                      <w:rPr>
                        <w:rFonts w:ascii="Arial" w:hAnsi="Arial" w:cs="Arial"/>
                        <w:color w:val="000000"/>
                        <w:sz w:val="12"/>
                        <w:szCs w:val="12"/>
                      </w:rPr>
                      <w:t>A11</w:t>
                    </w:r>
                  </w:p>
                </w:txbxContent>
              </v:textbox>
            </v:rect>
            <v:rect id="_x0000_s1064" style="position:absolute;left:364;top:1714;width:1535;height:138;mso-wrap-style:none" filled="f" stroked="f">
              <v:textbox style="mso-fit-shape-to-text:t" inset="0,0,0,0">
                <w:txbxContent>
                  <w:p w:rsidR="004422BA" w:rsidRDefault="004422BA">
                    <w:r>
                      <w:rPr>
                        <w:rFonts w:ascii="Arial" w:hAnsi="Arial" w:cs="Arial"/>
                        <w:color w:val="000000"/>
                        <w:sz w:val="12"/>
                        <w:szCs w:val="12"/>
                      </w:rPr>
                      <w:t xml:space="preserve">    Government Consumption</w:t>
                    </w:r>
                  </w:p>
                </w:txbxContent>
              </v:textbox>
            </v:rect>
            <v:rect id="_x0000_s1065" style="position:absolute;left:4378;top:1714;width:1471;height:138;mso-wrap-style:none" filled="f" stroked="f">
              <v:textbox style="mso-fit-shape-to-text:t" inset="0,0,0,0">
                <w:txbxContent>
                  <w:p w:rsidR="004422BA" w:rsidRDefault="004422BA">
                    <w:r>
                      <w:rPr>
                        <w:rFonts w:ascii="Arial" w:hAnsi="Arial" w:cs="Arial"/>
                        <w:color w:val="000000"/>
                        <w:sz w:val="12"/>
                        <w:szCs w:val="12"/>
                      </w:rPr>
                      <w:t>Fiscal Accounts: A28 + A29</w:t>
                    </w:r>
                  </w:p>
                </w:txbxContent>
              </v:textbox>
            </v:rect>
            <v:rect id="_x0000_s1066" style="position:absolute;left:25;top:1877;width:214;height:138;mso-wrap-style:none" filled="f" stroked="f">
              <v:textbox style="mso-fit-shape-to-text:t" inset="0,0,0,0">
                <w:txbxContent>
                  <w:p w:rsidR="004422BA" w:rsidRDefault="004422BA">
                    <w:r>
                      <w:rPr>
                        <w:rFonts w:ascii="Arial" w:hAnsi="Arial" w:cs="Arial"/>
                        <w:color w:val="000000"/>
                        <w:sz w:val="12"/>
                        <w:szCs w:val="12"/>
                      </w:rPr>
                      <w:t>A12</w:t>
                    </w:r>
                  </w:p>
                </w:txbxContent>
              </v:textbox>
            </v:rect>
            <v:rect id="_x0000_s1067" style="position:absolute;left:364;top:1877;width:954;height:138;mso-wrap-style:none" filled="f" stroked="f">
              <v:textbox style="mso-fit-shape-to-text:t" inset="0,0,0,0">
                <w:txbxContent>
                  <w:p w:rsidR="004422BA" w:rsidRDefault="004422BA">
                    <w:r>
                      <w:rPr>
                        <w:rFonts w:ascii="Arial" w:hAnsi="Arial" w:cs="Arial"/>
                        <w:color w:val="000000"/>
                        <w:sz w:val="12"/>
                        <w:szCs w:val="12"/>
                      </w:rPr>
                      <w:t xml:space="preserve">  Total Investment</w:t>
                    </w:r>
                  </w:p>
                </w:txbxContent>
              </v:textbox>
            </v:rect>
            <v:rect id="_x0000_s1068" style="position:absolute;left:25;top:2027;width:214;height:138;mso-wrap-style:none" filled="f" stroked="f">
              <v:textbox style="mso-fit-shape-to-text:t" inset="0,0,0,0">
                <w:txbxContent>
                  <w:p w:rsidR="004422BA" w:rsidRDefault="004422BA">
                    <w:r>
                      <w:rPr>
                        <w:rFonts w:ascii="Arial" w:hAnsi="Arial" w:cs="Arial"/>
                        <w:color w:val="000000"/>
                        <w:sz w:val="12"/>
                        <w:szCs w:val="12"/>
                      </w:rPr>
                      <w:t>A13</w:t>
                    </w:r>
                  </w:p>
                </w:txbxContent>
              </v:textbox>
            </v:rect>
            <v:rect id="_x0000_s1069" style="position:absolute;left:364;top:2027;width:1408;height:138;mso-wrap-style:none" filled="f" stroked="f">
              <v:textbox style="mso-fit-shape-to-text:t" inset="0,0,0,0">
                <w:txbxContent>
                  <w:p w:rsidR="004422BA" w:rsidRDefault="004422BA">
                    <w:r>
                      <w:rPr>
                        <w:rFonts w:ascii="Arial" w:hAnsi="Arial" w:cs="Arial"/>
                        <w:color w:val="000000"/>
                        <w:sz w:val="12"/>
                        <w:szCs w:val="12"/>
                      </w:rPr>
                      <w:t xml:space="preserve">    Fixed Capital Formation</w:t>
                    </w:r>
                  </w:p>
                </w:txbxContent>
              </v:textbox>
            </v:rect>
            <v:rect id="_x0000_s1070" style="position:absolute;left:25;top:2190;width:214;height:138;mso-wrap-style:none" filled="f" stroked="f">
              <v:textbox style="mso-fit-shape-to-text:t" inset="0,0,0,0">
                <w:txbxContent>
                  <w:p w:rsidR="004422BA" w:rsidRDefault="004422BA">
                    <w:r>
                      <w:rPr>
                        <w:rFonts w:ascii="Arial" w:hAnsi="Arial" w:cs="Arial"/>
                        <w:color w:val="000000"/>
                        <w:sz w:val="12"/>
                        <w:szCs w:val="12"/>
                      </w:rPr>
                      <w:t>A14</w:t>
                    </w:r>
                  </w:p>
                </w:txbxContent>
              </v:textbox>
            </v:rect>
            <v:rect id="_x0000_s1071" style="position:absolute;left:364;top:2190;width:1194;height:138;mso-wrap-style:none" filled="f" stroked="f">
              <v:textbox style="mso-fit-shape-to-text:t" inset="0,0,0,0">
                <w:txbxContent>
                  <w:p w:rsidR="004422BA" w:rsidRDefault="004422BA">
                    <w:r>
                      <w:rPr>
                        <w:rFonts w:ascii="Arial" w:hAnsi="Arial" w:cs="Arial"/>
                        <w:color w:val="000000"/>
                        <w:sz w:val="12"/>
                        <w:szCs w:val="12"/>
                      </w:rPr>
                      <w:t xml:space="preserve">      Private Investment</w:t>
                    </w:r>
                  </w:p>
                </w:txbxContent>
              </v:textbox>
            </v:rect>
            <v:rect id="_x0000_s1072" style="position:absolute;left:25;top:2340;width:214;height:138;mso-wrap-style:none" filled="f" stroked="f">
              <v:textbox style="mso-fit-shape-to-text:t" inset="0,0,0,0">
                <w:txbxContent>
                  <w:p w:rsidR="004422BA" w:rsidRDefault="004422BA">
                    <w:r>
                      <w:rPr>
                        <w:rFonts w:ascii="Arial" w:hAnsi="Arial" w:cs="Arial"/>
                        <w:color w:val="000000"/>
                        <w:sz w:val="12"/>
                        <w:szCs w:val="12"/>
                      </w:rPr>
                      <w:t>A15</w:t>
                    </w:r>
                  </w:p>
                </w:txbxContent>
              </v:textbox>
            </v:rect>
            <v:rect id="_x0000_s1073" style="position:absolute;left:364;top:2340;width:1148;height:138;mso-wrap-style:none" filled="f" stroked="f">
              <v:textbox style="mso-fit-shape-to-text:t" inset="0,0,0,0">
                <w:txbxContent>
                  <w:p w:rsidR="004422BA" w:rsidRDefault="004422BA">
                    <w:r>
                      <w:rPr>
                        <w:rFonts w:ascii="Arial" w:hAnsi="Arial" w:cs="Arial"/>
                        <w:color w:val="000000"/>
                        <w:sz w:val="12"/>
                        <w:szCs w:val="12"/>
                      </w:rPr>
                      <w:t xml:space="preserve">      Public Investment</w:t>
                    </w:r>
                  </w:p>
                </w:txbxContent>
              </v:textbox>
            </v:rect>
            <v:rect id="_x0000_s1074" style="position:absolute;left:4378;top:2340;width:1471;height:138;mso-wrap-style:none" filled="f" stroked="f">
              <v:textbox style="mso-fit-shape-to-text:t" inset="0,0,0,0">
                <w:txbxContent>
                  <w:p w:rsidR="004422BA" w:rsidRDefault="004422BA">
                    <w:r>
                      <w:rPr>
                        <w:rFonts w:ascii="Arial" w:hAnsi="Arial" w:cs="Arial"/>
                        <w:color w:val="000000"/>
                        <w:sz w:val="12"/>
                        <w:szCs w:val="12"/>
                      </w:rPr>
                      <w:t>Fiscal Accounts: A35 + A47</w:t>
                    </w:r>
                  </w:p>
                </w:txbxContent>
              </v:textbox>
            </v:rect>
            <v:rect id="_x0000_s1075" style="position:absolute;left:25;top:2490;width:214;height:138;mso-wrap-style:none" filled="f" stroked="f">
              <v:textbox style="mso-fit-shape-to-text:t" inset="0,0,0,0">
                <w:txbxContent>
                  <w:p w:rsidR="004422BA" w:rsidRDefault="004422BA">
                    <w:r>
                      <w:rPr>
                        <w:rFonts w:ascii="Arial" w:hAnsi="Arial" w:cs="Arial"/>
                        <w:color w:val="000000"/>
                        <w:sz w:val="12"/>
                        <w:szCs w:val="12"/>
                      </w:rPr>
                      <w:t>A16</w:t>
                    </w:r>
                  </w:p>
                </w:txbxContent>
              </v:textbox>
            </v:rect>
            <v:rect id="_x0000_s1076" style="position:absolute;left:364;top:2490;width:1074;height:138;mso-wrap-style:none" filled="f" stroked="f">
              <v:textbox style="mso-fit-shape-to-text:t" inset="0,0,0,0">
                <w:txbxContent>
                  <w:p w:rsidR="004422BA" w:rsidRDefault="004422BA">
                    <w:r>
                      <w:rPr>
                        <w:rFonts w:ascii="Arial" w:hAnsi="Arial" w:cs="Arial"/>
                        <w:color w:val="000000"/>
                        <w:sz w:val="12"/>
                        <w:szCs w:val="12"/>
                      </w:rPr>
                      <w:t xml:space="preserve">    Inventory Canges</w:t>
                    </w:r>
                  </w:p>
                </w:txbxContent>
              </v:textbox>
            </v:rect>
            <v:rect id="_x0000_s1077" style="position:absolute;left:25;top:2653;width:214;height:138;mso-wrap-style:none" filled="f" stroked="f">
              <v:textbox style="mso-fit-shape-to-text:t" inset="0,0,0,0">
                <w:txbxContent>
                  <w:p w:rsidR="004422BA" w:rsidRDefault="004422BA">
                    <w:r>
                      <w:rPr>
                        <w:rFonts w:ascii="Arial" w:hAnsi="Arial" w:cs="Arial"/>
                        <w:color w:val="000000"/>
                        <w:sz w:val="12"/>
                        <w:szCs w:val="12"/>
                      </w:rPr>
                      <w:t>A17</w:t>
                    </w:r>
                  </w:p>
                </w:txbxContent>
              </v:textbox>
            </v:rect>
            <v:rect id="_x0000_s1078" style="position:absolute;left:364;top:2653;width:1154;height:138;mso-wrap-style:none" filled="f" stroked="f">
              <v:textbox style="mso-fit-shape-to-text:t" inset="0,0,0,0">
                <w:txbxContent>
                  <w:p w:rsidR="004422BA" w:rsidRDefault="004422BA">
                    <w:r>
                      <w:rPr>
                        <w:rFonts w:ascii="Arial" w:hAnsi="Arial" w:cs="Arial"/>
                        <w:color w:val="000000"/>
                        <w:sz w:val="12"/>
                        <w:szCs w:val="12"/>
                      </w:rPr>
                      <w:t xml:space="preserve">  Exports of gs and ss</w:t>
                    </w:r>
                  </w:p>
                </w:txbxContent>
              </v:textbox>
            </v:rect>
            <v:rect id="_x0000_s1079" style="position:absolute;left:4378;top:2653;width:2856;height:138;mso-wrap-style:none" filled="f" stroked="f">
              <v:textbox style="mso-fit-shape-to-text:t" inset="0,0,0,0">
                <w:txbxContent>
                  <w:p w:rsidR="004422BA" w:rsidRDefault="004422BA">
                    <w:r>
                      <w:rPr>
                        <w:rFonts w:ascii="Arial" w:hAnsi="Arial" w:cs="Arial"/>
                        <w:color w:val="000000"/>
                        <w:sz w:val="12"/>
                        <w:szCs w:val="12"/>
                      </w:rPr>
                      <w:t>Balance of Payments: A63 + adj cif/fob +adj exch rate</w:t>
                    </w:r>
                  </w:p>
                </w:txbxContent>
              </v:textbox>
            </v:rect>
            <v:rect id="_x0000_s1080" style="position:absolute;left:25;top:2803;width:214;height:138;mso-wrap-style:none" filled="f" stroked="f">
              <v:textbox style="mso-fit-shape-to-text:t" inset="0,0,0,0">
                <w:txbxContent>
                  <w:p w:rsidR="004422BA" w:rsidRDefault="004422BA">
                    <w:r>
                      <w:rPr>
                        <w:rFonts w:ascii="Arial" w:hAnsi="Arial" w:cs="Arial"/>
                        <w:color w:val="000000"/>
                        <w:sz w:val="12"/>
                        <w:szCs w:val="12"/>
                      </w:rPr>
                      <w:t>A18</w:t>
                    </w:r>
                  </w:p>
                </w:txbxContent>
              </v:textbox>
            </v:rect>
            <v:rect id="_x0000_s1081" style="position:absolute;left:364;top:2803;width:1148;height:138;mso-wrap-style:none" filled="f" stroked="f">
              <v:textbox style="mso-fit-shape-to-text:t" inset="0,0,0,0">
                <w:txbxContent>
                  <w:p w:rsidR="004422BA" w:rsidRDefault="004422BA">
                    <w:r>
                      <w:rPr>
                        <w:rFonts w:ascii="Arial" w:hAnsi="Arial" w:cs="Arial"/>
                        <w:color w:val="000000"/>
                        <w:sz w:val="12"/>
                        <w:szCs w:val="12"/>
                      </w:rPr>
                      <w:t xml:space="preserve">  Imports of gs and ss</w:t>
                    </w:r>
                  </w:p>
                </w:txbxContent>
              </v:textbox>
            </v:rect>
            <v:rect id="_x0000_s1082" style="position:absolute;left:4378;top:2803;width:2822;height:138;mso-wrap-style:none" filled="f" stroked="f">
              <v:textbox style="mso-fit-shape-to-text:t" inset="0,0,0,0">
                <w:txbxContent>
                  <w:p w:rsidR="004422BA" w:rsidRDefault="004422BA">
                    <w:r>
                      <w:rPr>
                        <w:rFonts w:ascii="Arial" w:hAnsi="Arial" w:cs="Arial"/>
                        <w:color w:val="000000"/>
                        <w:sz w:val="12"/>
                        <w:szCs w:val="12"/>
                      </w:rPr>
                      <w:t>Blance of Payments: A64 + adj cif/fob + adj exch rate</w:t>
                    </w:r>
                  </w:p>
                </w:txbxContent>
              </v:textbox>
            </v:rect>
            <v:rect id="_x0000_s1083" style="position:absolute;left:25;top:2953;width:214;height:138;mso-wrap-style:none" filled="f" stroked="f">
              <v:textbox style="mso-fit-shape-to-text:t" inset="0,0,0,0">
                <w:txbxContent>
                  <w:p w:rsidR="004422BA" w:rsidRDefault="004422BA">
                    <w:r>
                      <w:rPr>
                        <w:rFonts w:ascii="Arial" w:hAnsi="Arial" w:cs="Arial"/>
                        <w:color w:val="000000"/>
                        <w:sz w:val="12"/>
                        <w:szCs w:val="12"/>
                      </w:rPr>
                      <w:t>A19</w:t>
                    </w:r>
                  </w:p>
                </w:txbxContent>
              </v:textbox>
            </v:rect>
            <v:rect id="_x0000_s1084" style="position:absolute;left:25;top:3116;width:214;height:138;mso-wrap-style:none" filled="f" stroked="f">
              <v:textbox style="mso-fit-shape-to-text:t" inset="0,0,0,0">
                <w:txbxContent>
                  <w:p w:rsidR="004422BA" w:rsidRDefault="004422BA">
                    <w:r>
                      <w:rPr>
                        <w:rFonts w:ascii="Arial" w:hAnsi="Arial" w:cs="Arial"/>
                        <w:color w:val="000000"/>
                        <w:sz w:val="12"/>
                        <w:szCs w:val="12"/>
                      </w:rPr>
                      <w:t>A20</w:t>
                    </w:r>
                  </w:p>
                </w:txbxContent>
              </v:textbox>
            </v:rect>
            <v:rect id="_x0000_s1085" style="position:absolute;left:364;top:3116;width:2354;height:138;mso-wrap-style:none" filled="f" stroked="f">
              <v:textbox style="mso-fit-shape-to-text:t" inset="0,0,0,0">
                <w:txbxContent>
                  <w:p w:rsidR="004422BA" w:rsidRDefault="004422BA">
                    <w:r>
                      <w:rPr>
                        <w:rFonts w:ascii="Arial" w:hAnsi="Arial" w:cs="Arial"/>
                        <w:b/>
                        <w:bCs/>
                        <w:color w:val="000000"/>
                        <w:sz w:val="12"/>
                        <w:szCs w:val="12"/>
                      </w:rPr>
                      <w:t>FISCAL ACCOUNTS (consolidated NFPS)</w:t>
                    </w:r>
                  </w:p>
                </w:txbxContent>
              </v:textbox>
            </v:rect>
            <v:rect id="_x0000_s1086" style="position:absolute;left:25;top:3266;width:214;height:138;mso-wrap-style:none" filled="f" stroked="f">
              <v:textbox style="mso-fit-shape-to-text:t" inset="0,0,0,0">
                <w:txbxContent>
                  <w:p w:rsidR="004422BA" w:rsidRDefault="004422BA">
                    <w:r>
                      <w:rPr>
                        <w:rFonts w:ascii="Arial" w:hAnsi="Arial" w:cs="Arial"/>
                        <w:color w:val="000000"/>
                        <w:sz w:val="12"/>
                        <w:szCs w:val="12"/>
                      </w:rPr>
                      <w:t>A21</w:t>
                    </w:r>
                  </w:p>
                </w:txbxContent>
              </v:textbox>
            </v:rect>
            <v:rect id="_x0000_s1087" style="position:absolute;left:364;top:3266;width:2705;height:138;mso-wrap-style:none" filled="f" stroked="f">
              <v:textbox style="mso-fit-shape-to-text:t" inset="0,0,0,0">
                <w:txbxContent>
                  <w:p w:rsidR="004422BA" w:rsidRDefault="004422BA">
                    <w:r>
                      <w:rPr>
                        <w:rFonts w:ascii="Arial" w:hAnsi="Arial" w:cs="Arial"/>
                        <w:color w:val="000000"/>
                        <w:sz w:val="12"/>
                        <w:szCs w:val="12"/>
                      </w:rPr>
                      <w:t>General Govern</w:t>
                    </w:r>
                    <w:r w:rsidR="00421BAA">
                      <w:rPr>
                        <w:rFonts w:ascii="Arial" w:hAnsi="Arial" w:cs="Arial"/>
                        <w:color w:val="000000"/>
                        <w:sz w:val="12"/>
                        <w:szCs w:val="12"/>
                      </w:rPr>
                      <w:t>m</w:t>
                    </w:r>
                    <w:r>
                      <w:rPr>
                        <w:rFonts w:ascii="Arial" w:hAnsi="Arial" w:cs="Arial"/>
                        <w:color w:val="000000"/>
                        <w:sz w:val="12"/>
                        <w:szCs w:val="12"/>
                      </w:rPr>
                      <w:t>ent (central + local governments)</w:t>
                    </w:r>
                  </w:p>
                </w:txbxContent>
              </v:textbox>
            </v:rect>
            <v:rect id="_x0000_s1088" style="position:absolute;left:25;top:3429;width:214;height:138;mso-wrap-style:none" filled="f" stroked="f">
              <v:textbox style="mso-fit-shape-to-text:t" inset="0,0,0,0">
                <w:txbxContent>
                  <w:p w:rsidR="004422BA" w:rsidRDefault="004422BA">
                    <w:r>
                      <w:rPr>
                        <w:rFonts w:ascii="Arial" w:hAnsi="Arial" w:cs="Arial"/>
                        <w:color w:val="000000"/>
                        <w:sz w:val="12"/>
                        <w:szCs w:val="12"/>
                      </w:rPr>
                      <w:t>A22</w:t>
                    </w:r>
                  </w:p>
                </w:txbxContent>
              </v:textbox>
            </v:rect>
            <v:rect id="_x0000_s1089" style="position:absolute;left:364;top:3429;width:801;height:138;mso-wrap-style:none" filled="f" stroked="f">
              <v:textbox style="mso-fit-shape-to-text:t" inset="0,0,0,0">
                <w:txbxContent>
                  <w:p w:rsidR="004422BA" w:rsidRDefault="004422BA">
                    <w:r>
                      <w:rPr>
                        <w:rFonts w:ascii="Arial" w:hAnsi="Arial" w:cs="Arial"/>
                        <w:color w:val="000000"/>
                        <w:sz w:val="12"/>
                        <w:szCs w:val="12"/>
                      </w:rPr>
                      <w:t xml:space="preserve">  Total revenue </w:t>
                    </w:r>
                  </w:p>
                </w:txbxContent>
              </v:textbox>
            </v:rect>
            <v:rect id="_x0000_s1090" style="position:absolute;left:25;top:3579;width:214;height:138;mso-wrap-style:none" filled="f" stroked="f">
              <v:textbox style="mso-fit-shape-to-text:t" inset="0,0,0,0">
                <w:txbxContent>
                  <w:p w:rsidR="004422BA" w:rsidRDefault="004422BA">
                    <w:r>
                      <w:rPr>
                        <w:rFonts w:ascii="Arial" w:hAnsi="Arial" w:cs="Arial"/>
                        <w:color w:val="000000"/>
                        <w:sz w:val="12"/>
                        <w:szCs w:val="12"/>
                      </w:rPr>
                      <w:t>A23</w:t>
                    </w:r>
                  </w:p>
                </w:txbxContent>
              </v:textbox>
            </v:rect>
            <v:rect id="_x0000_s1091" style="position:absolute;left:364;top:3579;width:2935;height:138;mso-wrap-style:none" filled="f" stroked="f">
              <v:textbox style="mso-fit-shape-to-text:t" inset="0,0,0,0">
                <w:txbxContent>
                  <w:p w:rsidR="004422BA" w:rsidRDefault="004422BA">
                    <w:r>
                      <w:rPr>
                        <w:rFonts w:ascii="Arial" w:hAnsi="Arial" w:cs="Arial"/>
                        <w:color w:val="000000"/>
                        <w:sz w:val="12"/>
                        <w:szCs w:val="12"/>
                      </w:rPr>
                      <w:t xml:space="preserve">    Tax Revenue (including social security contributions)</w:t>
                    </w:r>
                  </w:p>
                </w:txbxContent>
              </v:textbox>
            </v:rect>
            <v:rect id="_x0000_s1092" style="position:absolute;left:25;top:3729;width:214;height:138;mso-wrap-style:none" filled="f" stroked="f">
              <v:textbox style="mso-fit-shape-to-text:t" inset="0,0,0,0">
                <w:txbxContent>
                  <w:p w:rsidR="004422BA" w:rsidRDefault="004422BA">
                    <w:r>
                      <w:rPr>
                        <w:rFonts w:ascii="Arial" w:hAnsi="Arial" w:cs="Arial"/>
                        <w:color w:val="000000"/>
                        <w:sz w:val="12"/>
                        <w:szCs w:val="12"/>
                      </w:rPr>
                      <w:t>A24</w:t>
                    </w:r>
                  </w:p>
                </w:txbxContent>
              </v:textbox>
            </v:rect>
            <v:rect id="_x0000_s1093" style="position:absolute;left:364;top:3729;width:1061;height:138;mso-wrap-style:none" filled="f" stroked="f">
              <v:textbox style="mso-fit-shape-to-text:t" inset="0,0,0,0">
                <w:txbxContent>
                  <w:p w:rsidR="004422BA" w:rsidRDefault="004422BA">
                    <w:r>
                      <w:rPr>
                        <w:rFonts w:ascii="Arial" w:hAnsi="Arial" w:cs="Arial"/>
                        <w:color w:val="000000"/>
                        <w:sz w:val="12"/>
                        <w:szCs w:val="12"/>
                      </w:rPr>
                      <w:t xml:space="preserve">    Non-Tax revenue</w:t>
                    </w:r>
                  </w:p>
                </w:txbxContent>
              </v:textbox>
            </v:rect>
            <v:rect id="_x0000_s1094" style="position:absolute;left:25;top:3892;width:214;height:138;mso-wrap-style:none" filled="f" stroked="f">
              <v:textbox style="mso-fit-shape-to-text:t" inset="0,0,0,0">
                <w:txbxContent>
                  <w:p w:rsidR="004422BA" w:rsidRDefault="004422BA">
                    <w:r>
                      <w:rPr>
                        <w:rFonts w:ascii="Arial" w:hAnsi="Arial" w:cs="Arial"/>
                        <w:color w:val="000000"/>
                        <w:sz w:val="12"/>
                        <w:szCs w:val="12"/>
                      </w:rPr>
                      <w:t>A25</w:t>
                    </w:r>
                  </w:p>
                </w:txbxContent>
              </v:textbox>
            </v:rect>
            <v:rect id="_x0000_s1095" style="position:absolute;left:364;top:3892;width:1445;height:138;mso-wrap-style:none" filled="f" stroked="f">
              <v:textbox style="mso-fit-shape-to-text:t" inset="0,0,0,0">
                <w:txbxContent>
                  <w:p w:rsidR="004422BA" w:rsidRDefault="004422BA">
                    <w:r>
                      <w:rPr>
                        <w:rFonts w:ascii="Arial" w:hAnsi="Arial" w:cs="Arial"/>
                        <w:color w:val="000000"/>
                        <w:sz w:val="12"/>
                        <w:szCs w:val="12"/>
                      </w:rPr>
                      <w:t xml:space="preserve">    Capital revenue + grants</w:t>
                    </w:r>
                  </w:p>
                </w:txbxContent>
              </v:textbox>
            </v:rect>
            <v:rect id="_x0000_s1096" style="position:absolute;left:25;top:4042;width:214;height:138;mso-wrap-style:none" filled="f" stroked="f">
              <v:textbox style="mso-fit-shape-to-text:t" inset="0,0,0,0">
                <w:txbxContent>
                  <w:p w:rsidR="004422BA" w:rsidRDefault="004422BA">
                    <w:r>
                      <w:rPr>
                        <w:rFonts w:ascii="Arial" w:hAnsi="Arial" w:cs="Arial"/>
                        <w:color w:val="000000"/>
                        <w:sz w:val="12"/>
                        <w:szCs w:val="12"/>
                      </w:rPr>
                      <w:t>A26</w:t>
                    </w:r>
                  </w:p>
                </w:txbxContent>
              </v:textbox>
            </v:rect>
            <v:rect id="_x0000_s1097" style="position:absolute;left:364;top:4042;width:1008;height:138;mso-wrap-style:none" filled="f" stroked="f">
              <v:textbox style="mso-fit-shape-to-text:t" inset="0,0,0,0">
                <w:txbxContent>
                  <w:p w:rsidR="004422BA" w:rsidRDefault="004422BA">
                    <w:r>
                      <w:rPr>
                        <w:rFonts w:ascii="Arial" w:hAnsi="Arial" w:cs="Arial"/>
                        <w:color w:val="000000"/>
                        <w:sz w:val="12"/>
                        <w:szCs w:val="12"/>
                      </w:rPr>
                      <w:t xml:space="preserve">  Total Expenditure</w:t>
                    </w:r>
                  </w:p>
                </w:txbxContent>
              </v:textbox>
            </v:rect>
            <v:rect id="_x0000_s1098" style="position:absolute;left:25;top:4205;width:214;height:138;mso-wrap-style:none" filled="f" stroked="f">
              <v:textbox style="mso-fit-shape-to-text:t" inset="0,0,0,0">
                <w:txbxContent>
                  <w:p w:rsidR="004422BA" w:rsidRDefault="004422BA">
                    <w:r>
                      <w:rPr>
                        <w:rFonts w:ascii="Arial" w:hAnsi="Arial" w:cs="Arial"/>
                        <w:color w:val="000000"/>
                        <w:sz w:val="12"/>
                        <w:szCs w:val="12"/>
                      </w:rPr>
                      <w:t>A27</w:t>
                    </w:r>
                  </w:p>
                </w:txbxContent>
              </v:textbox>
            </v:rect>
            <v:rect id="_x0000_s1099" style="position:absolute;left:364;top:4205;width:1208;height:138;mso-wrap-style:none" filled="f" stroked="f">
              <v:textbox style="mso-fit-shape-to-text:t" inset="0,0,0,0">
                <w:txbxContent>
                  <w:p w:rsidR="004422BA" w:rsidRDefault="004422BA">
                    <w:r>
                      <w:rPr>
                        <w:rFonts w:ascii="Arial" w:hAnsi="Arial" w:cs="Arial"/>
                        <w:color w:val="000000"/>
                        <w:sz w:val="12"/>
                        <w:szCs w:val="12"/>
                      </w:rPr>
                      <w:t xml:space="preserve">    Current Expenditure</w:t>
                    </w:r>
                  </w:p>
                </w:txbxContent>
              </v:textbox>
            </v:rect>
            <v:rect id="_x0000_s1100" style="position:absolute;left:25;top:4355;width:214;height:138;mso-wrap-style:none" filled="f" stroked="f">
              <v:textbox style="mso-fit-shape-to-text:t" inset="0,0,0,0">
                <w:txbxContent>
                  <w:p w:rsidR="004422BA" w:rsidRDefault="004422BA">
                    <w:r>
                      <w:rPr>
                        <w:rFonts w:ascii="Arial" w:hAnsi="Arial" w:cs="Arial"/>
                        <w:color w:val="000000"/>
                        <w:sz w:val="12"/>
                        <w:szCs w:val="12"/>
                      </w:rPr>
                      <w:t>A28</w:t>
                    </w:r>
                  </w:p>
                </w:txbxContent>
              </v:textbox>
            </v:rect>
            <v:rect id="_x0000_s1101" style="position:absolute;left:364;top:4355;width:1254;height:138;mso-wrap-style:none" filled="f" stroked="f">
              <v:textbox style="mso-fit-shape-to-text:t" inset="0,0,0,0">
                <w:txbxContent>
                  <w:p w:rsidR="004422BA" w:rsidRDefault="004422BA">
                    <w:r>
                      <w:rPr>
                        <w:rFonts w:ascii="Arial" w:hAnsi="Arial" w:cs="Arial"/>
                        <w:color w:val="000000"/>
                        <w:sz w:val="12"/>
                        <w:szCs w:val="12"/>
                      </w:rPr>
                      <w:t xml:space="preserve">      Wages and salaries</w:t>
                    </w:r>
                  </w:p>
                </w:txbxContent>
              </v:textbox>
            </v:rect>
            <v:rect id="_x0000_s1102" style="position:absolute;left:25;top:4505;width:214;height:138;mso-wrap-style:none" filled="f" stroked="f">
              <v:textbox style="mso-fit-shape-to-text:t" inset="0,0,0,0">
                <w:txbxContent>
                  <w:p w:rsidR="004422BA" w:rsidRDefault="004422BA">
                    <w:r>
                      <w:rPr>
                        <w:rFonts w:ascii="Arial" w:hAnsi="Arial" w:cs="Arial"/>
                        <w:color w:val="000000"/>
                        <w:sz w:val="12"/>
                        <w:szCs w:val="12"/>
                      </w:rPr>
                      <w:t>A29</w:t>
                    </w:r>
                  </w:p>
                </w:txbxContent>
              </v:textbox>
            </v:rect>
            <v:rect id="_x0000_s1103" style="position:absolute;left:364;top:4505;width:1388;height:138;mso-wrap-style:none" filled="f" stroked="f">
              <v:textbox style="mso-fit-shape-to-text:t" inset="0,0,0,0">
                <w:txbxContent>
                  <w:p w:rsidR="004422BA" w:rsidRDefault="004422BA">
                    <w:r>
                      <w:rPr>
                        <w:rFonts w:ascii="Arial" w:hAnsi="Arial" w:cs="Arial"/>
                        <w:color w:val="000000"/>
                        <w:sz w:val="12"/>
                        <w:szCs w:val="12"/>
                      </w:rPr>
                      <w:t xml:space="preserve">      Purchase of gs and ss</w:t>
                    </w:r>
                  </w:p>
                </w:txbxContent>
              </v:textbox>
            </v:rect>
            <v:rect id="_x0000_s1104" style="position:absolute;left:25;top:4668;width:214;height:138;mso-wrap-style:none" filled="f" stroked="f">
              <v:textbox style="mso-fit-shape-to-text:t" inset="0,0,0,0">
                <w:txbxContent>
                  <w:p w:rsidR="004422BA" w:rsidRDefault="004422BA">
                    <w:r>
                      <w:rPr>
                        <w:rFonts w:ascii="Arial" w:hAnsi="Arial" w:cs="Arial"/>
                        <w:color w:val="000000"/>
                        <w:sz w:val="12"/>
                        <w:szCs w:val="12"/>
                      </w:rPr>
                      <w:t>A30</w:t>
                    </w:r>
                  </w:p>
                </w:txbxContent>
              </v:textbox>
            </v:rect>
            <v:rect id="_x0000_s1105" style="position:absolute;left:364;top:4668;width:3402;height:138;mso-wrap-style:none" filled="f" stroked="f">
              <v:textbox style="mso-fit-shape-to-text:t" inset="0,0,0,0">
                <w:txbxContent>
                  <w:p w:rsidR="004422BA" w:rsidRDefault="004422BA">
                    <w:r>
                      <w:rPr>
                        <w:rFonts w:ascii="Arial" w:hAnsi="Arial" w:cs="Arial"/>
                        <w:color w:val="000000"/>
                        <w:sz w:val="12"/>
                        <w:szCs w:val="12"/>
                      </w:rPr>
                      <w:t xml:space="preserve">      Transfers and subsidies (including social secutiry payments)</w:t>
                    </w:r>
                  </w:p>
                </w:txbxContent>
              </v:textbox>
            </v:rect>
            <v:rect id="_x0000_s1106" style="position:absolute;left:25;top:4818;width:214;height:138;mso-wrap-style:none" filled="f" stroked="f">
              <v:textbox style="mso-fit-shape-to-text:t" inset="0,0,0,0">
                <w:txbxContent>
                  <w:p w:rsidR="004422BA" w:rsidRDefault="004422BA">
                    <w:r>
                      <w:rPr>
                        <w:rFonts w:ascii="Arial" w:hAnsi="Arial" w:cs="Arial"/>
                        <w:color w:val="000000"/>
                        <w:sz w:val="12"/>
                        <w:szCs w:val="12"/>
                      </w:rPr>
                      <w:t>A31</w:t>
                    </w:r>
                  </w:p>
                </w:txbxContent>
              </v:textbox>
            </v:rect>
            <v:rect id="_x0000_s1107" style="position:absolute;left:364;top:4818;width:1088;height:138;mso-wrap-style:none" filled="f" stroked="f">
              <v:textbox style="mso-fit-shape-to-text:t" inset="0,0,0,0">
                <w:txbxContent>
                  <w:p w:rsidR="004422BA" w:rsidRDefault="004422BA">
                    <w:r>
                      <w:rPr>
                        <w:rFonts w:ascii="Arial" w:hAnsi="Arial" w:cs="Arial"/>
                        <w:color w:val="000000"/>
                        <w:sz w:val="12"/>
                        <w:szCs w:val="12"/>
                      </w:rPr>
                      <w:t xml:space="preserve">      Interst payments</w:t>
                    </w:r>
                  </w:p>
                </w:txbxContent>
              </v:textbox>
            </v:rect>
            <v:rect id="_x0000_s1108" style="position:absolute;left:25;top:4980;width:214;height:138;mso-wrap-style:none" filled="f" stroked="f">
              <v:textbox style="mso-fit-shape-to-text:t" inset="0,0,0,0">
                <w:txbxContent>
                  <w:p w:rsidR="004422BA" w:rsidRDefault="004422BA">
                    <w:r>
                      <w:rPr>
                        <w:rFonts w:ascii="Arial" w:hAnsi="Arial" w:cs="Arial"/>
                        <w:color w:val="000000"/>
                        <w:sz w:val="12"/>
                        <w:szCs w:val="12"/>
                      </w:rPr>
                      <w:t>A32</w:t>
                    </w:r>
                  </w:p>
                </w:txbxContent>
              </v:textbox>
            </v:rect>
            <v:rect id="_x0000_s1109" style="position:absolute;left:364;top:4980;width:1181;height:138;mso-wrap-style:none" filled="f" stroked="f">
              <v:textbox style="mso-fit-shape-to-text:t" inset="0,0,0,0">
                <w:txbxContent>
                  <w:p w:rsidR="004422BA" w:rsidRDefault="004422BA">
                    <w:r>
                      <w:rPr>
                        <w:rFonts w:ascii="Arial" w:hAnsi="Arial" w:cs="Arial"/>
                        <w:color w:val="000000"/>
                        <w:sz w:val="12"/>
                        <w:szCs w:val="12"/>
                      </w:rPr>
                      <w:t xml:space="preserve">        on domestic debt</w:t>
                    </w:r>
                  </w:p>
                </w:txbxContent>
              </v:textbox>
            </v:rect>
            <v:rect id="_x0000_s1110" style="position:absolute;left:25;top:5131;width:214;height:138;mso-wrap-style:none" filled="f" stroked="f">
              <v:textbox style="mso-fit-shape-to-text:t" inset="0,0,0,0">
                <w:txbxContent>
                  <w:p w:rsidR="004422BA" w:rsidRDefault="004422BA">
                    <w:r>
                      <w:rPr>
                        <w:rFonts w:ascii="Arial" w:hAnsi="Arial" w:cs="Arial"/>
                        <w:color w:val="000000"/>
                        <w:sz w:val="12"/>
                        <w:szCs w:val="12"/>
                      </w:rPr>
                      <w:t>A33</w:t>
                    </w:r>
                  </w:p>
                </w:txbxContent>
              </v:textbox>
            </v:rect>
            <v:rect id="_x0000_s1111" style="position:absolute;left:364;top:5131;width:1128;height:138;mso-wrap-style:none" filled="f" stroked="f">
              <v:textbox style="mso-fit-shape-to-text:t" inset="0,0,0,0">
                <w:txbxContent>
                  <w:p w:rsidR="004422BA" w:rsidRDefault="004422BA">
                    <w:r>
                      <w:rPr>
                        <w:rFonts w:ascii="Arial" w:hAnsi="Arial" w:cs="Arial"/>
                        <w:color w:val="000000"/>
                        <w:sz w:val="12"/>
                        <w:szCs w:val="12"/>
                      </w:rPr>
                      <w:t xml:space="preserve">        on external debt</w:t>
                    </w:r>
                  </w:p>
                </w:txbxContent>
              </v:textbox>
            </v:rect>
            <v:rect id="_x0000_s1112" style="position:absolute;left:4378;top:5131;width:1688;height:138;mso-wrap-style:none" filled="f" stroked="f">
              <v:textbox style="mso-fit-shape-to-text:t" inset="0,0,0,0">
                <w:txbxContent>
                  <w:p w:rsidR="004422BA" w:rsidRDefault="004422BA">
                    <w:r>
                      <w:rPr>
                        <w:rFonts w:ascii="Arial" w:hAnsi="Arial" w:cs="Arial"/>
                        <w:color w:val="000000"/>
                        <w:sz w:val="12"/>
                        <w:szCs w:val="12"/>
                      </w:rPr>
                      <w:t>Balance of Payments: from A66</w:t>
                    </w:r>
                  </w:p>
                </w:txbxContent>
              </v:textbox>
            </v:rect>
            <v:rect id="_x0000_s1113" style="position:absolute;left:25;top:5281;width:214;height:138;mso-wrap-style:none" filled="f" stroked="f">
              <v:textbox style="mso-fit-shape-to-text:t" inset="0,0,0,0">
                <w:txbxContent>
                  <w:p w:rsidR="004422BA" w:rsidRDefault="004422BA">
                    <w:r>
                      <w:rPr>
                        <w:rFonts w:ascii="Arial" w:hAnsi="Arial" w:cs="Arial"/>
                        <w:color w:val="000000"/>
                        <w:sz w:val="12"/>
                        <w:szCs w:val="12"/>
                      </w:rPr>
                      <w:t>A34</w:t>
                    </w:r>
                  </w:p>
                </w:txbxContent>
              </v:textbox>
            </v:rect>
            <v:rect id="_x0000_s1114" style="position:absolute;left:364;top:5281;width:1181;height:138;mso-wrap-style:none" filled="f" stroked="f">
              <v:textbox style="mso-fit-shape-to-text:t" inset="0,0,0,0">
                <w:txbxContent>
                  <w:p w:rsidR="004422BA" w:rsidRDefault="004422BA">
                    <w:r>
                      <w:rPr>
                        <w:rFonts w:ascii="Arial" w:hAnsi="Arial" w:cs="Arial"/>
                        <w:color w:val="000000"/>
                        <w:sz w:val="12"/>
                        <w:szCs w:val="12"/>
                      </w:rPr>
                      <w:t xml:space="preserve">    Capital Expenditure</w:t>
                    </w:r>
                  </w:p>
                </w:txbxContent>
              </v:textbox>
            </v:rect>
            <v:rect id="_x0000_s1115" style="position:absolute;left:25;top:5443;width:214;height:138;mso-wrap-style:none" filled="f" stroked="f">
              <v:textbox style="mso-fit-shape-to-text:t" inset="0,0,0,0">
                <w:txbxContent>
                  <w:p w:rsidR="004422BA" w:rsidRDefault="004422BA">
                    <w:r>
                      <w:rPr>
                        <w:rFonts w:ascii="Arial" w:hAnsi="Arial" w:cs="Arial"/>
                        <w:color w:val="000000"/>
                        <w:sz w:val="12"/>
                        <w:szCs w:val="12"/>
                      </w:rPr>
                      <w:t>A35</w:t>
                    </w:r>
                  </w:p>
                </w:txbxContent>
              </v:textbox>
            </v:rect>
            <v:rect id="_x0000_s1116" style="position:absolute;left:364;top:5443;width:787;height:138;mso-wrap-style:none" filled="f" stroked="f">
              <v:textbox style="mso-fit-shape-to-text:t" inset="0,0,0,0">
                <w:txbxContent>
                  <w:p w:rsidR="004422BA" w:rsidRDefault="004422BA">
                    <w:r>
                      <w:rPr>
                        <w:rFonts w:ascii="Arial" w:hAnsi="Arial" w:cs="Arial"/>
                        <w:color w:val="000000"/>
                        <w:sz w:val="12"/>
                        <w:szCs w:val="12"/>
                      </w:rPr>
                      <w:t xml:space="preserve">      Investment </w:t>
                    </w:r>
                  </w:p>
                </w:txbxContent>
              </v:textbox>
            </v:rect>
            <v:rect id="_x0000_s1117" style="position:absolute;left:4378;top:5443;width:1248;height:138;mso-wrap-style:none" filled="f" stroked="f">
              <v:textbox style="mso-fit-shape-to-text:t" inset="0,0,0,0">
                <w:txbxContent>
                  <w:p w:rsidR="004422BA" w:rsidRDefault="004422BA">
                    <w:r>
                      <w:rPr>
                        <w:rFonts w:ascii="Arial" w:hAnsi="Arial" w:cs="Arial"/>
                        <w:color w:val="000000"/>
                        <w:sz w:val="12"/>
                        <w:szCs w:val="12"/>
                      </w:rPr>
                      <w:t>National Accounts: A15</w:t>
                    </w:r>
                  </w:p>
                </w:txbxContent>
              </v:textbox>
            </v:rect>
            <v:rect id="_x0000_s1118" style="position:absolute;left:25;top:5594;width:214;height:138;mso-wrap-style:none" filled="f" stroked="f">
              <v:textbox style="mso-fit-shape-to-text:t" inset="0,0,0,0">
                <w:txbxContent>
                  <w:p w:rsidR="004422BA" w:rsidRDefault="004422BA">
                    <w:r>
                      <w:rPr>
                        <w:rFonts w:ascii="Arial" w:hAnsi="Arial" w:cs="Arial"/>
                        <w:color w:val="000000"/>
                        <w:sz w:val="12"/>
                        <w:szCs w:val="12"/>
                      </w:rPr>
                      <w:t>A36</w:t>
                    </w:r>
                  </w:p>
                </w:txbxContent>
              </v:textbox>
            </v:rect>
            <v:rect id="_x0000_s1119" style="position:absolute;left:364;top:5594;width:1862;height:138;mso-wrap-style:none" filled="f" stroked="f">
              <v:textbox style="mso-fit-shape-to-text:t" inset="0,0,0,0">
                <w:txbxContent>
                  <w:p w:rsidR="004422BA" w:rsidRDefault="004422BA">
                    <w:r>
                      <w:rPr>
                        <w:rFonts w:ascii="Arial" w:hAnsi="Arial" w:cs="Arial"/>
                        <w:color w:val="000000"/>
                        <w:sz w:val="12"/>
                        <w:szCs w:val="12"/>
                      </w:rPr>
                      <w:t xml:space="preserve">      Capital transfers and net lnding</w:t>
                    </w:r>
                  </w:p>
                </w:txbxContent>
              </v:textbox>
            </v:rect>
            <v:rect id="_x0000_s1120" style="position:absolute;left:25;top:5756;width:214;height:138;mso-wrap-style:none" filled="f" stroked="f">
              <v:textbox style="mso-fit-shape-to-text:t" inset="0,0,0,0">
                <w:txbxContent>
                  <w:p w:rsidR="004422BA" w:rsidRDefault="004422BA">
                    <w:r>
                      <w:rPr>
                        <w:rFonts w:ascii="Arial" w:hAnsi="Arial" w:cs="Arial"/>
                        <w:color w:val="000000"/>
                        <w:sz w:val="12"/>
                        <w:szCs w:val="12"/>
                      </w:rPr>
                      <w:t>A37</w:t>
                    </w:r>
                  </w:p>
                </w:txbxContent>
              </v:textbox>
            </v:rect>
            <v:rect id="_x0000_s1121" style="position:absolute;left:25;top:5906;width:214;height:138;mso-wrap-style:none" filled="f" stroked="f">
              <v:textbox style="mso-fit-shape-to-text:t" inset="0,0,0,0">
                <w:txbxContent>
                  <w:p w:rsidR="004422BA" w:rsidRDefault="004422BA">
                    <w:r>
                      <w:rPr>
                        <w:rFonts w:ascii="Arial" w:hAnsi="Arial" w:cs="Arial"/>
                        <w:color w:val="000000"/>
                        <w:sz w:val="12"/>
                        <w:szCs w:val="12"/>
                      </w:rPr>
                      <w:t>A38</w:t>
                    </w:r>
                  </w:p>
                </w:txbxContent>
              </v:textbox>
            </v:rect>
            <v:rect id="_x0000_s1122" style="position:absolute;left:364;top:5906;width:2635;height:138;mso-wrap-style:none" filled="f" stroked="f">
              <v:textbox style="mso-fit-shape-to-text:t" inset="0,0,0,0">
                <w:txbxContent>
                  <w:p w:rsidR="004422BA" w:rsidRDefault="004422BA">
                    <w:r>
                      <w:rPr>
                        <w:rFonts w:ascii="Arial" w:hAnsi="Arial" w:cs="Arial"/>
                        <w:color w:val="000000"/>
                        <w:sz w:val="12"/>
                        <w:szCs w:val="12"/>
                      </w:rPr>
                      <w:t xml:space="preserve">  Primary balance general government cash basis</w:t>
                    </w:r>
                  </w:p>
                </w:txbxContent>
              </v:textbox>
            </v:rect>
            <v:rect id="_x0000_s1123" style="position:absolute;left:25;top:6057;width:214;height:138;mso-wrap-style:none" filled="f" stroked="f">
              <v:textbox style="mso-fit-shape-to-text:t" inset="0,0,0,0">
                <w:txbxContent>
                  <w:p w:rsidR="004422BA" w:rsidRDefault="004422BA">
                    <w:r>
                      <w:rPr>
                        <w:rFonts w:ascii="Arial" w:hAnsi="Arial" w:cs="Arial"/>
                        <w:color w:val="000000"/>
                        <w:sz w:val="12"/>
                        <w:szCs w:val="12"/>
                      </w:rPr>
                      <w:t>A39</w:t>
                    </w:r>
                  </w:p>
                </w:txbxContent>
              </v:textbox>
            </v:rect>
            <v:rect id="_x0000_s1124" style="position:absolute;left:364;top:6057;width:2489;height:138;mso-wrap-style:none" filled="f" stroked="f">
              <v:textbox style="mso-fit-shape-to-text:t" inset="0,0,0,0">
                <w:txbxContent>
                  <w:p w:rsidR="004422BA" w:rsidRDefault="004422BA">
                    <w:r>
                      <w:rPr>
                        <w:rFonts w:ascii="Arial" w:hAnsi="Arial" w:cs="Arial"/>
                        <w:color w:val="000000"/>
                        <w:sz w:val="12"/>
                        <w:szCs w:val="12"/>
                      </w:rPr>
                      <w:t xml:space="preserve">  Total balance general government cash basis</w:t>
                    </w:r>
                  </w:p>
                </w:txbxContent>
              </v:textbox>
            </v:rect>
            <v:rect id="_x0000_s1125" style="position:absolute;left:25;top:6219;width:214;height:138;mso-wrap-style:none" filled="f" stroked="f">
              <v:textbox style="mso-fit-shape-to-text:t" inset="0,0,0,0">
                <w:txbxContent>
                  <w:p w:rsidR="004422BA" w:rsidRDefault="004422BA">
                    <w:r>
                      <w:rPr>
                        <w:rFonts w:ascii="Arial" w:hAnsi="Arial" w:cs="Arial"/>
                        <w:color w:val="000000"/>
                        <w:sz w:val="12"/>
                        <w:szCs w:val="12"/>
                      </w:rPr>
                      <w:t>A40</w:t>
                    </w:r>
                  </w:p>
                </w:txbxContent>
              </v:textbox>
            </v:rect>
            <v:rect id="_x0000_s1126" style="position:absolute;left:364;top:6219;width:3722;height:138;mso-wrap-style:none" filled="f" stroked="f">
              <v:textbox style="mso-fit-shape-to-text:t" inset="0,0,0,0">
                <w:txbxContent>
                  <w:p w:rsidR="004422BA" w:rsidRDefault="004422BA">
                    <w:r>
                      <w:rPr>
                        <w:rFonts w:ascii="Arial" w:hAnsi="Arial" w:cs="Arial"/>
                        <w:color w:val="000000"/>
                        <w:sz w:val="12"/>
                        <w:szCs w:val="12"/>
                      </w:rPr>
                      <w:t xml:space="preserve">  Financing general government (gener. Gov. borrowing requirements)</w:t>
                    </w:r>
                  </w:p>
                </w:txbxContent>
              </v:textbox>
            </v:rect>
            <v:rect id="_x0000_s1127" style="position:absolute;left:25;top:6369;width:214;height:138;mso-wrap-style:none" filled="f" stroked="f">
              <v:textbox style="mso-fit-shape-to-text:t" inset="0,0,0,0">
                <w:txbxContent>
                  <w:p w:rsidR="004422BA" w:rsidRDefault="004422BA">
                    <w:r>
                      <w:rPr>
                        <w:rFonts w:ascii="Arial" w:hAnsi="Arial" w:cs="Arial"/>
                        <w:color w:val="000000"/>
                        <w:sz w:val="12"/>
                        <w:szCs w:val="12"/>
                      </w:rPr>
                      <w:t>A41</w:t>
                    </w:r>
                  </w:p>
                </w:txbxContent>
              </v:textbox>
            </v:rect>
            <v:rect id="_x0000_s1128" style="position:absolute;left:364;top:6369;width:634;height:138;mso-wrap-style:none" filled="f" stroked="f">
              <v:textbox style="mso-fit-shape-to-text:t" inset="0,0,0,0">
                <w:txbxContent>
                  <w:p w:rsidR="004422BA" w:rsidRDefault="004422BA">
                    <w:r>
                      <w:rPr>
                        <w:rFonts w:ascii="Arial" w:hAnsi="Arial" w:cs="Arial"/>
                        <w:color w:val="000000"/>
                        <w:sz w:val="12"/>
                        <w:szCs w:val="12"/>
                      </w:rPr>
                      <w:t xml:space="preserve">    Domestic</w:t>
                    </w:r>
                  </w:p>
                </w:txbxContent>
              </v:textbox>
            </v:rect>
            <v:rect id="_x0000_s1129" style="position:absolute;left:4378;top:6369;width:1308;height:138;mso-wrap-style:none" filled="f" stroked="f">
              <v:textbox style="mso-fit-shape-to-text:t" inset="0,0,0,0">
                <w:txbxContent>
                  <w:p w:rsidR="004422BA" w:rsidRDefault="004422BA">
                    <w:r>
                      <w:rPr>
                        <w:rFonts w:ascii="Arial" w:hAnsi="Arial" w:cs="Arial"/>
                        <w:color w:val="000000"/>
                        <w:sz w:val="12"/>
                        <w:szCs w:val="12"/>
                      </w:rPr>
                      <w:t>Monetary Accounts: A91</w:t>
                    </w:r>
                  </w:p>
                </w:txbxContent>
              </v:textbox>
            </v:rect>
            <v:rect id="_x0000_s1130" style="position:absolute;left:25;top:6520;width:214;height:138;mso-wrap-style:none" filled="f" stroked="f">
              <v:textbox style="mso-fit-shape-to-text:t" inset="0,0,0,0">
                <w:txbxContent>
                  <w:p w:rsidR="004422BA" w:rsidRDefault="004422BA">
                    <w:r>
                      <w:rPr>
                        <w:rFonts w:ascii="Arial" w:hAnsi="Arial" w:cs="Arial"/>
                        <w:color w:val="000000"/>
                        <w:sz w:val="12"/>
                        <w:szCs w:val="12"/>
                      </w:rPr>
                      <w:t>A42</w:t>
                    </w:r>
                  </w:p>
                </w:txbxContent>
              </v:textbox>
            </v:rect>
            <v:rect id="_x0000_s1131" style="position:absolute;left:364;top:6520;width:541;height:138;mso-wrap-style:none" filled="f" stroked="f">
              <v:textbox style="mso-fit-shape-to-text:t" inset="0,0,0,0">
                <w:txbxContent>
                  <w:p w:rsidR="004422BA" w:rsidRDefault="004422BA">
                    <w:r>
                      <w:rPr>
                        <w:rFonts w:ascii="Arial" w:hAnsi="Arial" w:cs="Arial"/>
                        <w:color w:val="000000"/>
                        <w:sz w:val="12"/>
                        <w:szCs w:val="12"/>
                      </w:rPr>
                      <w:t xml:space="preserve">    Foreign</w:t>
                    </w:r>
                  </w:p>
                </w:txbxContent>
              </v:textbox>
            </v:rect>
            <v:rect id="_x0000_s1132" style="position:absolute;left:4378;top:6520;width:1415;height:138;mso-wrap-style:none" filled="f" stroked="f">
              <v:textbox style="mso-fit-shape-to-text:t" inset="0,0,0,0">
                <w:txbxContent>
                  <w:p w:rsidR="004422BA" w:rsidRDefault="004422BA">
                    <w:r>
                      <w:rPr>
                        <w:rFonts w:ascii="Arial" w:hAnsi="Arial" w:cs="Arial"/>
                        <w:color w:val="000000"/>
                        <w:sz w:val="12"/>
                        <w:szCs w:val="12"/>
                      </w:rPr>
                      <w:t>Balance of Payments: A76</w:t>
                    </w:r>
                  </w:p>
                </w:txbxContent>
              </v:textbox>
            </v:rect>
            <v:rect id="_x0000_s1133" style="position:absolute;left:25;top:6682;width:214;height:138;mso-wrap-style:none" filled="f" stroked="f">
              <v:textbox style="mso-fit-shape-to-text:t" inset="0,0,0,0">
                <w:txbxContent>
                  <w:p w:rsidR="004422BA" w:rsidRDefault="004422BA">
                    <w:r>
                      <w:rPr>
                        <w:rFonts w:ascii="Arial" w:hAnsi="Arial" w:cs="Arial"/>
                        <w:color w:val="000000"/>
                        <w:sz w:val="12"/>
                        <w:szCs w:val="12"/>
                      </w:rPr>
                      <w:t>A43</w:t>
                    </w:r>
                  </w:p>
                </w:txbxContent>
              </v:textbox>
            </v:rect>
            <v:rect id="_x0000_s1134" style="position:absolute;left:25;top:6832;width:214;height:138;mso-wrap-style:none" filled="f" stroked="f">
              <v:textbox style="mso-fit-shape-to-text:t" inset="0,0,0,0">
                <w:txbxContent>
                  <w:p w:rsidR="004422BA" w:rsidRDefault="004422BA">
                    <w:r>
                      <w:rPr>
                        <w:rFonts w:ascii="Arial" w:hAnsi="Arial" w:cs="Arial"/>
                        <w:color w:val="000000"/>
                        <w:sz w:val="12"/>
                        <w:szCs w:val="12"/>
                      </w:rPr>
                      <w:t>A44</w:t>
                    </w:r>
                  </w:p>
                </w:txbxContent>
              </v:textbox>
            </v:rect>
            <v:rect id="_x0000_s1135" style="position:absolute;left:364;top:6832;width:2188;height:138;mso-wrap-style:none" filled="f" stroked="f">
              <v:textbox style="mso-fit-shape-to-text:t" inset="0,0,0,0">
                <w:txbxContent>
                  <w:p w:rsidR="004422BA" w:rsidRDefault="004422BA">
                    <w:r>
                      <w:rPr>
                        <w:rFonts w:ascii="Arial" w:hAnsi="Arial" w:cs="Arial"/>
                        <w:color w:val="000000"/>
                        <w:sz w:val="12"/>
                        <w:szCs w:val="12"/>
                      </w:rPr>
                      <w:t>Non-Financial State Enterprises (NFSEs)</w:t>
                    </w:r>
                  </w:p>
                </w:txbxContent>
              </v:textbox>
            </v:rect>
            <v:rect id="_x0000_s1136" style="position:absolute;left:25;top:6995;width:214;height:138;mso-wrap-style:none" filled="f" stroked="f">
              <v:textbox style="mso-fit-shape-to-text:t" inset="0,0,0,0">
                <w:txbxContent>
                  <w:p w:rsidR="004422BA" w:rsidRDefault="004422BA">
                    <w:r>
                      <w:rPr>
                        <w:rFonts w:ascii="Arial" w:hAnsi="Arial" w:cs="Arial"/>
                        <w:color w:val="000000"/>
                        <w:sz w:val="12"/>
                        <w:szCs w:val="12"/>
                      </w:rPr>
                      <w:t>A45</w:t>
                    </w:r>
                  </w:p>
                </w:txbxContent>
              </v:textbox>
            </v:rect>
            <v:rect id="_x0000_s1137" style="position:absolute;left:364;top:6995;width:1014;height:138;mso-wrap-style:none" filled="f" stroked="f">
              <v:textbox style="mso-fit-shape-to-text:t" inset="0,0,0,0">
                <w:txbxContent>
                  <w:p w:rsidR="004422BA" w:rsidRDefault="004422BA">
                    <w:r>
                      <w:rPr>
                        <w:rFonts w:ascii="Arial" w:hAnsi="Arial" w:cs="Arial"/>
                        <w:color w:val="000000"/>
                        <w:sz w:val="12"/>
                        <w:szCs w:val="12"/>
                      </w:rPr>
                      <w:t xml:space="preserve">  Operating surplus</w:t>
                    </w:r>
                  </w:p>
                </w:txbxContent>
              </v:textbox>
            </v:rect>
            <v:rect id="_x0000_s1138" style="position:absolute;left:25;top:7145;width:214;height:138;mso-wrap-style:none" filled="f" stroked="f">
              <v:textbox style="mso-fit-shape-to-text:t" inset="0,0,0,0">
                <w:txbxContent>
                  <w:p w:rsidR="004422BA" w:rsidRDefault="004422BA">
                    <w:r>
                      <w:rPr>
                        <w:rFonts w:ascii="Arial" w:hAnsi="Arial" w:cs="Arial"/>
                        <w:color w:val="000000"/>
                        <w:sz w:val="12"/>
                        <w:szCs w:val="12"/>
                      </w:rPr>
                      <w:t>A46</w:t>
                    </w:r>
                  </w:p>
                </w:txbxContent>
              </v:textbox>
            </v:rect>
            <v:rect id="_x0000_s1139" style="position:absolute;left:364;top:7145;width:1101;height:138;mso-wrap-style:none" filled="f" stroked="f">
              <v:textbox style="mso-fit-shape-to-text:t" inset="0,0,0,0">
                <w:txbxContent>
                  <w:p w:rsidR="004422BA" w:rsidRDefault="004422BA">
                    <w:r>
                      <w:rPr>
                        <w:rFonts w:ascii="Arial" w:hAnsi="Arial" w:cs="Arial"/>
                        <w:color w:val="000000"/>
                        <w:sz w:val="12"/>
                        <w:szCs w:val="12"/>
                      </w:rPr>
                      <w:t xml:space="preserve">  Capital expenditure</w:t>
                    </w:r>
                  </w:p>
                </w:txbxContent>
              </v:textbox>
            </v:rect>
            <v:rect id="_x0000_s1140" style="position:absolute;left:25;top:7295;width:214;height:138;mso-wrap-style:none" filled="f" stroked="f">
              <v:textbox style="mso-fit-shape-to-text:t" inset="0,0,0,0">
                <w:txbxContent>
                  <w:p w:rsidR="004422BA" w:rsidRDefault="004422BA">
                    <w:r>
                      <w:rPr>
                        <w:rFonts w:ascii="Arial" w:hAnsi="Arial" w:cs="Arial"/>
                        <w:color w:val="000000"/>
                        <w:sz w:val="12"/>
                        <w:szCs w:val="12"/>
                      </w:rPr>
                      <w:t>A47</w:t>
                    </w:r>
                  </w:p>
                </w:txbxContent>
              </v:textbox>
            </v:rect>
            <v:rect id="_x0000_s1141" style="position:absolute;left:364;top:7295;width:721;height:138;mso-wrap-style:none" filled="f" stroked="f">
              <v:textbox style="mso-fit-shape-to-text:t" inset="0,0,0,0">
                <w:txbxContent>
                  <w:p w:rsidR="004422BA" w:rsidRDefault="004422BA">
                    <w:r>
                      <w:rPr>
                        <w:rFonts w:ascii="Arial" w:hAnsi="Arial" w:cs="Arial"/>
                        <w:color w:val="000000"/>
                        <w:sz w:val="12"/>
                        <w:szCs w:val="12"/>
                      </w:rPr>
                      <w:t xml:space="preserve">    Investment</w:t>
                    </w:r>
                  </w:p>
                </w:txbxContent>
              </v:textbox>
            </v:rect>
            <v:rect id="_x0000_s1142" style="position:absolute;left:4378;top:7295;width:1248;height:138;mso-wrap-style:none" filled="f" stroked="f">
              <v:textbox style="mso-fit-shape-to-text:t" inset="0,0,0,0">
                <w:txbxContent>
                  <w:p w:rsidR="004422BA" w:rsidRDefault="004422BA">
                    <w:r>
                      <w:rPr>
                        <w:rFonts w:ascii="Arial" w:hAnsi="Arial" w:cs="Arial"/>
                        <w:color w:val="000000"/>
                        <w:sz w:val="12"/>
                        <w:szCs w:val="12"/>
                      </w:rPr>
                      <w:t>National Accounts: A15</w:t>
                    </w:r>
                  </w:p>
                </w:txbxContent>
              </v:textbox>
            </v:rect>
            <v:rect id="_x0000_s1143" style="position:absolute;left:25;top:7458;width:214;height:138;mso-wrap-style:none" filled="f" stroked="f">
              <v:textbox style="mso-fit-shape-to-text:t" inset="0,0,0,0">
                <w:txbxContent>
                  <w:p w:rsidR="004422BA" w:rsidRDefault="004422BA">
                    <w:r>
                      <w:rPr>
                        <w:rFonts w:ascii="Arial" w:hAnsi="Arial" w:cs="Arial"/>
                        <w:color w:val="000000"/>
                        <w:sz w:val="12"/>
                        <w:szCs w:val="12"/>
                      </w:rPr>
                      <w:t>A48</w:t>
                    </w:r>
                  </w:p>
                </w:txbxContent>
              </v:textbox>
            </v:rect>
            <v:rect id="_x0000_s1144" style="position:absolute;left:364;top:7458;width:1448;height:138;mso-wrap-style:none" filled="f" stroked="f">
              <v:textbox style="mso-fit-shape-to-text:t" inset="0,0,0,0">
                <w:txbxContent>
                  <w:p w:rsidR="004422BA" w:rsidRDefault="004422BA">
                    <w:r>
                      <w:rPr>
                        <w:rFonts w:ascii="Arial" w:hAnsi="Arial" w:cs="Arial"/>
                        <w:color w:val="000000"/>
                        <w:sz w:val="12"/>
                        <w:szCs w:val="12"/>
                      </w:rPr>
                      <w:t xml:space="preserve">    Other capita expenditure</w:t>
                    </w:r>
                  </w:p>
                </w:txbxContent>
              </v:textbox>
            </v:rect>
            <v:rect id="_x0000_s1145" style="position:absolute;left:25;top:7608;width:214;height:138;mso-wrap-style:none" filled="f" stroked="f">
              <v:textbox style="mso-fit-shape-to-text:t" inset="0,0,0,0">
                <w:txbxContent>
                  <w:p w:rsidR="004422BA" w:rsidRDefault="004422BA">
                    <w:r>
                      <w:rPr>
                        <w:rFonts w:ascii="Arial" w:hAnsi="Arial" w:cs="Arial"/>
                        <w:color w:val="000000"/>
                        <w:sz w:val="12"/>
                        <w:szCs w:val="12"/>
                      </w:rPr>
                      <w:t>A49</w:t>
                    </w:r>
                  </w:p>
                </w:txbxContent>
              </v:textbox>
            </v:rect>
            <v:rect id="_x0000_s1146" style="position:absolute;left:364;top:7608;width:1201;height:138;mso-wrap-style:none" filled="f" stroked="f">
              <v:textbox style="mso-fit-shape-to-text:t" inset="0,0,0,0">
                <w:txbxContent>
                  <w:p w:rsidR="004422BA" w:rsidRDefault="004422BA">
                    <w:r>
                      <w:rPr>
                        <w:rFonts w:ascii="Arial" w:hAnsi="Arial" w:cs="Arial"/>
                        <w:color w:val="000000"/>
                        <w:sz w:val="12"/>
                        <w:szCs w:val="12"/>
                      </w:rPr>
                      <w:t xml:space="preserve">  Total balance NFSEs</w:t>
                    </w:r>
                  </w:p>
                </w:txbxContent>
              </v:textbox>
            </v:rect>
            <v:rect id="_x0000_s1147" style="position:absolute;left:25;top:7771;width:214;height:138;mso-wrap-style:none" filled="f" stroked="f">
              <v:textbox style="mso-fit-shape-to-text:t" inset="0,0,0,0">
                <w:txbxContent>
                  <w:p w:rsidR="004422BA" w:rsidRDefault="004422BA">
                    <w:r>
                      <w:rPr>
                        <w:rFonts w:ascii="Arial" w:hAnsi="Arial" w:cs="Arial"/>
                        <w:color w:val="000000"/>
                        <w:sz w:val="12"/>
                        <w:szCs w:val="12"/>
                      </w:rPr>
                      <w:t>A50</w:t>
                    </w:r>
                  </w:p>
                </w:txbxContent>
              </v:textbox>
            </v:rect>
            <v:rect id="_x0000_s1148" style="position:absolute;left:364;top:7771;width:2788;height:138;mso-wrap-style:none" filled="f" stroked="f">
              <v:textbox style="mso-fit-shape-to-text:t" inset="0,0,0,0">
                <w:txbxContent>
                  <w:p w:rsidR="004422BA" w:rsidRDefault="004422BA">
                    <w:r>
                      <w:rPr>
                        <w:rFonts w:ascii="Arial" w:hAnsi="Arial" w:cs="Arial"/>
                        <w:color w:val="000000"/>
                        <w:sz w:val="12"/>
                        <w:szCs w:val="12"/>
                      </w:rPr>
                      <w:t xml:space="preserve">  Financing NFSEs (NFSEs borrowing requirements)</w:t>
                    </w:r>
                  </w:p>
                </w:txbxContent>
              </v:textbox>
            </v:rect>
            <v:rect id="_x0000_s1149" style="position:absolute;left:25;top:7921;width:214;height:138;mso-wrap-style:none" filled="f" stroked="f">
              <v:textbox style="mso-fit-shape-to-text:t" inset="0,0,0,0">
                <w:txbxContent>
                  <w:p w:rsidR="004422BA" w:rsidRDefault="004422BA">
                    <w:r>
                      <w:rPr>
                        <w:rFonts w:ascii="Arial" w:hAnsi="Arial" w:cs="Arial"/>
                        <w:color w:val="000000"/>
                        <w:sz w:val="12"/>
                        <w:szCs w:val="12"/>
                      </w:rPr>
                      <w:t>A51</w:t>
                    </w:r>
                  </w:p>
                </w:txbxContent>
              </v:textbox>
            </v:rect>
            <v:rect id="_x0000_s1150" style="position:absolute;left:364;top:7921;width:567;height:138;mso-wrap-style:none" filled="f" stroked="f">
              <v:textbox style="mso-fit-shape-to-text:t" inset="0,0,0,0">
                <w:txbxContent>
                  <w:p w:rsidR="004422BA" w:rsidRDefault="004422BA">
                    <w:r>
                      <w:rPr>
                        <w:rFonts w:ascii="Arial" w:hAnsi="Arial" w:cs="Arial"/>
                        <w:color w:val="000000"/>
                        <w:sz w:val="12"/>
                        <w:szCs w:val="12"/>
                      </w:rPr>
                      <w:t xml:space="preserve">  Domestic</w:t>
                    </w:r>
                  </w:p>
                </w:txbxContent>
              </v:textbox>
            </v:rect>
            <v:rect id="_x0000_s1151" style="position:absolute;left:4378;top:7921;width:1308;height:138;mso-wrap-style:none" filled="f" stroked="f">
              <v:textbox style="mso-fit-shape-to-text:t" inset="0,0,0,0">
                <w:txbxContent>
                  <w:p w:rsidR="004422BA" w:rsidRDefault="004422BA">
                    <w:r>
                      <w:rPr>
                        <w:rFonts w:ascii="Arial" w:hAnsi="Arial" w:cs="Arial"/>
                        <w:color w:val="000000"/>
                        <w:sz w:val="12"/>
                        <w:szCs w:val="12"/>
                      </w:rPr>
                      <w:t>Monetary Accounts: A92</w:t>
                    </w:r>
                  </w:p>
                </w:txbxContent>
              </v:textbox>
            </v:rect>
            <v:rect id="_x0000_s1152" style="position:absolute;left:25;top:8071;width:214;height:138;mso-wrap-style:none" filled="f" stroked="f">
              <v:textbox style="mso-fit-shape-to-text:t" inset="0,0,0,0">
                <w:txbxContent>
                  <w:p w:rsidR="004422BA" w:rsidRDefault="004422BA">
                    <w:r>
                      <w:rPr>
                        <w:rFonts w:ascii="Arial" w:hAnsi="Arial" w:cs="Arial"/>
                        <w:color w:val="000000"/>
                        <w:sz w:val="12"/>
                        <w:szCs w:val="12"/>
                      </w:rPr>
                      <w:t>A52</w:t>
                    </w:r>
                  </w:p>
                </w:txbxContent>
              </v:textbox>
            </v:rect>
            <v:rect id="_x0000_s1153" style="position:absolute;left:364;top:8071;width:474;height:138;mso-wrap-style:none" filled="f" stroked="f">
              <v:textbox style="mso-fit-shape-to-text:t" inset="0,0,0,0">
                <w:txbxContent>
                  <w:p w:rsidR="004422BA" w:rsidRDefault="004422BA">
                    <w:r>
                      <w:rPr>
                        <w:rFonts w:ascii="Arial" w:hAnsi="Arial" w:cs="Arial"/>
                        <w:color w:val="000000"/>
                        <w:sz w:val="12"/>
                        <w:szCs w:val="12"/>
                      </w:rPr>
                      <w:t xml:space="preserve">  Foreign</w:t>
                    </w:r>
                  </w:p>
                </w:txbxContent>
              </v:textbox>
            </v:rect>
            <v:rect id="_x0000_s1154" style="position:absolute;left:4378;top:8071;width:1415;height:138;mso-wrap-style:none" filled="f" stroked="f">
              <v:textbox style="mso-fit-shape-to-text:t" inset="0,0,0,0">
                <w:txbxContent>
                  <w:p w:rsidR="004422BA" w:rsidRDefault="004422BA">
                    <w:r>
                      <w:rPr>
                        <w:rFonts w:ascii="Arial" w:hAnsi="Arial" w:cs="Arial"/>
                        <w:color w:val="000000"/>
                        <w:sz w:val="12"/>
                        <w:szCs w:val="12"/>
                      </w:rPr>
                      <w:t>Balance of Payments: A76</w:t>
                    </w:r>
                  </w:p>
                </w:txbxContent>
              </v:textbox>
            </v:rect>
            <v:rect id="_x0000_s1155" style="position:absolute;left:25;top:8234;width:214;height:138;mso-wrap-style:none" filled="f" stroked="f">
              <v:textbox style="mso-fit-shape-to-text:t" inset="0,0,0,0">
                <w:txbxContent>
                  <w:p w:rsidR="004422BA" w:rsidRDefault="004422BA">
                    <w:r>
                      <w:rPr>
                        <w:rFonts w:ascii="Arial" w:hAnsi="Arial" w:cs="Arial"/>
                        <w:color w:val="000000"/>
                        <w:sz w:val="12"/>
                        <w:szCs w:val="12"/>
                      </w:rPr>
                      <w:t>A53</w:t>
                    </w:r>
                  </w:p>
                </w:txbxContent>
              </v:textbox>
            </v:rect>
            <v:rect id="_x0000_s1156" style="position:absolute;left:25;top:8384;width:214;height:138;mso-wrap-style:none" filled="f" stroked="f">
              <v:textbox style="mso-fit-shape-to-text:t" inset="0,0,0,0">
                <w:txbxContent>
                  <w:p w:rsidR="004422BA" w:rsidRDefault="004422BA">
                    <w:r>
                      <w:rPr>
                        <w:rFonts w:ascii="Arial" w:hAnsi="Arial" w:cs="Arial"/>
                        <w:color w:val="000000"/>
                        <w:sz w:val="12"/>
                        <w:szCs w:val="12"/>
                      </w:rPr>
                      <w:t>A54</w:t>
                    </w:r>
                  </w:p>
                </w:txbxContent>
              </v:textbox>
            </v:rect>
            <v:rect id="_x0000_s1157" style="position:absolute;left:364;top:8384;width:2608;height:138;mso-wrap-style:none" filled="f" stroked="f">
              <v:textbox style="mso-fit-shape-to-text:t" inset="0,0,0,0">
                <w:txbxContent>
                  <w:p w:rsidR="004422BA" w:rsidRDefault="004422BA">
                    <w:r>
                      <w:rPr>
                        <w:rFonts w:ascii="Arial" w:hAnsi="Arial" w:cs="Arial"/>
                        <w:color w:val="000000"/>
                        <w:sz w:val="12"/>
                        <w:szCs w:val="12"/>
                      </w:rPr>
                      <w:t xml:space="preserve">  Consolidated primary balance NFPS cash basis</w:t>
                    </w:r>
                  </w:p>
                </w:txbxContent>
              </v:textbox>
            </v:rect>
            <v:rect id="_x0000_s1158" style="position:absolute;left:25;top:8547;width:214;height:138;mso-wrap-style:none" filled="f" stroked="f">
              <v:textbox style="mso-fit-shape-to-text:t" inset="0,0,0,0">
                <w:txbxContent>
                  <w:p w:rsidR="004422BA" w:rsidRDefault="004422BA">
                    <w:r>
                      <w:rPr>
                        <w:rFonts w:ascii="Arial" w:hAnsi="Arial" w:cs="Arial"/>
                        <w:color w:val="000000"/>
                        <w:sz w:val="12"/>
                        <w:szCs w:val="12"/>
                      </w:rPr>
                      <w:t>A55</w:t>
                    </w:r>
                  </w:p>
                </w:txbxContent>
              </v:textbox>
            </v:rect>
            <v:rect id="_x0000_s1159" style="position:absolute;left:364;top:8547;width:2555;height:138;mso-wrap-style:none" filled="f" stroked="f">
              <v:textbox style="mso-fit-shape-to-text:t" inset="0,0,0,0">
                <w:txbxContent>
                  <w:p w:rsidR="004422BA" w:rsidRDefault="004422BA">
                    <w:r>
                      <w:rPr>
                        <w:rFonts w:ascii="Arial" w:hAnsi="Arial" w:cs="Arial"/>
                        <w:color w:val="000000"/>
                        <w:sz w:val="12"/>
                        <w:szCs w:val="12"/>
                      </w:rPr>
                      <w:t xml:space="preserve">  Consolidated overall valance NFPS cash basis</w:t>
                    </w:r>
                  </w:p>
                </w:txbxContent>
              </v:textbox>
            </v:rect>
            <v:rect id="_x0000_s1160" style="position:absolute;left:25;top:8697;width:214;height:138;mso-wrap-style:none" filled="f" stroked="f">
              <v:textbox style="mso-fit-shape-to-text:t" inset="0,0,0,0">
                <w:txbxContent>
                  <w:p w:rsidR="004422BA" w:rsidRDefault="004422BA">
                    <w:r>
                      <w:rPr>
                        <w:rFonts w:ascii="Arial" w:hAnsi="Arial" w:cs="Arial"/>
                        <w:color w:val="000000"/>
                        <w:sz w:val="12"/>
                        <w:szCs w:val="12"/>
                      </w:rPr>
                      <w:t>A56</w:t>
                    </w:r>
                  </w:p>
                </w:txbxContent>
              </v:textbox>
            </v:rect>
            <v:rect id="_x0000_s1161" style="position:absolute;left:364;top:8697;width:2668;height:138;mso-wrap-style:none" filled="f" stroked="f">
              <v:textbox style="mso-fit-shape-to-text:t" inset="0,0,0,0">
                <w:txbxContent>
                  <w:p w:rsidR="004422BA" w:rsidRDefault="004422BA">
                    <w:r>
                      <w:rPr>
                        <w:rFonts w:ascii="Arial" w:hAnsi="Arial" w:cs="Arial"/>
                        <w:color w:val="000000"/>
                        <w:sz w:val="12"/>
                        <w:szCs w:val="12"/>
                      </w:rPr>
                      <w:t xml:space="preserve">  Financing NFPS (NFPS borrowing requirements)</w:t>
                    </w:r>
                  </w:p>
                </w:txbxContent>
              </v:textbox>
            </v:rect>
            <v:rect id="_x0000_s1162" style="position:absolute;left:4378;top:8697;width:1308;height:138;mso-wrap-style:none" filled="f" stroked="f">
              <v:textbox style="mso-fit-shape-to-text:t" inset="0,0,0,0">
                <w:txbxContent>
                  <w:p w:rsidR="004422BA" w:rsidRDefault="004422BA">
                    <w:r>
                      <w:rPr>
                        <w:rFonts w:ascii="Arial" w:hAnsi="Arial" w:cs="Arial"/>
                        <w:color w:val="000000"/>
                        <w:sz w:val="12"/>
                        <w:szCs w:val="12"/>
                      </w:rPr>
                      <w:t>Monetary Accounts: A92</w:t>
                    </w:r>
                  </w:p>
                </w:txbxContent>
              </v:textbox>
            </v:rect>
            <v:rect id="_x0000_s1163" style="position:absolute;left:25;top:8847;width:214;height:138;mso-wrap-style:none" filled="f" stroked="f">
              <v:textbox style="mso-fit-shape-to-text:t" inset="0,0,0,0">
                <w:txbxContent>
                  <w:p w:rsidR="004422BA" w:rsidRDefault="004422BA">
                    <w:r>
                      <w:rPr>
                        <w:rFonts w:ascii="Arial" w:hAnsi="Arial" w:cs="Arial"/>
                        <w:color w:val="000000"/>
                        <w:sz w:val="12"/>
                        <w:szCs w:val="12"/>
                      </w:rPr>
                      <w:t>A57</w:t>
                    </w:r>
                  </w:p>
                </w:txbxContent>
              </v:textbox>
            </v:rect>
            <v:rect id="_x0000_s1164" style="position:absolute;left:364;top:8847;width:634;height:138;mso-wrap-style:none" filled="f" stroked="f">
              <v:textbox style="mso-fit-shape-to-text:t" inset="0,0,0,0">
                <w:txbxContent>
                  <w:p w:rsidR="004422BA" w:rsidRDefault="004422BA">
                    <w:r>
                      <w:rPr>
                        <w:rFonts w:ascii="Arial" w:hAnsi="Arial" w:cs="Arial"/>
                        <w:color w:val="000000"/>
                        <w:sz w:val="12"/>
                        <w:szCs w:val="12"/>
                      </w:rPr>
                      <w:t xml:space="preserve">    Domestic</w:t>
                    </w:r>
                  </w:p>
                </w:txbxContent>
              </v:textbox>
            </v:rect>
            <v:rect id="_x0000_s1165" style="position:absolute;left:4378;top:8847;width:1415;height:138;mso-wrap-style:none" filled="f" stroked="f">
              <v:textbox style="mso-fit-shape-to-text:t" inset="0,0,0,0">
                <w:txbxContent>
                  <w:p w:rsidR="004422BA" w:rsidRDefault="004422BA">
                    <w:r>
                      <w:rPr>
                        <w:rFonts w:ascii="Arial" w:hAnsi="Arial" w:cs="Arial"/>
                        <w:color w:val="000000"/>
                        <w:sz w:val="12"/>
                        <w:szCs w:val="12"/>
                      </w:rPr>
                      <w:t>Balance of Payments: A76</w:t>
                    </w:r>
                  </w:p>
                </w:txbxContent>
              </v:textbox>
            </v:rect>
            <v:rect id="_x0000_s1166" style="position:absolute;left:25;top:9010;width:214;height:138;mso-wrap-style:none" filled="f" stroked="f">
              <v:textbox style="mso-fit-shape-to-text:t" inset="0,0,0,0">
                <w:txbxContent>
                  <w:p w:rsidR="004422BA" w:rsidRDefault="004422BA">
                    <w:r>
                      <w:rPr>
                        <w:rFonts w:ascii="Arial" w:hAnsi="Arial" w:cs="Arial"/>
                        <w:color w:val="000000"/>
                        <w:sz w:val="12"/>
                        <w:szCs w:val="12"/>
                      </w:rPr>
                      <w:t>A58</w:t>
                    </w:r>
                  </w:p>
                </w:txbxContent>
              </v:textbox>
            </v:rect>
            <v:rect id="_x0000_s1167" style="position:absolute;left:364;top:9010;width:541;height:138;mso-wrap-style:none" filled="f" stroked="f">
              <v:textbox style="mso-fit-shape-to-text:t" inset="0,0,0,0">
                <w:txbxContent>
                  <w:p w:rsidR="004422BA" w:rsidRDefault="004422BA">
                    <w:r>
                      <w:rPr>
                        <w:rFonts w:ascii="Arial" w:hAnsi="Arial" w:cs="Arial"/>
                        <w:color w:val="000000"/>
                        <w:sz w:val="12"/>
                        <w:szCs w:val="12"/>
                      </w:rPr>
                      <w:t xml:space="preserve">    Foreign</w:t>
                    </w:r>
                  </w:p>
                </w:txbxContent>
              </v:textbox>
            </v:rect>
            <v:line id="_x0000_s1168" style="position:absolute" from="339,313" to="8630,314" strokeweight="0"/>
            <v:rect id="_x0000_s1169" style="position:absolute;left:339;top:313;width:8291;height:12" fillcolor="black" stroked="f"/>
            <v:line id="_x0000_s1170" style="position:absolute" from="339,626" to="7990,627" strokeweight="0"/>
            <v:rect id="_x0000_s1171" style="position:absolute;left:339;top:626;width:7651;height:12" fillcolor="black" stroked="f"/>
            <v:line id="_x0000_s1172" style="position:absolute" from="0,9147" to="7990,9148" strokeweight="0"/>
            <v:rect id="_x0000_s1173" style="position:absolute;top:9147;width:7990;height:13" fillcolor="black" stroked="f"/>
            <w10:wrap type="none"/>
            <w10:anchorlock/>
          </v:group>
        </w:pict>
      </w:r>
    </w:p>
    <w:p w:rsidR="005B6D7A" w:rsidRDefault="005B6D7A" w:rsidP="005B6D7A">
      <w:pPr>
        <w:spacing w:before="100" w:beforeAutospacing="1" w:after="100" w:afterAutospacing="1"/>
        <w:ind w:left="360"/>
      </w:pPr>
    </w:p>
    <w:p w:rsidR="005B6D7A" w:rsidRDefault="005B6D7A" w:rsidP="005B6D7A">
      <w:pPr>
        <w:spacing w:before="100" w:beforeAutospacing="1" w:after="100" w:afterAutospacing="1"/>
        <w:ind w:left="360"/>
      </w:pPr>
    </w:p>
    <w:p w:rsidR="005B6D7A" w:rsidRDefault="005B6D7A" w:rsidP="005B6D7A">
      <w:pPr>
        <w:spacing w:before="100" w:beforeAutospacing="1" w:after="100" w:afterAutospacing="1"/>
        <w:ind w:left="360"/>
      </w:pPr>
    </w:p>
    <w:p w:rsidR="005B6D7A" w:rsidRDefault="005B6D7A" w:rsidP="005B6D7A">
      <w:pPr>
        <w:spacing w:before="100" w:beforeAutospacing="1" w:after="100" w:afterAutospacing="1"/>
        <w:ind w:left="360"/>
      </w:pPr>
    </w:p>
    <w:p w:rsidR="005B6D7A" w:rsidRDefault="005B6D7A" w:rsidP="005B6D7A">
      <w:pPr>
        <w:spacing w:before="100" w:beforeAutospacing="1" w:after="100" w:afterAutospacing="1"/>
        <w:ind w:left="360"/>
      </w:pPr>
    </w:p>
    <w:p w:rsidR="005B6D7A" w:rsidRDefault="0053213E" w:rsidP="005B6D7A">
      <w:pPr>
        <w:spacing w:before="100" w:beforeAutospacing="1" w:after="100" w:afterAutospacing="1"/>
        <w:ind w:left="360"/>
        <w:rPr>
          <w:iCs/>
          <w:color w:val="000000"/>
        </w:rPr>
      </w:pPr>
      <w:r>
        <w:rPr>
          <w:noProof/>
        </w:rPr>
        <w:drawing>
          <wp:inline distT="0" distB="0" distL="0" distR="0">
            <wp:extent cx="5480050" cy="47942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480050" cy="4794250"/>
                    </a:xfrm>
                    <a:prstGeom prst="rect">
                      <a:avLst/>
                    </a:prstGeom>
                    <a:noFill/>
                    <a:ln w="9525">
                      <a:noFill/>
                      <a:miter lim="800000"/>
                      <a:headEnd/>
                      <a:tailEnd/>
                    </a:ln>
                  </pic:spPr>
                </pic:pic>
              </a:graphicData>
            </a:graphic>
          </wp:inline>
        </w:drawing>
      </w:r>
    </w:p>
    <w:p w:rsidR="009569C8" w:rsidRDefault="005B6D7A" w:rsidP="00B63385">
      <w:pPr>
        <w:jc w:val="both"/>
      </w:pPr>
      <w:r>
        <w:br w:type="page"/>
      </w:r>
    </w:p>
    <w:p w:rsidR="006B47BB" w:rsidRDefault="0053213E" w:rsidP="00B63385">
      <w:pPr>
        <w:jc w:val="both"/>
      </w:pPr>
      <w:r>
        <w:rPr>
          <w:noProof/>
        </w:rPr>
        <w:lastRenderedPageBreak/>
        <w:drawing>
          <wp:inline distT="0" distB="0" distL="0" distR="0">
            <wp:extent cx="5480050" cy="6813550"/>
            <wp:effectExtent l="1905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480050" cy="6813550"/>
                    </a:xfrm>
                    <a:prstGeom prst="rect">
                      <a:avLst/>
                    </a:prstGeom>
                    <a:noFill/>
                    <a:ln w="9525">
                      <a:noFill/>
                      <a:miter lim="800000"/>
                      <a:headEnd/>
                      <a:tailEnd/>
                    </a:ln>
                  </pic:spPr>
                </pic:pic>
              </a:graphicData>
            </a:graphic>
          </wp:inline>
        </w:drawing>
      </w:r>
      <w:r w:rsidR="006B47BB">
        <w:br w:type="page"/>
      </w:r>
      <w:r>
        <w:rPr>
          <w:noProof/>
        </w:rPr>
        <w:lastRenderedPageBreak/>
        <w:drawing>
          <wp:inline distT="0" distB="0" distL="0" distR="0">
            <wp:extent cx="5480050" cy="40894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480050" cy="4089400"/>
                    </a:xfrm>
                    <a:prstGeom prst="rect">
                      <a:avLst/>
                    </a:prstGeom>
                    <a:noFill/>
                    <a:ln w="9525">
                      <a:noFill/>
                      <a:miter lim="800000"/>
                      <a:headEnd/>
                      <a:tailEnd/>
                    </a:ln>
                  </pic:spPr>
                </pic:pic>
              </a:graphicData>
            </a:graphic>
          </wp:inline>
        </w:drawing>
      </w:r>
    </w:p>
    <w:p w:rsidR="006B47BB" w:rsidRPr="00EA7826" w:rsidRDefault="006B47BB" w:rsidP="00B63385">
      <w:pPr>
        <w:jc w:val="both"/>
      </w:pPr>
      <w:r>
        <w:br w:type="page"/>
      </w:r>
      <w:r w:rsidR="0053213E">
        <w:rPr>
          <w:noProof/>
        </w:rPr>
        <w:lastRenderedPageBreak/>
        <w:drawing>
          <wp:inline distT="0" distB="0" distL="0" distR="0">
            <wp:extent cx="5480050" cy="7245350"/>
            <wp:effectExtent l="1905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480050" cy="7245350"/>
                    </a:xfrm>
                    <a:prstGeom prst="rect">
                      <a:avLst/>
                    </a:prstGeom>
                    <a:noFill/>
                    <a:ln w="9525">
                      <a:noFill/>
                      <a:miter lim="800000"/>
                      <a:headEnd/>
                      <a:tailEnd/>
                    </a:ln>
                  </pic:spPr>
                </pic:pic>
              </a:graphicData>
            </a:graphic>
          </wp:inline>
        </w:drawing>
      </w:r>
    </w:p>
    <w:p w:rsidR="006B47BB" w:rsidRDefault="006B47BB" w:rsidP="00B63385">
      <w:pPr>
        <w:jc w:val="both"/>
      </w:pPr>
      <w:r>
        <w:br w:type="page"/>
      </w:r>
      <w:r w:rsidR="0053213E">
        <w:rPr>
          <w:noProof/>
        </w:rPr>
        <w:lastRenderedPageBreak/>
        <w:drawing>
          <wp:inline distT="0" distB="0" distL="0" distR="0">
            <wp:extent cx="5480050" cy="43497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480050" cy="4349750"/>
                    </a:xfrm>
                    <a:prstGeom prst="rect">
                      <a:avLst/>
                    </a:prstGeom>
                    <a:noFill/>
                    <a:ln w="9525">
                      <a:noFill/>
                      <a:miter lim="800000"/>
                      <a:headEnd/>
                      <a:tailEnd/>
                    </a:ln>
                  </pic:spPr>
                </pic:pic>
              </a:graphicData>
            </a:graphic>
          </wp:inline>
        </w:drawing>
      </w:r>
    </w:p>
    <w:p w:rsidR="006B47BB" w:rsidRPr="00EA7826" w:rsidRDefault="006B47BB" w:rsidP="00B63385">
      <w:pPr>
        <w:jc w:val="both"/>
      </w:pPr>
      <w:r>
        <w:br w:type="page"/>
      </w:r>
      <w:r w:rsidR="0053213E">
        <w:rPr>
          <w:noProof/>
        </w:rPr>
        <w:lastRenderedPageBreak/>
        <w:drawing>
          <wp:inline distT="0" distB="0" distL="0" distR="0">
            <wp:extent cx="5480050" cy="6623050"/>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480050" cy="6623050"/>
                    </a:xfrm>
                    <a:prstGeom prst="rect">
                      <a:avLst/>
                    </a:prstGeom>
                    <a:noFill/>
                    <a:ln w="9525">
                      <a:noFill/>
                      <a:miter lim="800000"/>
                      <a:headEnd/>
                      <a:tailEnd/>
                    </a:ln>
                  </pic:spPr>
                </pic:pic>
              </a:graphicData>
            </a:graphic>
          </wp:inline>
        </w:drawing>
      </w:r>
    </w:p>
    <w:p w:rsidR="006B47BB" w:rsidRDefault="006B47BB" w:rsidP="00B63385">
      <w:pPr>
        <w:jc w:val="both"/>
      </w:pPr>
      <w:r>
        <w:br w:type="page"/>
      </w:r>
      <w:r w:rsidR="0053213E">
        <w:rPr>
          <w:noProof/>
        </w:rPr>
        <w:lastRenderedPageBreak/>
        <w:drawing>
          <wp:inline distT="0" distB="0" distL="0" distR="0">
            <wp:extent cx="5480050" cy="39751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5480050" cy="3975100"/>
                    </a:xfrm>
                    <a:prstGeom prst="rect">
                      <a:avLst/>
                    </a:prstGeom>
                    <a:noFill/>
                    <a:ln w="9525">
                      <a:noFill/>
                      <a:miter lim="800000"/>
                      <a:headEnd/>
                      <a:tailEnd/>
                    </a:ln>
                  </pic:spPr>
                </pic:pic>
              </a:graphicData>
            </a:graphic>
          </wp:inline>
        </w:drawing>
      </w:r>
    </w:p>
    <w:p w:rsidR="006B47BB" w:rsidRDefault="006B47BB" w:rsidP="00B63385">
      <w:pPr>
        <w:jc w:val="both"/>
      </w:pPr>
    </w:p>
    <w:p w:rsidR="009569C8" w:rsidRDefault="009569C8" w:rsidP="00B63385">
      <w:pPr>
        <w:jc w:val="both"/>
      </w:pPr>
    </w:p>
    <w:p w:rsidR="00635E38" w:rsidRDefault="00635E38" w:rsidP="00B63385">
      <w:pPr>
        <w:jc w:val="both"/>
      </w:pPr>
    </w:p>
    <w:p w:rsidR="00FB06EF" w:rsidRDefault="00FB06EF" w:rsidP="00B63385">
      <w:pPr>
        <w:jc w:val="both"/>
      </w:pPr>
    </w:p>
    <w:p w:rsidR="00FB06EF" w:rsidRPr="00FB06EF" w:rsidRDefault="00FB06EF" w:rsidP="00B63385">
      <w:pPr>
        <w:jc w:val="both"/>
      </w:pPr>
    </w:p>
    <w:sectPr w:rsidR="00FB06EF" w:rsidRPr="00FB06EF" w:rsidSect="00D469DF">
      <w:footerReference w:type="even"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6564" w:rsidRDefault="00926564">
      <w:r>
        <w:separator/>
      </w:r>
    </w:p>
  </w:endnote>
  <w:endnote w:type="continuationSeparator" w:id="0">
    <w:p w:rsidR="00926564" w:rsidRDefault="009265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122" w:rsidRDefault="00A01ABC" w:rsidP="00276199">
    <w:pPr>
      <w:pStyle w:val="Footer"/>
      <w:framePr w:wrap="around" w:vAnchor="text" w:hAnchor="margin" w:xAlign="center" w:y="1"/>
      <w:rPr>
        <w:rStyle w:val="PageNumber"/>
      </w:rPr>
    </w:pPr>
    <w:r>
      <w:rPr>
        <w:rStyle w:val="PageNumber"/>
      </w:rPr>
      <w:fldChar w:fldCharType="begin"/>
    </w:r>
    <w:r w:rsidR="00722122">
      <w:rPr>
        <w:rStyle w:val="PageNumber"/>
      </w:rPr>
      <w:instrText xml:space="preserve">PAGE  </w:instrText>
    </w:r>
    <w:r>
      <w:rPr>
        <w:rStyle w:val="PageNumber"/>
      </w:rPr>
      <w:fldChar w:fldCharType="end"/>
    </w:r>
  </w:p>
  <w:p w:rsidR="00722122" w:rsidRDefault="0072212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122" w:rsidRDefault="00A01ABC" w:rsidP="00276199">
    <w:pPr>
      <w:pStyle w:val="Footer"/>
      <w:framePr w:wrap="around" w:vAnchor="text" w:hAnchor="margin" w:xAlign="center" w:y="1"/>
      <w:rPr>
        <w:rStyle w:val="PageNumber"/>
      </w:rPr>
    </w:pPr>
    <w:r>
      <w:rPr>
        <w:rStyle w:val="PageNumber"/>
      </w:rPr>
      <w:fldChar w:fldCharType="begin"/>
    </w:r>
    <w:r w:rsidR="00722122">
      <w:rPr>
        <w:rStyle w:val="PageNumber"/>
      </w:rPr>
      <w:instrText xml:space="preserve">PAGE  </w:instrText>
    </w:r>
    <w:r>
      <w:rPr>
        <w:rStyle w:val="PageNumber"/>
      </w:rPr>
      <w:fldChar w:fldCharType="separate"/>
    </w:r>
    <w:r w:rsidR="00923F06">
      <w:rPr>
        <w:rStyle w:val="PageNumber"/>
        <w:noProof/>
      </w:rPr>
      <w:t>18</w:t>
    </w:r>
    <w:r>
      <w:rPr>
        <w:rStyle w:val="PageNumber"/>
      </w:rPr>
      <w:fldChar w:fldCharType="end"/>
    </w:r>
  </w:p>
  <w:p w:rsidR="00722122" w:rsidRDefault="007221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6564" w:rsidRDefault="00926564">
      <w:r>
        <w:separator/>
      </w:r>
    </w:p>
  </w:footnote>
  <w:footnote w:type="continuationSeparator" w:id="0">
    <w:p w:rsidR="00926564" w:rsidRDefault="009265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C07AC"/>
    <w:multiLevelType w:val="hybridMultilevel"/>
    <w:tmpl w:val="9E78FD3E"/>
    <w:lvl w:ilvl="0" w:tplc="B33EC5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0B00479"/>
    <w:multiLevelType w:val="hybridMultilevel"/>
    <w:tmpl w:val="6AB87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B115D1"/>
    <w:multiLevelType w:val="hybridMultilevel"/>
    <w:tmpl w:val="C728E0A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9E53E6E"/>
    <w:multiLevelType w:val="hybridMultilevel"/>
    <w:tmpl w:val="6E8A2E5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5C26E81"/>
    <w:multiLevelType w:val="hybridMultilevel"/>
    <w:tmpl w:val="1BDE61E2"/>
    <w:lvl w:ilvl="0" w:tplc="BA90DA76">
      <w:start w:val="1"/>
      <w:numFmt w:val="bullet"/>
      <w:lvlText w:val="•"/>
      <w:lvlJc w:val="left"/>
      <w:pPr>
        <w:tabs>
          <w:tab w:val="num" w:pos="720"/>
        </w:tabs>
        <w:ind w:left="720" w:hanging="360"/>
      </w:pPr>
      <w:rPr>
        <w:rFonts w:ascii="Times New Roman" w:hAnsi="Times New Roman" w:hint="default"/>
      </w:rPr>
    </w:lvl>
    <w:lvl w:ilvl="1" w:tplc="93F82E2E" w:tentative="1">
      <w:start w:val="1"/>
      <w:numFmt w:val="bullet"/>
      <w:lvlText w:val="•"/>
      <w:lvlJc w:val="left"/>
      <w:pPr>
        <w:tabs>
          <w:tab w:val="num" w:pos="1440"/>
        </w:tabs>
        <w:ind w:left="1440" w:hanging="360"/>
      </w:pPr>
      <w:rPr>
        <w:rFonts w:ascii="Times New Roman" w:hAnsi="Times New Roman" w:hint="default"/>
      </w:rPr>
    </w:lvl>
    <w:lvl w:ilvl="2" w:tplc="0A0CDE60" w:tentative="1">
      <w:start w:val="1"/>
      <w:numFmt w:val="bullet"/>
      <w:lvlText w:val="•"/>
      <w:lvlJc w:val="left"/>
      <w:pPr>
        <w:tabs>
          <w:tab w:val="num" w:pos="2160"/>
        </w:tabs>
        <w:ind w:left="2160" w:hanging="360"/>
      </w:pPr>
      <w:rPr>
        <w:rFonts w:ascii="Times New Roman" w:hAnsi="Times New Roman" w:hint="default"/>
      </w:rPr>
    </w:lvl>
    <w:lvl w:ilvl="3" w:tplc="C88C22FA" w:tentative="1">
      <w:start w:val="1"/>
      <w:numFmt w:val="bullet"/>
      <w:lvlText w:val="•"/>
      <w:lvlJc w:val="left"/>
      <w:pPr>
        <w:tabs>
          <w:tab w:val="num" w:pos="2880"/>
        </w:tabs>
        <w:ind w:left="2880" w:hanging="360"/>
      </w:pPr>
      <w:rPr>
        <w:rFonts w:ascii="Times New Roman" w:hAnsi="Times New Roman" w:hint="default"/>
      </w:rPr>
    </w:lvl>
    <w:lvl w:ilvl="4" w:tplc="4216D852" w:tentative="1">
      <w:start w:val="1"/>
      <w:numFmt w:val="bullet"/>
      <w:lvlText w:val="•"/>
      <w:lvlJc w:val="left"/>
      <w:pPr>
        <w:tabs>
          <w:tab w:val="num" w:pos="3600"/>
        </w:tabs>
        <w:ind w:left="3600" w:hanging="360"/>
      </w:pPr>
      <w:rPr>
        <w:rFonts w:ascii="Times New Roman" w:hAnsi="Times New Roman" w:hint="default"/>
      </w:rPr>
    </w:lvl>
    <w:lvl w:ilvl="5" w:tplc="53FEB3A8" w:tentative="1">
      <w:start w:val="1"/>
      <w:numFmt w:val="bullet"/>
      <w:lvlText w:val="•"/>
      <w:lvlJc w:val="left"/>
      <w:pPr>
        <w:tabs>
          <w:tab w:val="num" w:pos="4320"/>
        </w:tabs>
        <w:ind w:left="4320" w:hanging="360"/>
      </w:pPr>
      <w:rPr>
        <w:rFonts w:ascii="Times New Roman" w:hAnsi="Times New Roman" w:hint="default"/>
      </w:rPr>
    </w:lvl>
    <w:lvl w:ilvl="6" w:tplc="E88E22E6" w:tentative="1">
      <w:start w:val="1"/>
      <w:numFmt w:val="bullet"/>
      <w:lvlText w:val="•"/>
      <w:lvlJc w:val="left"/>
      <w:pPr>
        <w:tabs>
          <w:tab w:val="num" w:pos="5040"/>
        </w:tabs>
        <w:ind w:left="5040" w:hanging="360"/>
      </w:pPr>
      <w:rPr>
        <w:rFonts w:ascii="Times New Roman" w:hAnsi="Times New Roman" w:hint="default"/>
      </w:rPr>
    </w:lvl>
    <w:lvl w:ilvl="7" w:tplc="34842F10" w:tentative="1">
      <w:start w:val="1"/>
      <w:numFmt w:val="bullet"/>
      <w:lvlText w:val="•"/>
      <w:lvlJc w:val="left"/>
      <w:pPr>
        <w:tabs>
          <w:tab w:val="num" w:pos="5760"/>
        </w:tabs>
        <w:ind w:left="5760" w:hanging="360"/>
      </w:pPr>
      <w:rPr>
        <w:rFonts w:ascii="Times New Roman" w:hAnsi="Times New Roman" w:hint="default"/>
      </w:rPr>
    </w:lvl>
    <w:lvl w:ilvl="8" w:tplc="F8F8D32E" w:tentative="1">
      <w:start w:val="1"/>
      <w:numFmt w:val="bullet"/>
      <w:lvlText w:val="•"/>
      <w:lvlJc w:val="left"/>
      <w:pPr>
        <w:tabs>
          <w:tab w:val="num" w:pos="6480"/>
        </w:tabs>
        <w:ind w:left="6480" w:hanging="360"/>
      </w:pPr>
      <w:rPr>
        <w:rFonts w:ascii="Times New Roman" w:hAnsi="Times New Roman" w:hint="default"/>
      </w:rPr>
    </w:lvl>
  </w:abstractNum>
  <w:abstractNum w:abstractNumId="5">
    <w:nsid w:val="22D033B2"/>
    <w:multiLevelType w:val="hybridMultilevel"/>
    <w:tmpl w:val="F6BC33B0"/>
    <w:lvl w:ilvl="0" w:tplc="FFC262A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ADF5E37"/>
    <w:multiLevelType w:val="hybridMultilevel"/>
    <w:tmpl w:val="3D101416"/>
    <w:lvl w:ilvl="0" w:tplc="D5FA5BC4">
      <w:start w:val="1"/>
      <w:numFmt w:val="bullet"/>
      <w:pStyle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AE67B4C"/>
    <w:multiLevelType w:val="hybridMultilevel"/>
    <w:tmpl w:val="943411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712AB2"/>
    <w:multiLevelType w:val="hybridMultilevel"/>
    <w:tmpl w:val="75DAB6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5B238D"/>
    <w:multiLevelType w:val="hybridMultilevel"/>
    <w:tmpl w:val="2BB8BE30"/>
    <w:lvl w:ilvl="0" w:tplc="4A8C4A1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5EF2C33"/>
    <w:multiLevelType w:val="hybridMultilevel"/>
    <w:tmpl w:val="F5707632"/>
    <w:lvl w:ilvl="0" w:tplc="7B18EA9C">
      <w:start w:val="11"/>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5167C44"/>
    <w:multiLevelType w:val="hybridMultilevel"/>
    <w:tmpl w:val="D004A786"/>
    <w:lvl w:ilvl="0" w:tplc="0C14D36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0C66580"/>
    <w:multiLevelType w:val="hybridMultilevel"/>
    <w:tmpl w:val="CB3438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21A5CB0"/>
    <w:multiLevelType w:val="hybridMultilevel"/>
    <w:tmpl w:val="2F6CA972"/>
    <w:lvl w:ilvl="0" w:tplc="1734853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2D85698"/>
    <w:multiLevelType w:val="hybridMultilevel"/>
    <w:tmpl w:val="0FCEA6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A85EA1"/>
    <w:multiLevelType w:val="hybridMultilevel"/>
    <w:tmpl w:val="1128A38C"/>
    <w:lvl w:ilvl="0" w:tplc="195413C0">
      <w:start w:val="1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E0C1D48"/>
    <w:multiLevelType w:val="hybridMultilevel"/>
    <w:tmpl w:val="371A38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58185F"/>
    <w:multiLevelType w:val="hybridMultilevel"/>
    <w:tmpl w:val="F3743B7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768061A0"/>
    <w:multiLevelType w:val="hybridMultilevel"/>
    <w:tmpl w:val="258A627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6FA37C2"/>
    <w:multiLevelType w:val="multilevel"/>
    <w:tmpl w:val="B700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3708D8"/>
    <w:multiLevelType w:val="hybridMultilevel"/>
    <w:tmpl w:val="DA98B748"/>
    <w:lvl w:ilvl="0" w:tplc="88DE38E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20"/>
  </w:num>
  <w:num w:numId="3">
    <w:abstractNumId w:val="13"/>
  </w:num>
  <w:num w:numId="4">
    <w:abstractNumId w:val="0"/>
  </w:num>
  <w:num w:numId="5">
    <w:abstractNumId w:val="5"/>
  </w:num>
  <w:num w:numId="6">
    <w:abstractNumId w:val="9"/>
  </w:num>
  <w:num w:numId="7">
    <w:abstractNumId w:val="11"/>
  </w:num>
  <w:num w:numId="8">
    <w:abstractNumId w:val="18"/>
  </w:num>
  <w:num w:numId="9">
    <w:abstractNumId w:val="12"/>
  </w:num>
  <w:num w:numId="10">
    <w:abstractNumId w:val="3"/>
  </w:num>
  <w:num w:numId="11">
    <w:abstractNumId w:val="17"/>
  </w:num>
  <w:num w:numId="12">
    <w:abstractNumId w:val="2"/>
  </w:num>
  <w:num w:numId="13">
    <w:abstractNumId w:val="4"/>
  </w:num>
  <w:num w:numId="14">
    <w:abstractNumId w:val="19"/>
  </w:num>
  <w:num w:numId="15">
    <w:abstractNumId w:val="14"/>
  </w:num>
  <w:num w:numId="16">
    <w:abstractNumId w:val="16"/>
  </w:num>
  <w:num w:numId="17">
    <w:abstractNumId w:val="1"/>
  </w:num>
  <w:num w:numId="18">
    <w:abstractNumId w:val="8"/>
  </w:num>
  <w:num w:numId="19">
    <w:abstractNumId w:val="7"/>
  </w:num>
  <w:num w:numId="20">
    <w:abstractNumId w:val="15"/>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1"/>
    <w:footnote w:id="0"/>
  </w:footnotePr>
  <w:endnotePr>
    <w:endnote w:id="-1"/>
    <w:endnote w:id="0"/>
  </w:endnotePr>
  <w:compat>
    <w:useFELayout/>
  </w:compat>
  <w:rsids>
    <w:rsidRoot w:val="00FB06EF"/>
    <w:rsid w:val="00001571"/>
    <w:rsid w:val="0000717C"/>
    <w:rsid w:val="00014319"/>
    <w:rsid w:val="000716F1"/>
    <w:rsid w:val="00073B50"/>
    <w:rsid w:val="000756BB"/>
    <w:rsid w:val="000805DC"/>
    <w:rsid w:val="000A0DB1"/>
    <w:rsid w:val="000B7F4F"/>
    <w:rsid w:val="000C0DE5"/>
    <w:rsid w:val="000C2E09"/>
    <w:rsid w:val="000D1862"/>
    <w:rsid w:val="000E405E"/>
    <w:rsid w:val="0011491E"/>
    <w:rsid w:val="00123A61"/>
    <w:rsid w:val="00126D64"/>
    <w:rsid w:val="00131385"/>
    <w:rsid w:val="00164FB2"/>
    <w:rsid w:val="0019150E"/>
    <w:rsid w:val="001C206E"/>
    <w:rsid w:val="001D50C1"/>
    <w:rsid w:val="001F2850"/>
    <w:rsid w:val="001F5B8A"/>
    <w:rsid w:val="002236D5"/>
    <w:rsid w:val="002279E4"/>
    <w:rsid w:val="00245E15"/>
    <w:rsid w:val="00255628"/>
    <w:rsid w:val="00255B25"/>
    <w:rsid w:val="00276199"/>
    <w:rsid w:val="00283859"/>
    <w:rsid w:val="002962BF"/>
    <w:rsid w:val="002A154D"/>
    <w:rsid w:val="002B6EE3"/>
    <w:rsid w:val="002E3811"/>
    <w:rsid w:val="00313223"/>
    <w:rsid w:val="00313894"/>
    <w:rsid w:val="0034013B"/>
    <w:rsid w:val="00366E59"/>
    <w:rsid w:val="00370BFD"/>
    <w:rsid w:val="003929BC"/>
    <w:rsid w:val="003B361A"/>
    <w:rsid w:val="003D405E"/>
    <w:rsid w:val="003D6654"/>
    <w:rsid w:val="003E6959"/>
    <w:rsid w:val="003E7C7D"/>
    <w:rsid w:val="003F5A0A"/>
    <w:rsid w:val="00421BAA"/>
    <w:rsid w:val="00432E73"/>
    <w:rsid w:val="004422BA"/>
    <w:rsid w:val="0045174C"/>
    <w:rsid w:val="00451C9C"/>
    <w:rsid w:val="004A69D9"/>
    <w:rsid w:val="004B2A66"/>
    <w:rsid w:val="004E18F7"/>
    <w:rsid w:val="004E3647"/>
    <w:rsid w:val="004E44AD"/>
    <w:rsid w:val="004E7886"/>
    <w:rsid w:val="004F4F9F"/>
    <w:rsid w:val="00521244"/>
    <w:rsid w:val="0053213E"/>
    <w:rsid w:val="005638AB"/>
    <w:rsid w:val="00573D82"/>
    <w:rsid w:val="00591F3D"/>
    <w:rsid w:val="005A6678"/>
    <w:rsid w:val="005B6D7A"/>
    <w:rsid w:val="005C4269"/>
    <w:rsid w:val="005C4E5F"/>
    <w:rsid w:val="005D13B9"/>
    <w:rsid w:val="005F0E6C"/>
    <w:rsid w:val="005F10FB"/>
    <w:rsid w:val="005F6D73"/>
    <w:rsid w:val="00630E01"/>
    <w:rsid w:val="00631CF3"/>
    <w:rsid w:val="00633B4C"/>
    <w:rsid w:val="00635E38"/>
    <w:rsid w:val="00655213"/>
    <w:rsid w:val="00655537"/>
    <w:rsid w:val="00673BE4"/>
    <w:rsid w:val="00681910"/>
    <w:rsid w:val="00685203"/>
    <w:rsid w:val="0069616A"/>
    <w:rsid w:val="006A32AE"/>
    <w:rsid w:val="006A70CC"/>
    <w:rsid w:val="006B47BB"/>
    <w:rsid w:val="006D44CD"/>
    <w:rsid w:val="006D599A"/>
    <w:rsid w:val="006E00F1"/>
    <w:rsid w:val="0070681D"/>
    <w:rsid w:val="00722122"/>
    <w:rsid w:val="007407E6"/>
    <w:rsid w:val="00742005"/>
    <w:rsid w:val="007437BC"/>
    <w:rsid w:val="00763C16"/>
    <w:rsid w:val="00775028"/>
    <w:rsid w:val="007A5522"/>
    <w:rsid w:val="007B48A8"/>
    <w:rsid w:val="007B5DD5"/>
    <w:rsid w:val="007C78EE"/>
    <w:rsid w:val="007D0D6B"/>
    <w:rsid w:val="008046BD"/>
    <w:rsid w:val="00812060"/>
    <w:rsid w:val="0083240C"/>
    <w:rsid w:val="0084767D"/>
    <w:rsid w:val="00871BB1"/>
    <w:rsid w:val="00877738"/>
    <w:rsid w:val="00893F5D"/>
    <w:rsid w:val="008B026B"/>
    <w:rsid w:val="00903DED"/>
    <w:rsid w:val="00923F06"/>
    <w:rsid w:val="00926564"/>
    <w:rsid w:val="00942DDF"/>
    <w:rsid w:val="009441E6"/>
    <w:rsid w:val="0095671B"/>
    <w:rsid w:val="009569C8"/>
    <w:rsid w:val="009624D9"/>
    <w:rsid w:val="00991CDE"/>
    <w:rsid w:val="009B428C"/>
    <w:rsid w:val="009C4BA8"/>
    <w:rsid w:val="009D4088"/>
    <w:rsid w:val="009E7BF4"/>
    <w:rsid w:val="00A019DB"/>
    <w:rsid w:val="00A01ABC"/>
    <w:rsid w:val="00A4009A"/>
    <w:rsid w:val="00A44AE7"/>
    <w:rsid w:val="00A52917"/>
    <w:rsid w:val="00A63F2E"/>
    <w:rsid w:val="00A654E1"/>
    <w:rsid w:val="00A7230A"/>
    <w:rsid w:val="00A7638E"/>
    <w:rsid w:val="00A76465"/>
    <w:rsid w:val="00A87A9E"/>
    <w:rsid w:val="00A95664"/>
    <w:rsid w:val="00AA4189"/>
    <w:rsid w:val="00AA4D07"/>
    <w:rsid w:val="00AB1573"/>
    <w:rsid w:val="00AD5FF5"/>
    <w:rsid w:val="00AF19C4"/>
    <w:rsid w:val="00AF48F9"/>
    <w:rsid w:val="00AF5FFE"/>
    <w:rsid w:val="00AF7119"/>
    <w:rsid w:val="00B063E1"/>
    <w:rsid w:val="00B113C1"/>
    <w:rsid w:val="00B3175A"/>
    <w:rsid w:val="00B340E4"/>
    <w:rsid w:val="00B46B42"/>
    <w:rsid w:val="00B5398B"/>
    <w:rsid w:val="00B63385"/>
    <w:rsid w:val="00B67339"/>
    <w:rsid w:val="00B908A1"/>
    <w:rsid w:val="00BA22F6"/>
    <w:rsid w:val="00C1365D"/>
    <w:rsid w:val="00C138B5"/>
    <w:rsid w:val="00C2488A"/>
    <w:rsid w:val="00C25D7C"/>
    <w:rsid w:val="00C33495"/>
    <w:rsid w:val="00C400F5"/>
    <w:rsid w:val="00C45968"/>
    <w:rsid w:val="00C919E7"/>
    <w:rsid w:val="00C97C6C"/>
    <w:rsid w:val="00CC2F5F"/>
    <w:rsid w:val="00CD0E10"/>
    <w:rsid w:val="00CD4303"/>
    <w:rsid w:val="00CE6E83"/>
    <w:rsid w:val="00D054A7"/>
    <w:rsid w:val="00D1327A"/>
    <w:rsid w:val="00D469DF"/>
    <w:rsid w:val="00D605D3"/>
    <w:rsid w:val="00D66A35"/>
    <w:rsid w:val="00D75661"/>
    <w:rsid w:val="00DA44AA"/>
    <w:rsid w:val="00DA5409"/>
    <w:rsid w:val="00DB11C8"/>
    <w:rsid w:val="00DB2D3F"/>
    <w:rsid w:val="00DC7AC0"/>
    <w:rsid w:val="00DE6AC5"/>
    <w:rsid w:val="00DF3CA6"/>
    <w:rsid w:val="00E17D08"/>
    <w:rsid w:val="00E272B9"/>
    <w:rsid w:val="00E33783"/>
    <w:rsid w:val="00E60264"/>
    <w:rsid w:val="00E903A9"/>
    <w:rsid w:val="00EA7826"/>
    <w:rsid w:val="00EB0B24"/>
    <w:rsid w:val="00F21425"/>
    <w:rsid w:val="00F349C4"/>
    <w:rsid w:val="00F34FD2"/>
    <w:rsid w:val="00F643DF"/>
    <w:rsid w:val="00F66E60"/>
    <w:rsid w:val="00F732BA"/>
    <w:rsid w:val="00F8009E"/>
    <w:rsid w:val="00F9165D"/>
    <w:rsid w:val="00F979FB"/>
    <w:rsid w:val="00FB06EF"/>
    <w:rsid w:val="00FB7915"/>
    <w:rsid w:val="00FC36C1"/>
    <w:rsid w:val="00FC3723"/>
    <w:rsid w:val="00FD1208"/>
    <w:rsid w:val="00FF2B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469DF"/>
    <w:rPr>
      <w:sz w:val="24"/>
      <w:szCs w:val="24"/>
    </w:rPr>
  </w:style>
  <w:style w:type="paragraph" w:styleId="Heading1">
    <w:name w:val="heading 1"/>
    <w:basedOn w:val="Normal"/>
    <w:link w:val="Heading1Char"/>
    <w:uiPriority w:val="9"/>
    <w:qFormat/>
    <w:rsid w:val="00DA5409"/>
    <w:pPr>
      <w:outlineLvl w:val="0"/>
    </w:pPr>
    <w:rPr>
      <w:rFonts w:ascii="Arial" w:hAnsi="Arial" w:cs="Arial"/>
      <w:b/>
      <w:bCs/>
      <w:color w:val="000000"/>
      <w:kern w:val="36"/>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
    <w:name w:val="Bullet"/>
    <w:basedOn w:val="Normal"/>
    <w:rsid w:val="00F66E60"/>
    <w:pPr>
      <w:numPr>
        <w:numId w:val="1"/>
      </w:numPr>
    </w:pPr>
  </w:style>
  <w:style w:type="paragraph" w:styleId="Footer">
    <w:name w:val="footer"/>
    <w:basedOn w:val="Normal"/>
    <w:rsid w:val="00276199"/>
    <w:pPr>
      <w:tabs>
        <w:tab w:val="center" w:pos="4320"/>
        <w:tab w:val="right" w:pos="8640"/>
      </w:tabs>
    </w:pPr>
  </w:style>
  <w:style w:type="character" w:styleId="PageNumber">
    <w:name w:val="page number"/>
    <w:basedOn w:val="DefaultParagraphFont"/>
    <w:rsid w:val="00276199"/>
  </w:style>
  <w:style w:type="paragraph" w:styleId="DocumentMap">
    <w:name w:val="Document Map"/>
    <w:basedOn w:val="Normal"/>
    <w:semiHidden/>
    <w:rsid w:val="00126D64"/>
    <w:pPr>
      <w:shd w:val="clear" w:color="auto" w:fill="000080"/>
    </w:pPr>
    <w:rPr>
      <w:rFonts w:ascii="Tahoma" w:hAnsi="Tahoma" w:cs="Tahoma"/>
      <w:sz w:val="20"/>
      <w:szCs w:val="20"/>
    </w:rPr>
  </w:style>
  <w:style w:type="character" w:styleId="Strong">
    <w:name w:val="Strong"/>
    <w:basedOn w:val="DefaultParagraphFont"/>
    <w:uiPriority w:val="22"/>
    <w:qFormat/>
    <w:rsid w:val="00370BFD"/>
    <w:rPr>
      <w:b/>
      <w:bCs/>
    </w:rPr>
  </w:style>
  <w:style w:type="character" w:styleId="Emphasis">
    <w:name w:val="Emphasis"/>
    <w:basedOn w:val="DefaultParagraphFont"/>
    <w:uiPriority w:val="20"/>
    <w:qFormat/>
    <w:rsid w:val="00370BFD"/>
    <w:rPr>
      <w:i/>
      <w:iCs/>
    </w:rPr>
  </w:style>
  <w:style w:type="character" w:styleId="Hyperlink">
    <w:name w:val="Hyperlink"/>
    <w:basedOn w:val="DefaultParagraphFont"/>
    <w:uiPriority w:val="99"/>
    <w:unhideWhenUsed/>
    <w:rsid w:val="00370BFD"/>
    <w:rPr>
      <w:color w:val="1D4994"/>
      <w:u w:val="single"/>
    </w:rPr>
  </w:style>
  <w:style w:type="character" w:customStyle="1" w:styleId="flw">
    <w:name w:val="flw"/>
    <w:basedOn w:val="DefaultParagraphFont"/>
    <w:rsid w:val="00370BFD"/>
    <w:rPr>
      <w:rFonts w:ascii="Tahoma" w:hAnsi="Tahoma" w:cs="Tahoma" w:hint="default"/>
      <w:b/>
      <w:bCs/>
      <w:color w:val="FF0000"/>
      <w:sz w:val="16"/>
      <w:szCs w:val="16"/>
    </w:rPr>
  </w:style>
  <w:style w:type="paragraph" w:styleId="NormalWeb">
    <w:name w:val="Normal (Web)"/>
    <w:basedOn w:val="Normal"/>
    <w:uiPriority w:val="99"/>
    <w:unhideWhenUsed/>
    <w:rsid w:val="00370BFD"/>
    <w:pPr>
      <w:spacing w:before="100" w:beforeAutospacing="1" w:after="100" w:afterAutospacing="1"/>
    </w:pPr>
  </w:style>
  <w:style w:type="character" w:customStyle="1" w:styleId="Heading1Char">
    <w:name w:val="Heading 1 Char"/>
    <w:basedOn w:val="DefaultParagraphFont"/>
    <w:link w:val="Heading1"/>
    <w:uiPriority w:val="9"/>
    <w:rsid w:val="00DA5409"/>
    <w:rPr>
      <w:rFonts w:ascii="Arial" w:hAnsi="Arial" w:cs="Arial"/>
      <w:b/>
      <w:bCs/>
      <w:color w:val="000000"/>
      <w:kern w:val="36"/>
      <w:sz w:val="27"/>
      <w:szCs w:val="27"/>
    </w:rPr>
  </w:style>
  <w:style w:type="paragraph" w:styleId="BalloonText">
    <w:name w:val="Balloon Text"/>
    <w:basedOn w:val="Normal"/>
    <w:link w:val="BalloonTextChar"/>
    <w:rsid w:val="00A63F2E"/>
    <w:rPr>
      <w:rFonts w:ascii="Tahoma" w:hAnsi="Tahoma" w:cs="Tahoma"/>
      <w:sz w:val="16"/>
      <w:szCs w:val="16"/>
    </w:rPr>
  </w:style>
  <w:style w:type="character" w:customStyle="1" w:styleId="BalloonTextChar">
    <w:name w:val="Balloon Text Char"/>
    <w:basedOn w:val="DefaultParagraphFont"/>
    <w:link w:val="BalloonText"/>
    <w:rsid w:val="00A63F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2072041">
      <w:bodyDiv w:val="1"/>
      <w:marLeft w:val="0"/>
      <w:marRight w:val="0"/>
      <w:marTop w:val="0"/>
      <w:marBottom w:val="50"/>
      <w:divBdr>
        <w:top w:val="none" w:sz="0" w:space="0" w:color="auto"/>
        <w:left w:val="none" w:sz="0" w:space="0" w:color="auto"/>
        <w:bottom w:val="none" w:sz="0" w:space="0" w:color="auto"/>
        <w:right w:val="none" w:sz="0" w:space="0" w:color="auto"/>
      </w:divBdr>
      <w:divsChild>
        <w:div w:id="285820893">
          <w:marLeft w:val="0"/>
          <w:marRight w:val="0"/>
          <w:marTop w:val="0"/>
          <w:marBottom w:val="0"/>
          <w:divBdr>
            <w:top w:val="single" w:sz="4" w:space="1" w:color="E1E9F0"/>
            <w:left w:val="single" w:sz="4" w:space="1" w:color="E1E9F0"/>
            <w:bottom w:val="single" w:sz="4" w:space="1" w:color="E1E9F0"/>
            <w:right w:val="single" w:sz="4" w:space="1" w:color="E1E9F0"/>
          </w:divBdr>
          <w:divsChild>
            <w:div w:id="14232516">
              <w:marLeft w:val="0"/>
              <w:marRight w:val="0"/>
              <w:marTop w:val="0"/>
              <w:marBottom w:val="0"/>
              <w:divBdr>
                <w:top w:val="none" w:sz="0" w:space="0" w:color="auto"/>
                <w:left w:val="none" w:sz="0" w:space="0" w:color="auto"/>
                <w:bottom w:val="none" w:sz="0" w:space="0" w:color="auto"/>
                <w:right w:val="none" w:sz="0" w:space="0" w:color="auto"/>
              </w:divBdr>
              <w:divsChild>
                <w:div w:id="247733401">
                  <w:marLeft w:val="0"/>
                  <w:marRight w:val="0"/>
                  <w:marTop w:val="150"/>
                  <w:marBottom w:val="0"/>
                  <w:divBdr>
                    <w:top w:val="none" w:sz="0" w:space="0" w:color="auto"/>
                    <w:left w:val="none" w:sz="0" w:space="0" w:color="auto"/>
                    <w:bottom w:val="none" w:sz="0" w:space="0" w:color="auto"/>
                    <w:right w:val="none" w:sz="0" w:space="0" w:color="auto"/>
                  </w:divBdr>
                </w:div>
                <w:div w:id="730887359">
                  <w:marLeft w:val="100"/>
                  <w:marRight w:val="0"/>
                  <w:marTop w:val="100"/>
                  <w:marBottom w:val="0"/>
                  <w:divBdr>
                    <w:top w:val="none" w:sz="0" w:space="0" w:color="auto"/>
                    <w:left w:val="none" w:sz="0" w:space="0" w:color="auto"/>
                    <w:bottom w:val="none" w:sz="0" w:space="0" w:color="auto"/>
                    <w:right w:val="none" w:sz="0" w:space="0" w:color="auto"/>
                  </w:divBdr>
                </w:div>
                <w:div w:id="1373192180">
                  <w:marLeft w:val="10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 w:id="696467774">
      <w:bodyDiv w:val="1"/>
      <w:marLeft w:val="0"/>
      <w:marRight w:val="0"/>
      <w:marTop w:val="0"/>
      <w:marBottom w:val="0"/>
      <w:divBdr>
        <w:top w:val="none" w:sz="0" w:space="0" w:color="auto"/>
        <w:left w:val="none" w:sz="0" w:space="0" w:color="auto"/>
        <w:bottom w:val="none" w:sz="0" w:space="0" w:color="auto"/>
        <w:right w:val="none" w:sz="0" w:space="0" w:color="auto"/>
      </w:divBdr>
      <w:divsChild>
        <w:div w:id="468210374">
          <w:marLeft w:val="0"/>
          <w:marRight w:val="0"/>
          <w:marTop w:val="0"/>
          <w:marBottom w:val="0"/>
          <w:divBdr>
            <w:top w:val="none" w:sz="0" w:space="0" w:color="auto"/>
            <w:left w:val="none" w:sz="0" w:space="0" w:color="auto"/>
            <w:bottom w:val="none" w:sz="0" w:space="0" w:color="auto"/>
            <w:right w:val="none" w:sz="0" w:space="0" w:color="auto"/>
          </w:divBdr>
          <w:divsChild>
            <w:div w:id="1427193521">
              <w:marLeft w:val="0"/>
              <w:marRight w:val="0"/>
              <w:marTop w:val="0"/>
              <w:marBottom w:val="0"/>
              <w:divBdr>
                <w:top w:val="none" w:sz="0" w:space="0" w:color="auto"/>
                <w:left w:val="none" w:sz="0" w:space="0" w:color="auto"/>
                <w:bottom w:val="none" w:sz="0" w:space="0" w:color="auto"/>
                <w:right w:val="none" w:sz="0" w:space="0" w:color="auto"/>
              </w:divBdr>
              <w:divsChild>
                <w:div w:id="947471861">
                  <w:marLeft w:val="0"/>
                  <w:marRight w:val="0"/>
                  <w:marTop w:val="0"/>
                  <w:marBottom w:val="0"/>
                  <w:divBdr>
                    <w:top w:val="none" w:sz="0" w:space="0" w:color="auto"/>
                    <w:left w:val="none" w:sz="0" w:space="0" w:color="auto"/>
                    <w:bottom w:val="none" w:sz="0" w:space="0" w:color="auto"/>
                    <w:right w:val="none" w:sz="0" w:space="0" w:color="auto"/>
                  </w:divBdr>
                  <w:divsChild>
                    <w:div w:id="119761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478363">
      <w:bodyDiv w:val="1"/>
      <w:marLeft w:val="0"/>
      <w:marRight w:val="0"/>
      <w:marTop w:val="0"/>
      <w:marBottom w:val="0"/>
      <w:divBdr>
        <w:top w:val="none" w:sz="0" w:space="0" w:color="auto"/>
        <w:left w:val="none" w:sz="0" w:space="0" w:color="auto"/>
        <w:bottom w:val="none" w:sz="0" w:space="0" w:color="auto"/>
        <w:right w:val="none" w:sz="0" w:space="0" w:color="auto"/>
      </w:divBdr>
      <w:divsChild>
        <w:div w:id="1934047851">
          <w:marLeft w:val="0"/>
          <w:marRight w:val="0"/>
          <w:marTop w:val="0"/>
          <w:marBottom w:val="0"/>
          <w:divBdr>
            <w:top w:val="none" w:sz="0" w:space="0" w:color="auto"/>
            <w:left w:val="none" w:sz="0" w:space="0" w:color="auto"/>
            <w:bottom w:val="none" w:sz="0" w:space="0" w:color="auto"/>
            <w:right w:val="none" w:sz="0" w:space="0" w:color="auto"/>
          </w:divBdr>
          <w:divsChild>
            <w:div w:id="351299515">
              <w:marLeft w:val="0"/>
              <w:marRight w:val="0"/>
              <w:marTop w:val="0"/>
              <w:marBottom w:val="0"/>
              <w:divBdr>
                <w:top w:val="none" w:sz="0" w:space="0" w:color="auto"/>
                <w:left w:val="none" w:sz="0" w:space="0" w:color="auto"/>
                <w:bottom w:val="none" w:sz="0" w:space="0" w:color="auto"/>
                <w:right w:val="none" w:sz="0" w:space="0" w:color="auto"/>
              </w:divBdr>
            </w:div>
            <w:div w:id="540943401">
              <w:marLeft w:val="0"/>
              <w:marRight w:val="0"/>
              <w:marTop w:val="0"/>
              <w:marBottom w:val="0"/>
              <w:divBdr>
                <w:top w:val="none" w:sz="0" w:space="0" w:color="auto"/>
                <w:left w:val="none" w:sz="0" w:space="0" w:color="auto"/>
                <w:bottom w:val="none" w:sz="0" w:space="0" w:color="auto"/>
                <w:right w:val="none" w:sz="0" w:space="0" w:color="auto"/>
              </w:divBdr>
            </w:div>
            <w:div w:id="566696526">
              <w:marLeft w:val="0"/>
              <w:marRight w:val="0"/>
              <w:marTop w:val="0"/>
              <w:marBottom w:val="0"/>
              <w:divBdr>
                <w:top w:val="none" w:sz="0" w:space="0" w:color="auto"/>
                <w:left w:val="none" w:sz="0" w:space="0" w:color="auto"/>
                <w:bottom w:val="none" w:sz="0" w:space="0" w:color="auto"/>
                <w:right w:val="none" w:sz="0" w:space="0" w:color="auto"/>
              </w:divBdr>
            </w:div>
            <w:div w:id="950825054">
              <w:marLeft w:val="0"/>
              <w:marRight w:val="0"/>
              <w:marTop w:val="0"/>
              <w:marBottom w:val="0"/>
              <w:divBdr>
                <w:top w:val="none" w:sz="0" w:space="0" w:color="auto"/>
                <w:left w:val="none" w:sz="0" w:space="0" w:color="auto"/>
                <w:bottom w:val="none" w:sz="0" w:space="0" w:color="auto"/>
                <w:right w:val="none" w:sz="0" w:space="0" w:color="auto"/>
              </w:divBdr>
            </w:div>
            <w:div w:id="1452362600">
              <w:marLeft w:val="0"/>
              <w:marRight w:val="0"/>
              <w:marTop w:val="0"/>
              <w:marBottom w:val="0"/>
              <w:divBdr>
                <w:top w:val="none" w:sz="0" w:space="0" w:color="auto"/>
                <w:left w:val="none" w:sz="0" w:space="0" w:color="auto"/>
                <w:bottom w:val="none" w:sz="0" w:space="0" w:color="auto"/>
                <w:right w:val="none" w:sz="0" w:space="0" w:color="auto"/>
              </w:divBdr>
            </w:div>
            <w:div w:id="158067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2303">
      <w:bodyDiv w:val="1"/>
      <w:marLeft w:val="0"/>
      <w:marRight w:val="0"/>
      <w:marTop w:val="0"/>
      <w:marBottom w:val="0"/>
      <w:divBdr>
        <w:top w:val="none" w:sz="0" w:space="0" w:color="auto"/>
        <w:left w:val="none" w:sz="0" w:space="0" w:color="auto"/>
        <w:bottom w:val="none" w:sz="0" w:space="0" w:color="auto"/>
        <w:right w:val="none" w:sz="0" w:space="0" w:color="auto"/>
      </w:divBdr>
    </w:div>
    <w:div w:id="947470502">
      <w:bodyDiv w:val="1"/>
      <w:marLeft w:val="0"/>
      <w:marRight w:val="0"/>
      <w:marTop w:val="0"/>
      <w:marBottom w:val="0"/>
      <w:divBdr>
        <w:top w:val="none" w:sz="0" w:space="0" w:color="auto"/>
        <w:left w:val="none" w:sz="0" w:space="0" w:color="auto"/>
        <w:bottom w:val="none" w:sz="0" w:space="0" w:color="auto"/>
        <w:right w:val="none" w:sz="0" w:space="0" w:color="auto"/>
      </w:divBdr>
    </w:div>
    <w:div w:id="991374175">
      <w:bodyDiv w:val="1"/>
      <w:marLeft w:val="0"/>
      <w:marRight w:val="0"/>
      <w:marTop w:val="0"/>
      <w:marBottom w:val="0"/>
      <w:divBdr>
        <w:top w:val="none" w:sz="0" w:space="0" w:color="auto"/>
        <w:left w:val="none" w:sz="0" w:space="0" w:color="auto"/>
        <w:bottom w:val="none" w:sz="0" w:space="0" w:color="auto"/>
        <w:right w:val="none" w:sz="0" w:space="0" w:color="auto"/>
      </w:divBdr>
    </w:div>
    <w:div w:id="1191921139">
      <w:bodyDiv w:val="1"/>
      <w:marLeft w:val="70"/>
      <w:marRight w:val="70"/>
      <w:marTop w:val="10"/>
      <w:marBottom w:val="10"/>
      <w:divBdr>
        <w:top w:val="none" w:sz="0" w:space="0" w:color="auto"/>
        <w:left w:val="none" w:sz="0" w:space="0" w:color="auto"/>
        <w:bottom w:val="none" w:sz="0" w:space="0" w:color="auto"/>
        <w:right w:val="none" w:sz="0" w:space="0" w:color="auto"/>
      </w:divBdr>
      <w:divsChild>
        <w:div w:id="273364897">
          <w:marLeft w:val="0"/>
          <w:marRight w:val="0"/>
          <w:marTop w:val="0"/>
          <w:marBottom w:val="0"/>
          <w:divBdr>
            <w:top w:val="single" w:sz="4" w:space="1" w:color="000000"/>
            <w:left w:val="single" w:sz="4" w:space="1" w:color="000000"/>
            <w:bottom w:val="single" w:sz="4" w:space="1" w:color="000000"/>
            <w:right w:val="single" w:sz="4" w:space="1" w:color="000000"/>
          </w:divBdr>
        </w:div>
        <w:div w:id="450905057">
          <w:marLeft w:val="0"/>
          <w:marRight w:val="0"/>
          <w:marTop w:val="0"/>
          <w:marBottom w:val="0"/>
          <w:divBdr>
            <w:top w:val="single" w:sz="4" w:space="1" w:color="000000"/>
            <w:left w:val="single" w:sz="4" w:space="1" w:color="000000"/>
            <w:bottom w:val="single" w:sz="4" w:space="1" w:color="000000"/>
            <w:right w:val="single" w:sz="4" w:space="1" w:color="000000"/>
          </w:divBdr>
        </w:div>
        <w:div w:id="904682733">
          <w:marLeft w:val="0"/>
          <w:marRight w:val="0"/>
          <w:marTop w:val="0"/>
          <w:marBottom w:val="0"/>
          <w:divBdr>
            <w:top w:val="single" w:sz="4" w:space="1" w:color="000000"/>
            <w:left w:val="single" w:sz="4" w:space="1" w:color="000000"/>
            <w:bottom w:val="single" w:sz="4" w:space="1" w:color="000000"/>
            <w:right w:val="single" w:sz="4" w:space="1" w:color="000000"/>
          </w:divBdr>
        </w:div>
        <w:div w:id="1041788462">
          <w:marLeft w:val="0"/>
          <w:marRight w:val="0"/>
          <w:marTop w:val="0"/>
          <w:marBottom w:val="0"/>
          <w:divBdr>
            <w:top w:val="single" w:sz="4" w:space="1" w:color="000000"/>
            <w:left w:val="single" w:sz="4" w:space="1" w:color="000000"/>
            <w:bottom w:val="single" w:sz="4" w:space="1" w:color="000000"/>
            <w:right w:val="single" w:sz="4" w:space="1" w:color="000000"/>
          </w:divBdr>
        </w:div>
        <w:div w:id="1832403509">
          <w:marLeft w:val="0"/>
          <w:marRight w:val="0"/>
          <w:marTop w:val="0"/>
          <w:marBottom w:val="0"/>
          <w:divBdr>
            <w:top w:val="single" w:sz="4" w:space="1" w:color="000000"/>
            <w:left w:val="single" w:sz="4" w:space="1" w:color="000000"/>
            <w:bottom w:val="single" w:sz="4" w:space="1" w:color="000000"/>
            <w:right w:val="single" w:sz="4" w:space="1" w:color="000000"/>
          </w:divBdr>
        </w:div>
        <w:div w:id="1930578799">
          <w:marLeft w:val="0"/>
          <w:marRight w:val="0"/>
          <w:marTop w:val="0"/>
          <w:marBottom w:val="0"/>
          <w:divBdr>
            <w:top w:val="single" w:sz="4" w:space="1" w:color="000000"/>
            <w:left w:val="single" w:sz="4" w:space="1" w:color="000000"/>
            <w:bottom w:val="single" w:sz="4" w:space="1" w:color="000000"/>
            <w:right w:val="single" w:sz="4" w:space="1" w:color="000000"/>
          </w:divBdr>
        </w:div>
        <w:div w:id="1994219446">
          <w:marLeft w:val="0"/>
          <w:marRight w:val="0"/>
          <w:marTop w:val="0"/>
          <w:marBottom w:val="0"/>
          <w:divBdr>
            <w:top w:val="single" w:sz="4" w:space="1" w:color="000000"/>
            <w:left w:val="single" w:sz="4" w:space="1" w:color="000000"/>
            <w:bottom w:val="single" w:sz="4" w:space="1" w:color="000000"/>
            <w:right w:val="single" w:sz="4" w:space="1" w:color="000000"/>
          </w:divBdr>
        </w:div>
      </w:divsChild>
    </w:div>
    <w:div w:id="1720982318">
      <w:bodyDiv w:val="1"/>
      <w:marLeft w:val="0"/>
      <w:marRight w:val="0"/>
      <w:marTop w:val="0"/>
      <w:marBottom w:val="0"/>
      <w:divBdr>
        <w:top w:val="none" w:sz="0" w:space="0" w:color="auto"/>
        <w:left w:val="none" w:sz="0" w:space="0" w:color="auto"/>
        <w:bottom w:val="none" w:sz="0" w:space="0" w:color="auto"/>
        <w:right w:val="none" w:sz="0" w:space="0" w:color="auto"/>
      </w:divBdr>
    </w:div>
    <w:div w:id="175808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3183</Words>
  <Characters>18149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Financial Programming and Economic Policy</vt:lpstr>
    </vt:vector>
  </TitlesOfParts>
  <Company>DAI</Company>
  <LinksUpToDate>false</LinksUpToDate>
  <CharactersWithSpaces>21290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Programming and Economic Policy</dc:title>
  <dc:creator>pipeguest</dc:creator>
  <cp:lastModifiedBy>Mario</cp:lastModifiedBy>
  <cp:revision>2</cp:revision>
  <cp:lastPrinted>2009-06-10T08:31:00Z</cp:lastPrinted>
  <dcterms:created xsi:type="dcterms:W3CDTF">2015-01-24T15:05:00Z</dcterms:created>
  <dcterms:modified xsi:type="dcterms:W3CDTF">2015-01-24T15:05:00Z</dcterms:modified>
</cp:coreProperties>
</file>