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0B981"/>
          <w:sz w:val="52"/>
        </w:rPr>
        <w:t>Jumarald Pharmacy &amp; Wellness</w:t>
      </w:r>
    </w:p>
    <w:p>
      <w:pPr>
        <w:jc w:val="center"/>
      </w:pPr>
      <w:r>
        <w:rPr>
          <w:i/>
          <w:color w:val="475569"/>
          <w:sz w:val="26"/>
        </w:rPr>
        <w:t>Full Technical Architecture, Security &amp; Operational Documentation</w:t>
        <w:br/>
        <w:t>Version 3.0.0</w:t>
      </w:r>
    </w:p>
    <w:p>
      <w:pPr>
        <w:spacing w:after="240"/>
      </w:pPr>
    </w:p>
    <w:p>
      <w:pPr>
        <w:spacing w:before="360" w:after="120"/>
      </w:pPr>
      <w:r>
        <w:rPr>
          <w:b/>
          <w:color w:val="10B981"/>
          <w:sz w:val="32"/>
        </w:rPr>
        <w:t>1. Executive Summary</w:t>
      </w:r>
    </w:p>
    <w:p>
      <w:r>
        <w:t>Jumarald Pharmacy &amp; Wellness is a full-stack digital health and pharmaceutical enterprise application operating in Ghana. The platform unifies e-commerce medicine retail, prescription validation, telehealth physician appointments, real-time multi-branch inventory tracking, and an AI-powered Superintendent Clinical Assistant ('Dr. Jumarald AI').</w:t>
      </w:r>
    </w:p>
    <w:p>
      <w:r>
        <w:t>The solution is compliant with Ghana Food &amp; Drugs Authority (FDA) standards, Pharmacy Council regulations, and the Data Protection Act 2012 (Act 843). Superintendent Pharmacist: Pharm. Philip Bruce-Tagoe (GPHC Reg. No. 2050984).</w:t>
      </w:r>
    </w:p>
    <w:p>
      <w:pPr>
        <w:spacing w:before="360" w:after="120"/>
      </w:pPr>
      <w:r>
        <w:rPr>
          <w:b/>
          <w:color w:val="10B981"/>
          <w:sz w:val="32"/>
        </w:rPr>
        <w:t>2. System Architecture &amp; Monorepo Structure</w:t>
      </w:r>
    </w:p>
    <w:p>
      <w:r>
        <w:t>The application is built using a monorepo workspace architecture: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Technology Stack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Key Responsibilities</w:t>
            </w:r>
          </w:p>
        </w:tc>
      </w:tr>
      <w:tr>
        <w:tc>
          <w:tcPr>
            <w:tcW w:type="dxa" w:w="3120"/>
          </w:tcPr>
          <w:p>
            <w:r>
              <w:t>Frontend Storefront</w:t>
            </w:r>
          </w:p>
        </w:tc>
        <w:tc>
          <w:tcPr>
            <w:tcW w:type="dxa" w:w="3120"/>
          </w:tcPr>
          <w:p>
            <w:r>
              <w:t>Next.js 15, React 19, Tailwind CSS</w:t>
            </w:r>
          </w:p>
        </w:tc>
        <w:tc>
          <w:tcPr>
            <w:tcW w:type="dxa" w:w="3120"/>
          </w:tcPr>
          <w:p>
            <w:r>
              <w:t>Patient portal, product catalog, review submission, AI chat widget</w:t>
            </w:r>
          </w:p>
        </w:tc>
      </w:tr>
      <w:tr>
        <w:tc>
          <w:tcPr>
            <w:tcW w:type="dxa" w:w="3120"/>
          </w:tcPr>
          <w:p>
            <w:r>
              <w:t>Admin Console</w:t>
            </w:r>
          </w:p>
        </w:tc>
        <w:tc>
          <w:tcPr>
            <w:tcW w:type="dxa" w:w="3120"/>
          </w:tcPr>
          <w:p>
            <w:r>
              <w:t>Next.js 15, Recharts, Lucide Icons</w:t>
            </w:r>
          </w:p>
        </w:tc>
        <w:tc>
          <w:tcPr>
            <w:tcW w:type="dxa" w:w="3120"/>
          </w:tcPr>
          <w:p>
            <w:r>
              <w:t>Operational management, order processing, global inventory reports</w:t>
            </w:r>
          </w:p>
        </w:tc>
      </w:tr>
      <w:tr>
        <w:tc>
          <w:tcPr>
            <w:tcW w:type="dxa" w:w="3120"/>
          </w:tcPr>
          <w:p>
            <w:r>
              <w:t>Backend API</w:t>
            </w:r>
          </w:p>
        </w:tc>
        <w:tc>
          <w:tcPr>
            <w:tcW w:type="dxa" w:w="3120"/>
          </w:tcPr>
          <w:p>
            <w:r>
              <w:t>Express.js 4, TypeScript, Socket.io</w:t>
            </w:r>
          </w:p>
        </w:tc>
        <w:tc>
          <w:tcPr>
            <w:tcW w:type="dxa" w:w="3120"/>
          </w:tcPr>
          <w:p>
            <w:r>
              <w:t>RESTful endpoints, real-time WebSocket events, payment webhooks</w:t>
            </w:r>
          </w:p>
        </w:tc>
      </w:tr>
      <w:tr>
        <w:tc>
          <w:tcPr>
            <w:tcW w:type="dxa" w:w="3120"/>
          </w:tcPr>
          <w:p>
            <w:r>
              <w:t>Database &amp; ORM</w:t>
            </w:r>
          </w:p>
        </w:tc>
        <w:tc>
          <w:tcPr>
            <w:tcW w:type="dxa" w:w="3120"/>
          </w:tcPr>
          <w:p>
            <w:r>
              <w:t>Neon PostgreSQL (Serverless), Prisma ORM</w:t>
            </w:r>
          </w:p>
        </w:tc>
        <w:tc>
          <w:tcPr>
            <w:tcW w:type="dxa" w:w="3120"/>
          </w:tcPr>
          <w:p>
            <w:r>
              <w:t>Relational persistence, schema safety, ACID transaction handling</w:t>
            </w:r>
          </w:p>
        </w:tc>
      </w:tr>
      <w:tr>
        <w:tc>
          <w:tcPr>
            <w:tcW w:type="dxa" w:w="3120"/>
          </w:tcPr>
          <w:p>
            <w:r>
              <w:t>Clinical AI Engine</w:t>
            </w:r>
          </w:p>
        </w:tc>
        <w:tc>
          <w:tcPr>
            <w:tcW w:type="dxa" w:w="3120"/>
          </w:tcPr>
          <w:p>
            <w:r>
              <w:t>OpenAI GPT-4o-mini / Gemini 1.5 Flash</w:t>
            </w:r>
          </w:p>
        </w:tc>
        <w:tc>
          <w:tcPr>
            <w:tcW w:type="dxa" w:w="3120"/>
          </w:tcPr>
          <w:p>
            <w:r>
              <w:t>Autonomous intent classification, multi-tool execution, RAG knowledge</w:t>
            </w:r>
          </w:p>
        </w:tc>
      </w:tr>
      <w:tr>
        <w:tc>
          <w:tcPr>
            <w:tcW w:type="dxa" w:w="3120"/>
          </w:tcPr>
          <w:p>
            <w:r>
              <w:t>Security &amp; Auth</w:t>
            </w:r>
          </w:p>
        </w:tc>
        <w:tc>
          <w:tcPr>
            <w:tcW w:type="dxa" w:w="3120"/>
          </w:tcPr>
          <w:p>
            <w:r>
              <w:t>JWT, bcrypt, Zod, Helmet, Rate Limiters</w:t>
            </w:r>
          </w:p>
        </w:tc>
        <w:tc>
          <w:tcPr>
            <w:tcW w:type="dxa" w:w="3120"/>
          </w:tcPr>
          <w:p>
            <w:r>
              <w:t>Role-Based Access Control, request sanitization, anti-scraping</w:t>
            </w:r>
          </w:p>
        </w:tc>
      </w:tr>
    </w:tbl>
    <w:p>
      <w:pPr>
        <w:spacing w:after="240"/>
      </w:pPr>
    </w:p>
    <w:p>
      <w:pPr>
        <w:spacing w:before="360" w:after="120"/>
      </w:pPr>
      <w:r>
        <w:rPr>
          <w:b/>
          <w:color w:val="10B981"/>
          <w:sz w:val="32"/>
        </w:rPr>
        <w:t>3. Superintendent AI Assistant Architecture</w:t>
      </w:r>
    </w:p>
    <w:p>
      <w:r>
        <w:t>The AI assistant ('Dr. Jumarald AI') acts as a virtual clinical pharmacy assistant. It features an autonomous Orchestrator, Tool Registry, and Rule-Based Fallback Engine:</w:t>
      </w:r>
    </w:p>
    <w:p>
      <w:pPr>
        <w:spacing w:before="240" w:after="80"/>
      </w:pPr>
      <w:r>
        <w:rPr>
          <w:b/>
          <w:color w:val="0F172A"/>
          <w:sz w:val="26"/>
        </w:rPr>
        <w:t>3.1 Registered AI Tools</w:t>
      </w:r>
    </w:p>
    <w:p>
      <w:pPr>
        <w:pStyle w:val="ListBullet"/>
      </w:pPr>
      <w:r>
        <w:rPr>
          <w:b/>
        </w:rPr>
        <w:t xml:space="preserve">searchProducts: </w:t>
      </w:r>
      <w:r>
        <w:t>Executes multi-keyword search across master catalog with live GH₵ prices and stock status.</w:t>
      </w:r>
    </w:p>
    <w:p>
      <w:pPr>
        <w:pStyle w:val="ListBullet"/>
      </w:pPr>
      <w:r>
        <w:rPr>
          <w:b/>
        </w:rPr>
        <w:t xml:space="preserve">getProductDetails: </w:t>
      </w:r>
      <w:r>
        <w:t>Fetches active ingredients, dosage guidance, and therapeutic indications.</w:t>
      </w:r>
    </w:p>
    <w:p>
      <w:pPr>
        <w:pStyle w:val="ListBullet"/>
      </w:pPr>
      <w:r>
        <w:rPr>
          <w:b/>
        </w:rPr>
        <w:t xml:space="preserve">checkDrugInteraction: </w:t>
      </w:r>
      <w:r>
        <w:t>Performs pharmacological contraindication analysis across multiple active medications.</w:t>
      </w:r>
    </w:p>
    <w:p>
      <w:pPr>
        <w:pStyle w:val="ListBullet"/>
      </w:pPr>
      <w:r>
        <w:rPr>
          <w:b/>
        </w:rPr>
        <w:t xml:space="preserve">findNearbyBranches: </w:t>
      </w:r>
      <w:r>
        <w:t>Returns branch addresses, phone numbers, opening hours, and pickup options.</w:t>
      </w:r>
    </w:p>
    <w:p>
      <w:pPr>
        <w:pStyle w:val="ListBullet"/>
      </w:pPr>
      <w:r>
        <w:rPr>
          <w:b/>
        </w:rPr>
        <w:t xml:space="preserve">getUserOrders: </w:t>
      </w:r>
      <w:r>
        <w:t>Retrieves patient order tracking status for authenticated accounts.</w:t>
      </w:r>
    </w:p>
    <w:p>
      <w:pPr>
        <w:pStyle w:val="ListBullet"/>
      </w:pPr>
      <w:r>
        <w:rPr>
          <w:b/>
        </w:rPr>
        <w:t xml:space="preserve">createPharmacistConsultation: </w:t>
      </w:r>
      <w:r>
        <w:t>Escalates high-risk symptoms directly to the Superintendent Pharmacist queue.</w:t>
      </w:r>
    </w:p>
    <w:p>
      <w:pPr>
        <w:spacing w:before="360" w:after="120"/>
      </w:pPr>
      <w:r>
        <w:rPr>
          <w:b/>
          <w:color w:val="10B981"/>
          <w:sz w:val="32"/>
        </w:rPr>
        <w:t>4. Security &amp; CIA Triad Audit</w:t>
      </w:r>
    </w:p>
    <w:p>
      <w:pPr>
        <w:spacing w:before="240" w:after="80"/>
      </w:pPr>
      <w:r>
        <w:rPr>
          <w:b/>
          <w:color w:val="0F172A"/>
          <w:sz w:val="26"/>
        </w:rPr>
        <w:t>4.1 Confidentiality</w:t>
      </w:r>
    </w:p>
    <w:p>
      <w:r>
        <w:t>Stateless JWT access tokens with RBAC middleware (requireRole). Database active-user validation on every token request revokes access immediately upon account deactivation.</w:t>
      </w:r>
    </w:p>
    <w:p>
      <w:pPr>
        <w:spacing w:before="240" w:after="80"/>
      </w:pPr>
      <w:r>
        <w:rPr>
          <w:b/>
          <w:color w:val="0F172A"/>
          <w:sz w:val="26"/>
        </w:rPr>
        <w:t>4.2 Integrity</w:t>
      </w:r>
    </w:p>
    <w:p>
      <w:r>
        <w:t>All stock operations and financial payments use Prisma ACID transactions. Paystack payments are verified via HMAC SHA-512 signatures. All incoming API payloads are validated using Zod schemas.</w:t>
      </w:r>
    </w:p>
    <w:p>
      <w:pPr>
        <w:spacing w:before="240" w:after="80"/>
      </w:pPr>
      <w:r>
        <w:rPr>
          <w:b/>
          <w:color w:val="0F172A"/>
          <w:sz w:val="26"/>
        </w:rPr>
        <w:t>4.3 Availability &amp; Rate Limiting</w:t>
      </w:r>
    </w:p>
    <w:p>
      <w:r>
        <w:t>Strict rate limiters protect system resources:</w:t>
      </w:r>
    </w:p>
    <w:p>
      <w:r>
        <w:t>• authLimiter: 20 login/register attempts per 15 minutes</w:t>
        <w:br/>
        <w:t>• aiLimiter: 20 requests per minute</w:t>
        <w:br/>
        <w:t>• prescriptionLimiter: 30 uploads per 15 minutes</w:t>
        <w:br/>
        <w:t>• apiLimiter: 120 general requests per minute</w:t>
      </w:r>
    </w:p>
    <w:p>
      <w:pPr>
        <w:spacing w:before="360" w:after="120"/>
      </w:pPr>
      <w:r>
        <w:rPr>
          <w:b/>
          <w:color w:val="10B981"/>
          <w:sz w:val="32"/>
        </w:rPr>
        <w:t>5. Legal &amp; Regulatory Compliance Suite</w:t>
      </w:r>
    </w:p>
    <w:p>
      <w:r>
        <w:t>1. Acceptable Use Policy (/acceptable-use): Strict rules against prescription forgery, identity theft, and prompt-injection.</w:t>
      </w:r>
    </w:p>
    <w:p>
      <w:r>
        <w:t>2. Terms of Service (/terms): FDA Ghana rules for prescription verification, cold-chain transport, and pharmaceutical returns.</w:t>
      </w:r>
    </w:p>
    <w:p>
      <w:r>
        <w:t>3. Privacy Policy (/privacy): Data protection compliance under the Ghana Data Protection Act 2012 (Act 843).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