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mic Sans MS" w:hAnsi="Comic Sans MS"/>
          <w:b/>
          <w:b/>
          <w:sz w:val="32"/>
          <w:szCs w:val="32"/>
        </w:rPr>
      </w:pPr>
      <w:r>
        <w:rPr>
          <w:rFonts w:ascii="Comic Sans MS" w:hAnsi="Comic Sans MS"/>
          <w:b/>
          <w:sz w:val="32"/>
          <w:szCs w:val="32"/>
        </w:rPr>
        <w:t>Naam student:</w:t>
      </w:r>
    </w:p>
    <w:p>
      <w:pPr>
        <w:pStyle w:val="PlainText"/>
        <w:rPr/>
      </w:pPr>
      <w:r>
        <w:rPr>
          <w:rFonts w:ascii="Comic Sans MS" w:hAnsi="Comic Sans MS"/>
          <w:b/>
          <w:sz w:val="32"/>
          <w:szCs w:val="32"/>
        </w:rPr>
        <w:t xml:space="preserve">Feedback op de oplossing van: </w:t>
      </w:r>
      <w:r>
        <w:rPr>
          <w:rFonts w:ascii="Comic Sans MS" w:hAnsi="Comic Sans MS"/>
          <w:b/>
          <w:sz w:val="32"/>
          <w:szCs w:val="32"/>
        </w:rPr>
        <w:t xml:space="preserve">Sen </w:t>
      </w:r>
      <w:r>
        <w:rPr>
          <w:rFonts w:ascii="Comic Sans MS" w:hAnsi="Comic Sans MS"/>
          <w:b/>
          <w:sz w:val="32"/>
          <w:szCs w:val="32"/>
        </w:rPr>
        <w:t>Grare</w:t>
      </w:r>
    </w:p>
    <w:p>
      <w:pPr>
        <w:pStyle w:val="Normal"/>
        <w:spacing w:lineRule="auto" w:line="360"/>
        <w:jc w:val="both"/>
        <w:rPr/>
      </w:pPr>
      <w:r>
        <w:rPr/>
      </w:r>
    </w:p>
    <w:p>
      <w:pPr>
        <w:pStyle w:val="PlainText"/>
        <w:rPr/>
      </w:pPr>
      <w:r>
        <w:rPr>
          <w:rFonts w:ascii="Comic Sans MS" w:hAnsi="Comic Sans MS"/>
          <w:b/>
          <w:sz w:val="32"/>
        </w:rPr>
        <w:t xml:space="preserve">Wat vond je van deze oplossing? </w:t>
      </w:r>
      <w:r>
        <w:rPr>
          <w:rFonts w:ascii="Comic Sans MS" w:hAnsi="Comic Sans MS"/>
          <w:b/>
          <w:sz w:val="32"/>
        </w:rPr>
        <w:t>In orde</w:t>
      </w:r>
    </w:p>
    <w:p>
      <w:pPr>
        <w:pStyle w:val="PlainText"/>
        <w:rPr/>
      </w:pPr>
      <w:r>
        <w:rPr/>
      </w:r>
    </w:p>
    <w:p>
      <w:pPr>
        <w:pStyle w:val="Normal"/>
        <w:rPr/>
      </w:pPr>
      <w:r>
        <w:rPr/>
        <w:t>Deel A: STELLINGEN</w:t>
      </w:r>
    </w:p>
    <w:p>
      <w:pPr>
        <w:pStyle w:val="Normal"/>
        <w:rPr/>
      </w:pPr>
      <w:r>
        <w:rPr/>
        <w:t xml:space="preserve"> </w:t>
      </w:r>
      <w:r>
        <w:rPr/>
        <w:tab/>
      </w:r>
    </w:p>
    <w:p>
      <w:pPr>
        <w:pStyle w:val="Normal"/>
        <w:rPr>
          <w:i/>
          <w:i/>
        </w:rPr>
      </w:pPr>
      <w:r>
        <w:rPr>
          <w:i/>
        </w:rPr>
        <w:t xml:space="preserve">Zet achter elke stelling een kruisje in het voor jou passende hokje. Licht je antwoord toe. </w:t>
      </w:r>
      <w:r>
        <w:rPr>
          <w:i/>
          <w:u w:val="single"/>
        </w:rPr>
        <w:t>Feedbackformulieren waarin geen toelichtingen gegeven worden gaan je medestudent niet vooruit helpen en worden dan ook als niet afgegeven beschouwd.</w:t>
      </w:r>
      <w:r>
        <w:rPr>
          <w:i/>
        </w:rPr>
        <w:t xml:space="preserve"> </w:t>
      </w:r>
    </w:p>
    <w:p>
      <w:pPr>
        <w:pStyle w:val="Normal"/>
        <w:rPr/>
      </w:pPr>
      <w:r>
        <w:rPr/>
      </w:r>
    </w:p>
    <w:tbl>
      <w:tblPr>
        <w:tblW w:w="13307"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7" w:type="dxa"/>
          <w:bottom w:w="0" w:type="dxa"/>
          <w:right w:w="85" w:type="dxa"/>
        </w:tblCellMar>
        <w:tblLook w:noVBand="0" w:val="0000" w:noHBand="0" w:lastColumn="0" w:firstColumn="0" w:lastRow="0" w:firstRow="0"/>
      </w:tblPr>
      <w:tblGrid>
        <w:gridCol w:w="2385"/>
        <w:gridCol w:w="939"/>
        <w:gridCol w:w="899"/>
        <w:gridCol w:w="900"/>
        <w:gridCol w:w="1260"/>
        <w:gridCol w:w="1260"/>
        <w:gridCol w:w="5663"/>
      </w:tblGrid>
      <w:tr>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sz w:val="20"/>
              </w:rPr>
            </w:pPr>
            <w:r>
              <w:rPr>
                <w:sz w:val="20"/>
              </w:rPr>
              <w:t xml:space="preserve">Volledig akkoord </w:t>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Akkoord</w:t>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Neutraal</w:t>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Niet akkoord</w:t>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Helemaal niet akkoord</w:t>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Toelichting</w:t>
            </w:r>
          </w:p>
        </w:tc>
      </w:tr>
      <w:tr>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De design laat toe de implementatie vlot te gebruiken.</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t>x</w:t>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Er wordt duidelijk gezegd wat er moet gebeuren.</w:t>
            </w:r>
          </w:p>
        </w:tc>
      </w:tr>
      <w:tr>
        <w:trPr>
          <w:trHeight w:val="776" w:hRule="atLeast"/>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De design is modulair, de modules hebben duidelijke contracten</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t>x</w:t>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Duidelijke contracten, duidelijk wat er mee gedaan kan/mag worden.</w:t>
            </w:r>
          </w:p>
        </w:tc>
      </w:tr>
      <w:tr>
        <w:trPr>
          <w:trHeight w:val="776" w:hRule="atLeast"/>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In de design wordt gesproken over WAT, niet HOE (geen verwijzingen naar implementatie)</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t>x</w:t>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Er wordt niet gesproken over hoe de implementaties moeten gebeuren, enkel waar ze voor dienen.</w:t>
            </w:r>
          </w:p>
        </w:tc>
      </w:tr>
      <w:tr>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Duidelijke naamkeuze  (van variabelen, constanten, functies, …)</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t>x</w:t>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Geen onduidelijke variabelen. Door alle operaties dezelfde naam te geven doorheen de ADT’s zou er verwarring kunnen voorkomen.</w:t>
            </w:r>
          </w:p>
        </w:tc>
      </w:tr>
      <w:tr>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De tabellen maken in het design gebruik van 1 datastructuur (bv Toets, Punt, ...).</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r>
      <w:tr>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De tabellen werken voor alle datastructuren (bv Toets, Punt, ...).</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r>
    </w:tbl>
    <w:p>
      <w:pPr>
        <w:pStyle w:val="Normal"/>
        <w:rPr/>
      </w:pPr>
      <w:r>
        <w:rPr/>
      </w:r>
      <w:r>
        <w:br w:type="page"/>
      </w:r>
    </w:p>
    <w:tbl>
      <w:tblPr>
        <w:tblW w:w="13307"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7" w:type="dxa"/>
          <w:bottom w:w="0" w:type="dxa"/>
          <w:right w:w="85" w:type="dxa"/>
        </w:tblCellMar>
        <w:tblLook w:noVBand="0" w:val="0000" w:noHBand="0" w:lastColumn="0" w:firstColumn="0" w:lastRow="0" w:firstRow="0"/>
      </w:tblPr>
      <w:tblGrid>
        <w:gridCol w:w="2385"/>
        <w:gridCol w:w="939"/>
        <w:gridCol w:w="899"/>
        <w:gridCol w:w="900"/>
        <w:gridCol w:w="1260"/>
        <w:gridCol w:w="1260"/>
        <w:gridCol w:w="5663"/>
      </w:tblGrid>
      <w:tr>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pageBreakBefore/>
              <w:rPr>
                <w:sz w:val="20"/>
              </w:rPr>
            </w:pPr>
            <w:r>
              <w:rPr>
                <w:sz w:val="20"/>
              </w:rPr>
              <w:t>Zijn er methodes voorzien om makkelijk van ADT te wisselen? Je wil bv wisselen van 2-3-boom naar een hashmap.</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r>
      <w:tr>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De gegevens van een ADT zijn enkel via de ADT operaties bereikbaar.</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t>x</w:t>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 xml:space="preserve">Alle data die bereikt moeten worden kunnen worden bereikt, enkel door via de ADT te werken. Op een andere manier kan er niet aan gegevens gekomen worden. </w:t>
            </w:r>
          </w:p>
        </w:tc>
      </w:tr>
      <w:tr>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Gegevens die niet buiten het ADT moeten/mogen bekend zijn, worden verborgen.</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Heading2"/>
              <w:spacing w:before="200" w:after="120"/>
              <w:rPr>
                <w:sz w:val="20"/>
              </w:rPr>
            </w:pPr>
            <w:r>
              <w:rPr>
                <w:sz w:val="20"/>
              </w:rPr>
            </w:r>
          </w:p>
        </w:tc>
      </w:tr>
      <w:tr>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Er is object-georienteerd gewerkt</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t>x</w:t>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 xml:space="preserve">Door gebruik te maken van classes in Python wordt er aan OOP gedaan. </w:t>
            </w:r>
          </w:p>
        </w:tc>
      </w:tr>
      <w:tr>
        <w:trPr/>
        <w:tc>
          <w:tcPr>
            <w:tcW w:w="23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Deze oplossing komt in aanmerking als voorbeeld voor de andere studenten</w:t>
            </w:r>
          </w:p>
        </w:tc>
        <w:tc>
          <w:tcPr>
            <w:tcW w:w="939"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t>x</w:t>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Goed voorbeeld om van te starten, niet het beste.</w:t>
            </w:r>
          </w:p>
        </w:tc>
      </w:tr>
    </w:tbl>
    <w:p>
      <w:pPr>
        <w:pStyle w:val="Normal"/>
        <w:rPr/>
      </w:pPr>
      <w:r>
        <w:rPr/>
      </w:r>
      <w:r>
        <w:br w:type="page"/>
      </w:r>
    </w:p>
    <w:p>
      <w:pPr>
        <w:pStyle w:val="Normal"/>
        <w:rPr/>
      </w:pPr>
      <w:r>
        <w:rPr/>
        <w:t>Deel B: OPEN VRAGEN</w:t>
      </w:r>
    </w:p>
    <w:p>
      <w:pPr>
        <w:pStyle w:val="Normal"/>
        <w:rPr>
          <w:i/>
          <w:i/>
        </w:rPr>
      </w:pPr>
      <w:r>
        <w:rPr>
          <w:i/>
        </w:rPr>
        <w:t>Beantwoord kort onderstaande open vragen. Probeer in je antwoord zo concreet mogelijk te zijn.</w:t>
      </w:r>
    </w:p>
    <w:p>
      <w:pPr>
        <w:pStyle w:val="Normal"/>
        <w:rPr>
          <w:i/>
          <w:i/>
        </w:rPr>
      </w:pPr>
      <w:r>
        <w:rPr>
          <w:i/>
        </w:rPr>
      </w:r>
    </w:p>
    <w:p>
      <w:pPr>
        <w:pStyle w:val="Normal"/>
        <w:rPr/>
      </w:pPr>
      <w:r>
        <w:rPr/>
        <w:t>Flexibiliteit</w:t>
      </w:r>
    </w:p>
    <w:p>
      <w:pPr>
        <w:pStyle w:val="Normal"/>
        <w:rPr>
          <w:i/>
          <w:i/>
        </w:rPr>
      </w:pPr>
      <w:r>
        <w:rPr>
          <w:i/>
        </w:rPr>
        <w:t xml:space="preserve">Een design is pas flexibel als het goed tegen wijzigingen kan. Stel nu dat we de volgende wijzigingen doen. Geef de klassen die </w:t>
      </w:r>
      <w:r>
        <w:rPr>
          <w:b/>
          <w:i/>
          <w:u w:val="single"/>
        </w:rPr>
        <w:t>toegevoegd</w:t>
      </w:r>
      <w:r>
        <w:rPr>
          <w:i/>
        </w:rPr>
        <w:t xml:space="preserve"> moeten worden (enkel bij naam, geen methodes of attributen) en de klassen die vermoedelijk moeten </w:t>
      </w:r>
      <w:r>
        <w:rPr>
          <w:b/>
          <w:i/>
          <w:u w:val="single"/>
        </w:rPr>
        <w:t>aangepast</w:t>
      </w:r>
      <w:r>
        <w:rPr>
          <w:i/>
        </w:rPr>
        <w:t xml:space="preserve"> worden in dit ontwerp. Baseer je dus enkel op de contracten van dit ontwerp. Als je dat niet kan, duid dan goed aan waar het niet duidelijk is wat er moet gebeuren en/of waar er moet aangepast worden.</w:t>
      </w:r>
    </w:p>
    <w:p>
      <w:pPr>
        <w:pStyle w:val="Normal"/>
        <w:rPr>
          <w:i/>
          <w:i/>
        </w:rPr>
      </w:pPr>
      <w:r>
        <w:rPr>
          <w:i/>
        </w:rPr>
      </w:r>
    </w:p>
    <w:tbl>
      <w:tblPr>
        <w:tblW w:w="142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We implementeren een AVL-boom en willen die in het puntensysteem gebruiken om de toetsen op te slaan.</w:t>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We willen dat toetsen nu gesorteerd worden op maximum.</w:t>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i/>
                <w:i/>
              </w:rPr>
            </w:pPr>
            <w:r>
              <w:rPr>
                <w:i/>
              </w:rPr>
              <w:t xml:space="preserve">Hiervoor kunnen we het beste een heapsort gebruiken. We zullen dan wel een nieuwe klasse moeten aanmaken genaamd HeapTree. Deze heeft als invoer de punten van de toetsen. Hier gaat ook een methode +sort() moeten toegevoegd worden. Hiermee kunnen we dan de </w:t>
            </w:r>
            <w:r>
              <w:rPr>
                <w:i/>
              </w:rPr>
              <w:t>maximum testen het makkelijkst terug halen.</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Er zijn nu ook attitudes, die geen maximum hebben en gequoteerd worden met schalen (bv de attitude nauwkeurigheid wordt gequoteerd met uitstekend, goed, net voldoende of onvoldoende)</w:t>
            </w:r>
            <w:bookmarkStart w:id="0" w:name="_GoBack"/>
            <w:bookmarkEnd w:id="0"/>
            <w:r>
              <w:rPr/>
              <w:t>.</w:t>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TOPS - volgende onderdelen van de oplossing vond ik bijzonder goed:</w:t>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i/>
                <w:i/>
              </w:rPr>
            </w:pPr>
            <w:r>
              <w:rPr>
                <w:i/>
              </w:rPr>
              <w:t xml:space="preserve">De manier waarop het inlezen van een tekstbestand geimplementeerd is, en de .dot output werkt. Hierdoor moet je zelf veel minder werk doen. Je moet enkel een tekst bestandje maken met alle commando’s dat je wil, en dan wordt er direct een .dot bestand gemaakt. Dit is heel visueel en zeer duidelijk. </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GB"/>
              </w:rPr>
            </w:pPr>
            <w:r>
              <w:rPr/>
              <w:t xml:space="preserve">TIPS - welke wijzigingen (qua structuur, inhoud, vormgeving, klasses die je mist, methodes die je mist, …) die je nog niet vermeldde bij één van de bovenstaande vragen, kan je suggereren? </w:t>
            </w:r>
            <w:r>
              <w:rPr>
                <w:lang w:val="en-GB"/>
              </w:rPr>
              <w:t>Licht toe.</w:t>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i/>
                <w:i/>
                <w:iCs/>
                <w:lang w:val="en-GB"/>
              </w:rPr>
            </w:pPr>
            <w:r>
              <w:rPr>
                <w:i/>
                <w:iCs/>
                <w:lang w:val="en-GB"/>
              </w:rPr>
              <w:t xml:space="preserve">De  manier dat ik mijn programma heb gemaakt is op een andere  manier als Sen en het is dan ook heel lastig om te zeggen wat hij moet veranderen zonder zijn eigen programmeerstijl te gaan beinvloeden. </w:t>
            </w:r>
          </w:p>
          <w:p>
            <w:pPr>
              <w:pStyle w:val="Normal"/>
              <w:rPr>
                <w:i/>
                <w:i/>
                <w:iCs/>
                <w:lang w:val="en-GB"/>
              </w:rPr>
            </w:pPr>
            <w:r>
              <w:rPr>
                <w:i/>
                <w:iCs/>
                <w:lang w:val="en-GB"/>
              </w:rPr>
            </w:r>
          </w:p>
          <w:p>
            <w:pPr>
              <w:pStyle w:val="Normal"/>
              <w:rPr>
                <w:lang w:val="en-GB"/>
              </w:rPr>
            </w:pPr>
            <w:r>
              <w:rPr>
                <w:lang w:val="en-GB"/>
              </w:rPr>
              <w:t>Wat er wel ontbreekt zijn de verschillende klassen: klas, leerling, leerkracht, toets, punt, puntenlijst, rapport.</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tc>
      </w:tr>
    </w:tbl>
    <w:p>
      <w:pPr>
        <w:pStyle w:val="Normal"/>
        <w:rPr/>
      </w:pPr>
      <w:r>
        <w:rPr/>
      </w:r>
    </w:p>
    <w:sectPr>
      <w:type w:val="nextPage"/>
      <w:pgSz w:orient="landscape" w:w="16838" w:h="11906"/>
      <w:pgMar w:left="1418" w:right="1418" w:header="0" w:top="993" w:footer="0" w:bottom="102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nl-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nl-NL" w:eastAsia="nl-NL" w:bidi="ar-SA"/>
    </w:rPr>
  </w:style>
  <w:style w:type="paragraph" w:styleId="Heading1">
    <w:name w:val="Heading 1"/>
    <w:basedOn w:val="Normal"/>
    <w:next w:val="Normal"/>
    <w:qFormat/>
    <w:pPr>
      <w:keepNext w:val="true"/>
      <w:outlineLvl w:val="0"/>
    </w:pPr>
    <w:rPr>
      <w:sz w:val="32"/>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mic Sans MS"/>
      <w:sz w:val="20"/>
      <w:szCs w:val="20"/>
    </w:rPr>
  </w:style>
  <w:style w:type="paragraph" w:styleId="BalloonText">
    <w:name w:val="Balloon Text"/>
    <w:basedOn w:val="Normal"/>
    <w:semiHidden/>
    <w:qFormat/>
    <w:rsid w:val="002867bd"/>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LibreOffice/6.0.3.2$Linux_X86_64 LibreOffice_project/00m0$Build-2</Application>
  <Pages>4</Pages>
  <Words>636</Words>
  <Characters>3302</Characters>
  <CharactersWithSpaces>3900</CharactersWithSpaces>
  <Paragraphs>50</Paragraphs>
  <Company>Organisation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2014-11-07T15:57:00Z</dcterms:created>
  <dc:creator>Customer</dc:creator>
  <dc:description/>
  <dc:language>en-US</dc:language>
  <cp:lastModifiedBy/>
  <cp:lastPrinted>2005-02-03T10:55:00Z</cp:lastPrinted>
  <dcterms:modified xsi:type="dcterms:W3CDTF">2018-11-14T10:18:42Z</dcterms:modified>
  <cp:revision>11</cp:revision>
  <dc:subject/>
  <dc:title>IMPORT In, Out;  PROCEDURE Do*;      VAR x1, x2, x3, i: INTEGER;           name : ARRAY 8 OF CHAR;      BEGIN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Organisation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