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donor-vetting-report"/>
    <w:p>
      <w:pPr>
        <w:pStyle w:val="Heading1"/>
      </w:pPr>
      <w:r>
        <w:t xml:space="preserve">Donor Vetting Report</w:t>
      </w:r>
    </w:p>
    <w:p>
      <w:pPr>
        <w:pStyle w:val="FirstParagraph"/>
      </w:pPr>
      <w:r>
        <w:rPr>
          <w:b/>
          <w:bCs/>
        </w:rPr>
        <w:t xml:space="preserve">Consciousness Science 2026 — Donor Screening Protocol</w:t>
      </w:r>
    </w:p>
    <w:p>
      <w:pPr>
        <w:pStyle w:val="BodyText"/>
      </w:pPr>
      <w:r>
        <w:t xml:space="preserve">Date: March 12, 2026</w:t>
      </w:r>
    </w:p>
    <w:p>
      <w:r>
        <w:pict>
          <v:rect style="width:0;height:1.5pt" o:hralign="center" o:hrstd="t" o:hr="t"/>
        </w:pict>
      </w:r>
    </w:p>
    <w:bookmarkStart w:id="9" w:name="summary"/>
    <w:p>
      <w:pPr>
        <w:pStyle w:val="Heading2"/>
      </w:pPr>
      <w:r>
        <w:t xml:space="preserve">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Name</w:t>
            </w:r>
          </w:p>
        </w:tc>
        <w:tc>
          <w:tcPr/>
          <w:p>
            <w:pPr>
              <w:pStyle w:val="Compact"/>
            </w:pPr>
            <w:r>
              <w:t xml:space="preserve">Winslow Carter Strong</w:t>
            </w:r>
          </w:p>
        </w:tc>
      </w:tr>
      <w:tr>
        <w:tc>
          <w:tcPr/>
          <w:p>
            <w:pPr>
              <w:pStyle w:val="Compact"/>
            </w:pPr>
            <w:r>
              <w:rPr>
                <w:b/>
                <w:bCs/>
              </w:rPr>
              <w:t xml:space="preserve">Occupation</w:t>
            </w:r>
          </w:p>
        </w:tc>
        <w:tc>
          <w:tcPr/>
          <w:p>
            <w:pPr>
              <w:pStyle w:val="Compact"/>
            </w:pPr>
            <w:r>
              <w:t xml:space="preserve">Crypto investor, venture capitalist, nonprofit founder</w:t>
            </w:r>
          </w:p>
        </w:tc>
      </w:tr>
      <w:tr>
        <w:tc>
          <w:tcPr/>
          <w:p>
            <w:pPr>
              <w:pStyle w:val="Compact"/>
            </w:pPr>
            <w:r>
              <w:rPr>
                <w:b/>
                <w:bCs/>
              </w:rPr>
              <w:t xml:space="preserve">Primary Company</w:t>
            </w:r>
          </w:p>
        </w:tc>
        <w:tc>
          <w:tcPr/>
          <w:p>
            <w:pPr>
              <w:pStyle w:val="Compact"/>
            </w:pPr>
            <w:r>
              <w:t xml:space="preserve">The Consciousness Foundation (CoFo) — Chair; Cluster Capital — General Partner</w:t>
            </w:r>
          </w:p>
        </w:tc>
      </w:tr>
      <w:tr>
        <w:tc>
          <w:tcPr/>
          <w:p>
            <w:pPr>
              <w:pStyle w:val="Compact"/>
            </w:pPr>
            <w:r>
              <w:rPr>
                <w:b/>
                <w:bCs/>
              </w:rPr>
              <w:t xml:space="preserve">Country of Residence</w:t>
            </w:r>
          </w:p>
        </w:tc>
        <w:tc>
          <w:tcPr/>
          <w:p>
            <w:pPr>
              <w:pStyle w:val="Compact"/>
            </w:pPr>
            <w:r>
              <w:t xml:space="preserve">United States (Puerto Rico)</w:t>
            </w:r>
          </w:p>
        </w:tc>
      </w:tr>
      <w:tr>
        <w:tc>
          <w:tcPr/>
          <w:p>
            <w:pPr>
              <w:pStyle w:val="Compact"/>
            </w:pPr>
            <w:r>
              <w:rPr>
                <w:b/>
                <w:bCs/>
              </w:rPr>
              <w:t xml:space="preserve">Epstein Association</w:t>
            </w:r>
          </w:p>
        </w:tc>
        <w:tc>
          <w:tcPr/>
          <w:p>
            <w:pPr>
              <w:pStyle w:val="Compact"/>
            </w:pPr>
            <w:r>
              <w:t xml:space="preserve">NO</w:t>
            </w:r>
          </w:p>
        </w:tc>
      </w:tr>
      <w:tr>
        <w:tc>
          <w:tcPr/>
          <w:p>
            <w:pPr>
              <w:pStyle w:val="Compact"/>
            </w:pPr>
            <w:r>
              <w:rPr>
                <w:b/>
                <w:bCs/>
              </w:rPr>
              <w:t xml:space="preserve">Criminal Record</w:t>
            </w:r>
          </w:p>
        </w:tc>
        <w:tc>
          <w:tcPr/>
          <w:p>
            <w:pPr>
              <w:pStyle w:val="Compact"/>
            </w:pPr>
            <w:r>
              <w:t xml:space="preserve">NO</w:t>
            </w:r>
          </w:p>
        </w:tc>
      </w:tr>
      <w:tr>
        <w:tc>
          <w:tcPr/>
          <w:p>
            <w:pPr>
              <w:pStyle w:val="Compact"/>
            </w:pPr>
            <w:r>
              <w:rPr>
                <w:b/>
                <w:bCs/>
              </w:rPr>
              <w:t xml:space="preserve">Civil Litigation</w:t>
            </w:r>
          </w:p>
        </w:tc>
        <w:tc>
          <w:tcPr/>
          <w:p>
            <w:pPr>
              <w:pStyle w:val="Compact"/>
            </w:pPr>
            <w:r>
              <w:t xml:space="preserve">YES — Cred Inc. Liquidation Trust v. Winslow Carter Strong (settled 2023)</w:t>
            </w:r>
          </w:p>
        </w:tc>
      </w:tr>
      <w:tr>
        <w:tc>
          <w:tcPr/>
          <w:p>
            <w:pPr>
              <w:pStyle w:val="Compact"/>
            </w:pPr>
            <w:r>
              <w:rPr>
                <w:b/>
                <w:bCs/>
              </w:rPr>
              <w:t xml:space="preserve">Major Controversies</w:t>
            </w:r>
          </w:p>
        </w:tc>
        <w:tc>
          <w:tcPr/>
          <w:p>
            <w:pPr>
              <w:pStyle w:val="Compact"/>
            </w:pPr>
            <w:r>
              <w:t xml:space="preserve">YES — Cred bankruptcy fraudulent transfer allegation (see Step 2)</w:t>
            </w:r>
          </w:p>
        </w:tc>
      </w:tr>
      <w:tr>
        <w:tc>
          <w:tcPr/>
          <w:p>
            <w:pPr>
              <w:pStyle w:val="Compact"/>
            </w:pPr>
            <w:r>
              <w:rPr>
                <w:b/>
                <w:bCs/>
              </w:rPr>
              <w:t xml:space="preserve">Sanctions / Political Exposure</w:t>
            </w:r>
          </w:p>
        </w:tc>
        <w:tc>
          <w:tcPr/>
          <w:p>
            <w:pPr>
              <w:pStyle w:val="Compact"/>
            </w:pPr>
            <w:r>
              <w:t xml:space="preserve">NO</w:t>
            </w:r>
          </w:p>
        </w:tc>
      </w:tr>
      <w:tr>
        <w:tc>
          <w:tcPr/>
          <w:p>
            <w:pPr>
              <w:pStyle w:val="Compact"/>
            </w:pPr>
            <w:r>
              <w:rPr>
                <w:b/>
                <w:bCs/>
              </w:rPr>
              <w:t xml:space="preserve">Risk Score</w:t>
            </w:r>
          </w:p>
        </w:tc>
        <w:tc>
          <w:tcPr/>
          <w:p>
            <w:pPr>
              <w:pStyle w:val="Compact"/>
            </w:pPr>
            <w:r>
              <w:t xml:space="preserve">1 — Significant litigation requiring committee review</w:t>
            </w:r>
          </w:p>
        </w:tc>
      </w:tr>
    </w:tbl>
    <w:p>
      <w:r>
        <w:pict>
          <v:rect style="width:0;height:1.5pt" o:hralign="center" o:hrstd="t" o:hr="t"/>
        </w:pict>
      </w:r>
    </w:p>
    <w:bookmarkEnd w:id="9"/>
    <w:bookmarkStart w:id="10" w:name="step-1-identity-resolution"/>
    <w:p>
      <w:pPr>
        <w:pStyle w:val="Heading2"/>
      </w:pPr>
      <w:r>
        <w:t xml:space="preserve">Step 1: Identity Resolution</w:t>
      </w:r>
    </w:p>
    <w:p>
      <w:pPr>
        <w:pStyle w:val="FirstParagraph"/>
      </w:pPr>
      <w:r>
        <w:t xml:space="preserve">Winslow Carter Strong is an American investor, researcher, and nonprofit founder. He holds a Ph.D. in Statistics and Applied Probability with an emphasis in Financial Mathematics from the University of California, Santa Barbara (2007–2011), where his doctoral advisor was Jean-Pierre Fouque. He has published academic research on functionally generated portfolios (Stochastic Portfolio Theory) and has research interests spanning financial mathematics, brain imaging, social cognitive affective neuroscience, and cognitive control.</w:t>
      </w:r>
    </w:p>
    <w:p>
      <w:pPr>
        <w:pStyle w:val="BodyText"/>
      </w:pPr>
      <w:r>
        <w:t xml:space="preserve">Professional history:</w:t>
      </w:r>
    </w:p>
    <w:p>
      <w:pPr>
        <w:pStyle w:val="Compact"/>
        <w:numPr>
          <w:ilvl w:val="0"/>
          <w:numId w:val="1001"/>
        </w:numPr>
      </w:pPr>
      <w:r>
        <w:rPr>
          <w:b/>
          <w:bCs/>
        </w:rPr>
        <w:t xml:space="preserve">ETH Zurich</w:t>
      </w:r>
      <w:r>
        <w:t xml:space="preserve"> </w:t>
      </w:r>
      <w:r>
        <w:t xml:space="preserve">— Researcher (financial mathematics)</w:t>
      </w:r>
    </w:p>
    <w:p>
      <w:pPr>
        <w:pStyle w:val="Compact"/>
        <w:numPr>
          <w:ilvl w:val="0"/>
          <w:numId w:val="1001"/>
        </w:numPr>
      </w:pPr>
      <w:r>
        <w:rPr>
          <w:b/>
          <w:bCs/>
        </w:rPr>
        <w:t xml:space="preserve">Palo Alto Neuroscience</w:t>
      </w:r>
      <w:r>
        <w:t xml:space="preserve"> </w:t>
      </w:r>
      <w:r>
        <w:t xml:space="preserve">— Co-Founder and CTO/Chief Science Officer. Developed EEG neurofeedback technology for meditation and contemplative development. Referenced Delorme’s work on meditation and neurofeedback.</w:t>
      </w:r>
    </w:p>
    <w:p>
      <w:pPr>
        <w:pStyle w:val="Compact"/>
        <w:numPr>
          <w:ilvl w:val="0"/>
          <w:numId w:val="1001"/>
        </w:numPr>
      </w:pPr>
      <w:r>
        <w:rPr>
          <w:b/>
          <w:bCs/>
        </w:rPr>
        <w:t xml:space="preserve">Cluster Capital</w:t>
      </w:r>
      <w:r>
        <w:t xml:space="preserve"> </w:t>
      </w:r>
      <w:r>
        <w:t xml:space="preserve">— General Partner. Crypto/DeFi-focused venture fund co-founded with Alexis Huille. On-chain records show Strong is a significant crypto holder (</w:t>
      </w:r>
      <w:r>
        <w:t xml:space="preserve">“crypto whale”</w:t>
      </w:r>
      <w:r>
        <w:t xml:space="preserve">) with tracked transactions in the tens of millions of dollars (e.g., $47M+ deposited to exchanges in December 2025).</w:t>
      </w:r>
    </w:p>
    <w:p>
      <w:pPr>
        <w:pStyle w:val="Compact"/>
        <w:numPr>
          <w:ilvl w:val="0"/>
          <w:numId w:val="1001"/>
        </w:numPr>
      </w:pPr>
      <w:r>
        <w:rPr>
          <w:b/>
          <w:bCs/>
        </w:rPr>
        <w:t xml:space="preserve">Qualia Research Institute</w:t>
      </w:r>
      <w:r>
        <w:t xml:space="preserve"> </w:t>
      </w:r>
      <w:r>
        <w:t xml:space="preserve">— Director. Consciousness research organization.</w:t>
      </w:r>
    </w:p>
    <w:p>
      <w:pPr>
        <w:pStyle w:val="Compact"/>
        <w:numPr>
          <w:ilvl w:val="0"/>
          <w:numId w:val="1001"/>
        </w:numPr>
      </w:pPr>
      <w:r>
        <w:rPr>
          <w:b/>
          <w:bCs/>
        </w:rPr>
        <w:t xml:space="preserve">Collider Ventures</w:t>
      </w:r>
      <w:r>
        <w:t xml:space="preserve"> </w:t>
      </w:r>
      <w:r>
        <w:t xml:space="preserve">— Advisor.</w:t>
      </w:r>
    </w:p>
    <w:p>
      <w:pPr>
        <w:pStyle w:val="Compact"/>
        <w:numPr>
          <w:ilvl w:val="0"/>
          <w:numId w:val="1001"/>
        </w:numPr>
      </w:pPr>
      <w:r>
        <w:rPr>
          <w:b/>
          <w:bCs/>
        </w:rPr>
        <w:t xml:space="preserve">The Consciousness Foundation (CoFo)</w:t>
      </w:r>
      <w:r>
        <w:t xml:space="preserve"> </w:t>
      </w:r>
      <w:r>
        <w:t xml:space="preserve">— Founder and Chair (announced 2025). A 501(c)(3) public charity (EIN: 33-4334115) based in San Francisco, CA, whose stated purpose is to advance the scientific understanding of consciousness and foster consciousness development. Published a vision paper (</w:t>
      </w:r>
      <w:r>
        <w:t xml:space="preserve">“Consciousness: An Emerging Frontier,”</w:t>
      </w:r>
      <w:r>
        <w:t xml:space="preserve"> </w:t>
      </w:r>
      <w:r>
        <w:t xml:space="preserve">2025) and launched a Request for Proposals titled</w:t>
      </w:r>
      <w:r>
        <w:t xml:space="preserve"> </w:t>
      </w:r>
      <w:r>
        <w:t xml:space="preserve">“Toward a Science of Awakening.”</w:t>
      </w:r>
      <w:r>
        <w:t xml:space="preserve"> </w:t>
      </w:r>
      <w:r>
        <w:t xml:space="preserve">Team includes Alicia Liu, Josh Fields, and Kathryn Devaney.</w:t>
      </w:r>
    </w:p>
    <w:p>
      <w:pPr>
        <w:pStyle w:val="FirstParagraph"/>
      </w:pPr>
      <w:r>
        <w:t xml:space="preserve">Strong is based in Puerto Rico. His interests span cryptocurrency, consciousness science, neuroscience, meditation, and contemplative development.</w:t>
      </w:r>
    </w:p>
    <w:p>
      <w:pPr>
        <w:pStyle w:val="BodyText"/>
      </w:pPr>
      <w:r>
        <w:t xml:space="preserve">Public profiles: LinkedIn, X (</w:t>
      </w:r>
      <w:r>
        <w:t xml:space="preserve">@winslow_strong</w:t>
      </w:r>
      <w:r>
        <w:t xml:space="preserve">), ResearchGate, Academia.edu, Crunchbase, Google Scholar</w:t>
      </w:r>
    </w:p>
    <w:p>
      <w:r>
        <w:pict>
          <v:rect style="width:0;height:1.5pt" o:hralign="center" o:hrstd="t" o:hr="t"/>
        </w:pict>
      </w:r>
    </w:p>
    <w:bookmarkEnd w:id="10"/>
    <w:bookmarkStart w:id="12" w:name="step-2-criminal-and-legal-history"/>
    <w:p>
      <w:pPr>
        <w:pStyle w:val="Heading2"/>
      </w:pPr>
      <w:r>
        <w:t xml:space="preserve">Step 2: Criminal and Legal History</w:t>
      </w:r>
    </w:p>
    <w:p>
      <w:pPr>
        <w:pStyle w:val="FirstParagraph"/>
      </w:pPr>
      <w:r>
        <w:t xml:space="preserve">No criminal charges found. However, there is one significant civil matter:</w:t>
      </w:r>
    </w:p>
    <w:bookmarkStart w:id="11" w:name="Xf6fbaa998cdc7f5364a344bbe32f2b9a3254f88"/>
    <w:p>
      <w:pPr>
        <w:pStyle w:val="Heading3"/>
      </w:pPr>
      <w:r>
        <w:t xml:space="preserve">Cred Inc. Liquidation Trust v. Winslow Carter Strong</w:t>
      </w:r>
    </w:p>
    <w:p>
      <w:pPr>
        <w:pStyle w:val="FirstParagraph"/>
      </w:pPr>
      <w:r>
        <w:rPr>
          <w:b/>
          <w:bCs/>
        </w:rPr>
        <w:t xml:space="preserve">Case:</w:t>
      </w:r>
      <w:r>
        <w:t xml:space="preserve"> </w:t>
      </w:r>
      <w:r>
        <w:t xml:space="preserve">1:22-ap-50134, Delaware Bankruptcy Court, Filed February 17, 2022</w:t>
      </w:r>
    </w:p>
    <w:p>
      <w:pPr>
        <w:pStyle w:val="BodyText"/>
      </w:pPr>
      <w:r>
        <w:rPr>
          <w:b/>
          <w:bCs/>
        </w:rPr>
        <w:t xml:space="preserve">Background:</w:t>
      </w:r>
      <w:r>
        <w:t xml:space="preserve"> </w:t>
      </w:r>
      <w:r>
        <w:t xml:space="preserve">Cred Inc. was a crypto lending platform that filed for Chapter 11 bankruptcy in November 2020 with up to $500 million in liabilities. The Cred Liquidation Trust alleged that a transaction with Winslow Strong constituted a fraudulent transfer.</w:t>
      </w:r>
    </w:p>
    <w:p>
      <w:pPr>
        <w:pStyle w:val="BodyText"/>
      </w:pPr>
      <w:r>
        <w:rPr>
          <w:b/>
          <w:bCs/>
        </w:rPr>
        <w:t xml:space="preserve">Allegation:</w:t>
      </w:r>
      <w:r>
        <w:t xml:space="preserve"> </w:t>
      </w:r>
      <w:r>
        <w:t xml:space="preserve">In early 2020, Strong agreed to loan 500 bitcoin to Cred at 9% interest via CredEarn. The day before that agreement was executed, Cred management offered Strong a different arrangement — purchasing a note from Income Opportunities, a Luxembourg entity described as a</w:t>
      </w:r>
      <w:r>
        <w:t xml:space="preserve"> </w:t>
      </w:r>
      <w:r>
        <w:t xml:space="preserve">“bankruptcy remote entity.”</w:t>
      </w:r>
      <w:r>
        <w:t xml:space="preserve"> </w:t>
      </w:r>
      <w:r>
        <w:t xml:space="preserve">Strong purchased the note using the 500 bitcoin. In July 2020, as Cred was heading toward bankruptcy, Cred repurchased the note from Strong for approximately 516 bitcoin (~$4.8 million at the time; ~$21 million at time of lawsuit). The Trust alleged this transfer was fraudulent — that Cred paid 516 BTC in exchange for an essentially worthless bond while insolvent.</w:t>
      </w:r>
    </w:p>
    <w:p>
      <w:pPr>
        <w:pStyle w:val="BodyText"/>
      </w:pPr>
      <w:r>
        <w:rPr>
          <w:b/>
          <w:bCs/>
        </w:rPr>
        <w:t xml:space="preserve">Strong’s defense:</w:t>
      </w:r>
      <w:r>
        <w:t xml:space="preserve"> </w:t>
      </w:r>
      <w:r>
        <w:t xml:space="preserve">Strong characterized the transaction as a legitimate repayment of funds due with interest. He stated that Cred had marketed Income Opportunities as</w:t>
      </w:r>
      <w:r>
        <w:t xml:space="preserve"> </w:t>
      </w:r>
      <w:r>
        <w:t xml:space="preserve">“better-insulated from bankruptcy”</w:t>
      </w:r>
      <w:r>
        <w:t xml:space="preserve"> </w:t>
      </w:r>
      <w:r>
        <w:t xml:space="preserve">and that the purchase was intended to consolidate his exposure to MoKredit (Cred’s Chinese lending partner).</w:t>
      </w:r>
    </w:p>
    <w:p>
      <w:pPr>
        <w:pStyle w:val="BodyText"/>
      </w:pPr>
      <w:r>
        <w:rPr>
          <w:b/>
          <w:bCs/>
        </w:rPr>
        <w:t xml:space="preserve">Court rulings:</w:t>
      </w:r>
      <w:r>
        <w:t xml:space="preserve"> </w:t>
      </w:r>
      <w:r>
        <w:t xml:space="preserve">- May 2022: The court dismissed two of five counts, including the actual fraud claim.</w:t>
      </w:r>
      <w:r>
        <w:t xml:space="preserve"> </w:t>
      </w:r>
      <w:r>
        <w:t xml:space="preserve">- February 2023: The remaining claims were settled. The case was dismissed with prejudice (cannot be reopened).</w:t>
      </w:r>
    </w:p>
    <w:p>
      <w:pPr>
        <w:pStyle w:val="BodyText"/>
      </w:pPr>
      <w:r>
        <w:rPr>
          <w:b/>
          <w:bCs/>
        </w:rPr>
        <w:t xml:space="preserve">Strong’s statement:</w:t>
      </w:r>
      <w:r>
        <w:t xml:space="preserve"> </w:t>
      </w:r>
      <w:r>
        <w:t xml:space="preserve">Strong told CoinDesk that he lost more on the settlement and legal fees defending the claim than he earned on the original loan.</w:t>
      </w:r>
    </w:p>
    <w:p>
      <w:pPr>
        <w:pStyle w:val="BodyText"/>
      </w:pPr>
      <w:r>
        <w:rPr>
          <w:b/>
          <w:bCs/>
        </w:rPr>
        <w:t xml:space="preserve">Assessment:</w:t>
      </w:r>
      <w:r>
        <w:t xml:space="preserve"> </w:t>
      </w:r>
      <w:r>
        <w:t xml:space="preserve">This was a civil adversary proceeding within a bankruptcy case, not a criminal prosecution. The actual fraud count was dismissed by the court. The remaining counts were settled and dismissed with prejudice. The transaction occurred in the context of a chaotic bankruptcy involving multiple parties and a larger alleged fraud by Cred’s investment manager. Strong was not the primary wrongdoer in the Cred collapse; however, his receipt of 516 BTC from an insolvent entity raised legitimate legal questions that required judicial resolution.</w:t>
      </w:r>
    </w:p>
    <w:p>
      <w:pPr>
        <w:pStyle w:val="BodyText"/>
      </w:pPr>
      <w:r>
        <w:rPr>
          <w:b/>
          <w:bCs/>
        </w:rPr>
        <w:t xml:space="preserve">Result: FLAG — Civil litigation involving allegations of fraudulent transfer in a bankruptcy proceeding. Actual fraud count dismissed; remaining counts settled.</w:t>
      </w:r>
    </w:p>
    <w:p>
      <w:r>
        <w:pict>
          <v:rect style="width:0;height:1.5pt" o:hralign="center" o:hrstd="t" o:hr="t"/>
        </w:pict>
      </w:r>
    </w:p>
    <w:bookmarkEnd w:id="11"/>
    <w:bookmarkEnd w:id="12"/>
    <w:bookmarkStart w:id="13" w:name="Xaa170648a3fe0fd3d79a0e89e1fcaff20ae6568"/>
    <w:p>
      <w:pPr>
        <w:pStyle w:val="Heading2"/>
      </w:pPr>
      <w:r>
        <w:t xml:space="preserve">Step 3: Association with Known High-Risk Figures</w:t>
      </w:r>
    </w:p>
    <w:p>
      <w:pPr>
        <w:pStyle w:val="FirstParagraph"/>
      </w:pPr>
      <w:r>
        <w:t xml:space="preserve">Targeted searches for associations with Jeffrey Epstein, Ghislaine Maxwell, flight logs, and Epstein-related donations returned no results. Winslow Strong does not appear in any Epstein-related reporting, flight logs, financial records, or lawsuits.</w:t>
      </w:r>
    </w:p>
    <w:p>
      <w:pPr>
        <w:pStyle w:val="BodyText"/>
      </w:pPr>
      <w:r>
        <w:rPr>
          <w:b/>
          <w:bCs/>
        </w:rPr>
        <w:t xml:space="preserve">Result: CLEAR</w:t>
      </w:r>
    </w:p>
    <w:p>
      <w:r>
        <w:pict>
          <v:rect style="width:0;height:1.5pt" o:hralign="center" o:hrstd="t" o:hr="t"/>
        </w:pict>
      </w:r>
    </w:p>
    <w:bookmarkEnd w:id="13"/>
    <w:bookmarkStart w:id="14" w:name="step-4-reputation-risk-screening"/>
    <w:p>
      <w:pPr>
        <w:pStyle w:val="Heading2"/>
      </w:pPr>
      <w:r>
        <w:t xml:space="preserve">Step 4: Reputation Risk Screening</w:t>
      </w:r>
    </w:p>
    <w:p>
      <w:pPr>
        <w:pStyle w:val="FirstParagraph"/>
      </w:pPr>
      <w:r>
        <w:t xml:space="preserve">No allegations of sexual misconduct, abuse, or human rights violations found. Items noted:</w:t>
      </w:r>
    </w:p>
    <w:p>
      <w:pPr>
        <w:numPr>
          <w:ilvl w:val="0"/>
          <w:numId w:val="1002"/>
        </w:numPr>
      </w:pPr>
      <w:r>
        <w:rPr>
          <w:b/>
          <w:bCs/>
        </w:rPr>
        <w:t xml:space="preserve">Cred bankruptcy litigation (2022–2023):</w:t>
      </w:r>
      <w:r>
        <w:t xml:space="preserve"> </w:t>
      </w:r>
      <w:r>
        <w:t xml:space="preserve">As detailed in Step 2. This was reported by CoinDesk, Yahoo Finance, and crypto news outlets. The coverage describes Strong as a</w:t>
      </w:r>
      <w:r>
        <w:t xml:space="preserve"> </w:t>
      </w:r>
      <w:r>
        <w:t xml:space="preserve">“crypto whale”</w:t>
      </w:r>
      <w:r>
        <w:t xml:space="preserve"> </w:t>
      </w:r>
      <w:r>
        <w:t xml:space="preserve">who received bitcoin from an insolvent company. While the actual fraud claim was dismissed and the case was settled, the public reporting creates a searchable record associating Strong with allegations of</w:t>
      </w:r>
      <w:r>
        <w:t xml:space="preserve"> </w:t>
      </w:r>
      <w:r>
        <w:t xml:space="preserve">“fraudulent transfer.”</w:t>
      </w:r>
    </w:p>
    <w:p>
      <w:pPr>
        <w:numPr>
          <w:ilvl w:val="0"/>
          <w:numId w:val="1002"/>
        </w:numPr>
      </w:pPr>
      <w:r>
        <w:rPr>
          <w:b/>
          <w:bCs/>
        </w:rPr>
        <w:t xml:space="preserve">Large-scale crypto trading:</w:t>
      </w:r>
      <w:r>
        <w:t xml:space="preserve"> </w:t>
      </w:r>
      <w:r>
        <w:t xml:space="preserve">Strong’s on-chain activity is publicly tracked by blockchain monitoring services (Spot On Chain, Nansen). His token liquidations (e.g., 704,902 EIGEN tokens worth ~$2.23M; 442 WBTC transfers; $47M+ exchange deposits) have generated crypto media coverage and market speculation. This is standard for large crypto holders but places him in a highly visible position within the crypto community.</w:t>
      </w:r>
    </w:p>
    <w:p>
      <w:pPr>
        <w:numPr>
          <w:ilvl w:val="0"/>
          <w:numId w:val="1002"/>
        </w:numPr>
      </w:pPr>
      <w:r>
        <w:rPr>
          <w:b/>
          <w:bCs/>
        </w:rPr>
        <w:t xml:space="preserve">Frontier science interests:</w:t>
      </w:r>
      <w:r>
        <w:t xml:space="preserve"> </w:t>
      </w:r>
      <w:r>
        <w:t xml:space="preserve">Strong funds and leads organizations focused on consciousness science, meditation/neurofeedback technology, and contemplative development. These areas overlap with the conference’s themes and do not represent a reputational risk.</w:t>
      </w:r>
    </w:p>
    <w:p>
      <w:pPr>
        <w:pStyle w:val="FirstParagraph"/>
      </w:pPr>
      <w:r>
        <w:rPr>
          <w:b/>
          <w:bCs/>
        </w:rPr>
        <w:t xml:space="preserve">Result: FLAG — Cred bankruptcy reporting creates a searchable association with fraud allegations, even though the actual fraud count was dismissed.</w:t>
      </w:r>
    </w:p>
    <w:p>
      <w:r>
        <w:pict>
          <v:rect style="width:0;height:1.5pt" o:hralign="center" o:hrstd="t" o:hr="t"/>
        </w:pict>
      </w:r>
    </w:p>
    <w:bookmarkEnd w:id="14"/>
    <w:bookmarkStart w:id="15" w:name="Xa40cb9cce90c82a4dd6c17d8a22ac1081ae0866"/>
    <w:p>
      <w:pPr>
        <w:pStyle w:val="Heading2"/>
      </w:pPr>
      <w:r>
        <w:t xml:space="preserve">Step 5: Philanthropy and Institutional Relationships</w:t>
      </w:r>
    </w:p>
    <w:p>
      <w:pPr>
        <w:numPr>
          <w:ilvl w:val="0"/>
          <w:numId w:val="1003"/>
        </w:numPr>
      </w:pPr>
      <w:r>
        <w:rPr>
          <w:b/>
          <w:bCs/>
        </w:rPr>
        <w:t xml:space="preserve">The Consciousness Foundation (CoFo)</w:t>
      </w:r>
      <w:r>
        <w:t xml:space="preserve"> </w:t>
      </w:r>
      <w:r>
        <w:t xml:space="preserve">— Founded and chairs this 501(c)(3) public charity dedicated to consciousness science. Published a vision paper in 2025 and launched research RFPs including</w:t>
      </w:r>
      <w:r>
        <w:t xml:space="preserve"> </w:t>
      </w:r>
      <w:r>
        <w:t xml:space="preserve">“Toward a Science of Awakening.”</w:t>
      </w:r>
      <w:r>
        <w:t xml:space="preserve"> </w:t>
      </w:r>
      <w:r>
        <w:t xml:space="preserve">Registered at 584 Castro Street #3172, San Francisco, CA 94114.</w:t>
      </w:r>
    </w:p>
    <w:p>
      <w:pPr>
        <w:numPr>
          <w:ilvl w:val="0"/>
          <w:numId w:val="1003"/>
        </w:numPr>
      </w:pPr>
      <w:r>
        <w:rPr>
          <w:b/>
          <w:bCs/>
        </w:rPr>
        <w:t xml:space="preserve">Qualia Research Institute</w:t>
      </w:r>
      <w:r>
        <w:t xml:space="preserve"> </w:t>
      </w:r>
      <w:r>
        <w:t xml:space="preserve">— Director. A nonprofit focused on consciousness research, with connections to the effective altruism community (published on LessWrong and EA Forum).</w:t>
      </w:r>
    </w:p>
    <w:p>
      <w:pPr>
        <w:numPr>
          <w:ilvl w:val="0"/>
          <w:numId w:val="1003"/>
        </w:numPr>
      </w:pPr>
      <w:r>
        <w:rPr>
          <w:b/>
          <w:bCs/>
        </w:rPr>
        <w:t xml:space="preserve">Palo Alto Neuroscience</w:t>
      </w:r>
      <w:r>
        <w:t xml:space="preserve"> </w:t>
      </w:r>
      <w:r>
        <w:t xml:space="preserve">— Co-founded this neuroscience startup focused on EEG neurofeedback for meditation enhancement.</w:t>
      </w:r>
    </w:p>
    <w:p>
      <w:pPr>
        <w:pStyle w:val="FirstParagraph"/>
      </w:pPr>
      <w:r>
        <w:t xml:space="preserve">No institutional philanthropy beyond his own organizations was found in public searches. No institutions have been reported as returning donations from Strong. No philanthropic controversies found.</w:t>
      </w:r>
    </w:p>
    <w:p>
      <w:pPr>
        <w:pStyle w:val="BodyText"/>
      </w:pPr>
      <w:r>
        <w:rPr>
          <w:b/>
          <w:bCs/>
        </w:rPr>
        <w:t xml:space="preserve">Result: CLEAR</w:t>
      </w:r>
    </w:p>
    <w:p>
      <w:r>
        <w:pict>
          <v:rect style="width:0;height:1.5pt" o:hralign="center" o:hrstd="t" o:hr="t"/>
        </w:pict>
      </w:r>
    </w:p>
    <w:bookmarkEnd w:id="15"/>
    <w:bookmarkStart w:id="16" w:name="step-6-political-exposure-and-sanctions"/>
    <w:p>
      <w:pPr>
        <w:pStyle w:val="Heading2"/>
      </w:pPr>
      <w:r>
        <w:t xml:space="preserve">Step 6: Political Exposure and Sanctions</w:t>
      </w:r>
    </w:p>
    <w:p>
      <w:pPr>
        <w:pStyle w:val="FirstParagraph"/>
      </w:pPr>
      <w:r>
        <w:t xml:space="preserve">No results on OFAC sanctions lists, politically exposed person databases, or foreign influence investigations. No lobbying activity found. No political office held. Strong is based in Puerto Rico, which is a common jurisdiction for US-based crypto investors due to tax incentives (Act 60/Act 22). This is a legal tax strategy and does not constitute a flag.</w:t>
      </w:r>
    </w:p>
    <w:p>
      <w:pPr>
        <w:pStyle w:val="BodyText"/>
      </w:pPr>
      <w:r>
        <w:rPr>
          <w:b/>
          <w:bCs/>
        </w:rPr>
        <w:t xml:space="preserve">Result: CLEAR</w:t>
      </w:r>
    </w:p>
    <w:p>
      <w:r>
        <w:pict>
          <v:rect style="width:0;height:1.5pt" o:hralign="center" o:hrstd="t" o:hr="t"/>
        </w:pict>
      </w:r>
    </w:p>
    <w:bookmarkEnd w:id="16"/>
    <w:bookmarkStart w:id="17" w:name="step-7-summary-risk-scoring"/>
    <w:p>
      <w:pPr>
        <w:pStyle w:val="Heading2"/>
      </w:pPr>
      <w:r>
        <w:t xml:space="preserve">Step 7: Summary Risk Scoring</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Criterion</w:t>
            </w:r>
          </w:p>
        </w:tc>
        <w:tc>
          <w:tcPr/>
          <w:p>
            <w:pPr>
              <w:pStyle w:val="Compact"/>
            </w:pPr>
            <w:r>
              <w:t xml:space="preserve">Result</w:t>
            </w:r>
          </w:p>
        </w:tc>
      </w:tr>
      <w:tr>
        <w:tc>
          <w:tcPr/>
          <w:p>
            <w:pPr>
              <w:pStyle w:val="Compact"/>
            </w:pPr>
            <w:r>
              <w:rPr>
                <w:b/>
                <w:bCs/>
              </w:rPr>
              <w:t xml:space="preserve">Epstein-related result</w:t>
            </w:r>
          </w:p>
        </w:tc>
        <w:tc>
          <w:tcPr/>
          <w:p>
            <w:pPr>
              <w:pStyle w:val="Compact"/>
            </w:pPr>
            <w:r>
              <w:t xml:space="preserve">None</w:t>
            </w:r>
          </w:p>
        </w:tc>
      </w:tr>
      <w:tr>
        <w:tc>
          <w:tcPr/>
          <w:p>
            <w:pPr>
              <w:pStyle w:val="Compact"/>
            </w:pPr>
            <w:r>
              <w:rPr>
                <w:b/>
                <w:bCs/>
              </w:rPr>
              <w:t xml:space="preserve">Criminal conviction</w:t>
            </w:r>
          </w:p>
        </w:tc>
        <w:tc>
          <w:tcPr/>
          <w:p>
            <w:pPr>
              <w:pStyle w:val="Compact"/>
            </w:pPr>
            <w:r>
              <w:t xml:space="preserve">None</w:t>
            </w:r>
          </w:p>
        </w:tc>
      </w:tr>
      <w:tr>
        <w:tc>
          <w:tcPr/>
          <w:p>
            <w:pPr>
              <w:pStyle w:val="Compact"/>
            </w:pPr>
            <w:r>
              <w:rPr>
                <w:b/>
                <w:bCs/>
              </w:rPr>
              <w:t xml:space="preserve">Civil litigation</w:t>
            </w:r>
          </w:p>
        </w:tc>
        <w:tc>
          <w:tcPr/>
          <w:p>
            <w:pPr>
              <w:pStyle w:val="Compact"/>
            </w:pPr>
            <w:r>
              <w:t xml:space="preserve">Cred bankruptcy fraudulent transfer — actual fraud dismissed, settled 2023</w:t>
            </w:r>
          </w:p>
        </w:tc>
      </w:tr>
      <w:tr>
        <w:tc>
          <w:tcPr/>
          <w:p>
            <w:pPr>
              <w:pStyle w:val="Compact"/>
            </w:pPr>
            <w:r>
              <w:rPr>
                <w:b/>
                <w:bCs/>
              </w:rPr>
              <w:t xml:space="preserve">Multiple independent allegations</w:t>
            </w:r>
          </w:p>
        </w:tc>
        <w:tc>
          <w:tcPr/>
          <w:p>
            <w:pPr>
              <w:pStyle w:val="Compact"/>
            </w:pPr>
            <w:r>
              <w:t xml:space="preserve">No — single legal matter only</w:t>
            </w:r>
          </w:p>
        </w:tc>
      </w:tr>
      <w:tr>
        <w:tc>
          <w:tcPr/>
          <w:p>
            <w:pPr>
              <w:pStyle w:val="Compact"/>
            </w:pPr>
            <w:r>
              <w:rPr>
                <w:b/>
                <w:bCs/>
              </w:rPr>
              <w:t xml:space="preserve">Automatic escalation triggers</w:t>
            </w:r>
          </w:p>
        </w:tc>
        <w:tc>
          <w:tcPr/>
          <w:p>
            <w:pPr>
              <w:pStyle w:val="Compact"/>
            </w:pPr>
            <w:r>
              <w:t xml:space="preserve">Civil litigation with fraud-related allegations triggers review</w:t>
            </w:r>
          </w:p>
        </w:tc>
      </w:tr>
      <w:tr>
        <w:tc>
          <w:tcPr/>
          <w:p>
            <w:pPr>
              <w:pStyle w:val="Compact"/>
            </w:pPr>
            <w:r>
              <w:rPr>
                <w:b/>
                <w:bCs/>
              </w:rPr>
              <w:t xml:space="preserve">RISK SCORE</w:t>
            </w:r>
          </w:p>
        </w:tc>
        <w:tc>
          <w:tcPr/>
          <w:p>
            <w:pPr>
              <w:pStyle w:val="Compact"/>
            </w:pPr>
            <w:r>
              <w:rPr>
                <w:b/>
                <w:bCs/>
              </w:rPr>
              <w:t xml:space="preserve">1 — Significant litigation requiring committee review</w:t>
            </w:r>
          </w:p>
        </w:tc>
      </w:tr>
    </w:tbl>
    <w:p>
      <w:pPr>
        <w:pStyle w:val="BodyText"/>
      </w:pPr>
      <w:r>
        <w:rPr>
          <w:b/>
          <w:bCs/>
        </w:rPr>
        <w:t xml:space="preserve">Recommendation:</w:t>
      </w:r>
      <w:r>
        <w:t xml:space="preserve"> </w:t>
      </w:r>
      <w:r>
        <w:t xml:space="preserve">The Cred bankruptcy litigation (2022–2023) is the sole concern. Key mitigating factors:</w:t>
      </w:r>
    </w:p>
    <w:p>
      <w:pPr>
        <w:pStyle w:val="Compact"/>
        <w:numPr>
          <w:ilvl w:val="0"/>
          <w:numId w:val="1004"/>
        </w:numPr>
      </w:pPr>
      <w:r>
        <w:t xml:space="preserve">The actual fraud count was dismissed by the court.</w:t>
      </w:r>
    </w:p>
    <w:p>
      <w:pPr>
        <w:pStyle w:val="Compact"/>
        <w:numPr>
          <w:ilvl w:val="0"/>
          <w:numId w:val="1004"/>
        </w:numPr>
      </w:pPr>
      <w:r>
        <w:t xml:space="preserve">The remaining claims were settled and dismissed with prejudice.</w:t>
      </w:r>
    </w:p>
    <w:p>
      <w:pPr>
        <w:pStyle w:val="Compact"/>
        <w:numPr>
          <w:ilvl w:val="0"/>
          <w:numId w:val="1004"/>
        </w:numPr>
      </w:pPr>
      <w:r>
        <w:t xml:space="preserve">Strong was not the primary wrongdoer in the Cred collapse.</w:t>
      </w:r>
    </w:p>
    <w:p>
      <w:pPr>
        <w:pStyle w:val="Compact"/>
        <w:numPr>
          <w:ilvl w:val="0"/>
          <w:numId w:val="1004"/>
        </w:numPr>
      </w:pPr>
      <w:r>
        <w:t xml:space="preserve">Strong states he lost money on settlement and legal fees.</w:t>
      </w:r>
    </w:p>
    <w:p>
      <w:pPr>
        <w:pStyle w:val="Compact"/>
        <w:numPr>
          <w:ilvl w:val="0"/>
          <w:numId w:val="1004"/>
        </w:numPr>
      </w:pPr>
      <w:r>
        <w:t xml:space="preserve">No criminal charges were ever filed.</w:t>
      </w:r>
    </w:p>
    <w:p>
      <w:pPr>
        <w:pStyle w:val="Compact"/>
        <w:numPr>
          <w:ilvl w:val="0"/>
          <w:numId w:val="1004"/>
        </w:numPr>
      </w:pPr>
      <w:r>
        <w:t xml:space="preserve">No other litigation, allegations, or controversies found.</w:t>
      </w:r>
    </w:p>
    <w:p>
      <w:pPr>
        <w:pStyle w:val="FirstParagraph"/>
      </w:pPr>
      <w:r>
        <w:t xml:space="preserve">The matter is a civil dispute in a crypto bankruptcy context, resolved through settlement. It does not involve sexual misconduct, exploitation, or the categories of conduct that are primary concerns under this protocol. However, the searchable public reporting associating Strong with</w:t>
      </w:r>
      <w:r>
        <w:t xml:space="preserve"> </w:t>
      </w:r>
      <w:r>
        <w:t xml:space="preserve">“fraudulent transfer”</w:t>
      </w:r>
      <w:r>
        <w:t xml:space="preserve"> </w:t>
      </w:r>
      <w:r>
        <w:t xml:space="preserve">allegations means that accepting a donation could generate questions if journalists or critics review donor lists.</w:t>
      </w:r>
    </w:p>
    <w:p>
      <w:pPr>
        <w:pStyle w:val="BodyText"/>
      </w:pPr>
      <w:r>
        <w:rPr>
          <w:b/>
          <w:bCs/>
        </w:rPr>
        <w:t xml:space="preserve">This report should be reviewed by the organizing committee before any donation is accepted.</w:t>
      </w:r>
      <w:r>
        <w:t xml:space="preserve"> </w:t>
      </w:r>
      <w:r>
        <w:t xml:space="preserve">The committee should weigh the mitigating factors above against the conference’s risk tolerance for donors with resolved civil litigation in their public record.</w:t>
      </w:r>
    </w:p>
    <w:p>
      <w:r>
        <w:pict>
          <v:rect style="width:0;height:1.5pt" o:hralign="center" o:hrstd="t" o:hr="t"/>
        </w:pict>
      </w:r>
    </w:p>
    <w:bookmarkEnd w:id="17"/>
    <w:bookmarkStart w:id="18" w:name="sources"/>
    <w:p>
      <w:pPr>
        <w:pStyle w:val="Heading2"/>
      </w:pPr>
      <w:r>
        <w:t xml:space="preserve">Sources</w:t>
      </w:r>
    </w:p>
    <w:p>
      <w:pPr>
        <w:pStyle w:val="Compact"/>
        <w:numPr>
          <w:ilvl w:val="0"/>
          <w:numId w:val="1005"/>
        </w:numPr>
      </w:pPr>
      <w:r>
        <w:t xml:space="preserve">CoinDesk — Fraudulent Bitcoin Transfer Alleged in Cred Bankruptcy (https://www.coindesk.com/business/2022/02/18/bankrupt-cred-accused-of-fraudulent-bitcoin-transfer-to-crypto-whale)</w:t>
      </w:r>
    </w:p>
    <w:p>
      <w:pPr>
        <w:pStyle w:val="Compact"/>
        <w:numPr>
          <w:ilvl w:val="0"/>
          <w:numId w:val="1005"/>
        </w:numPr>
      </w:pPr>
      <w:r>
        <w:t xml:space="preserve">Yahoo Finance — Bankrupt Cred Accused of Fraudulent Bitcoin Transfer (https://finance.yahoo.com/news/bankrupt-cred-accused-fraudulent-bitcoin-224956195.html)</w:t>
      </w:r>
    </w:p>
    <w:p>
      <w:pPr>
        <w:pStyle w:val="Compact"/>
        <w:numPr>
          <w:ilvl w:val="0"/>
          <w:numId w:val="1005"/>
        </w:numPr>
      </w:pPr>
      <w:r>
        <w:t xml:space="preserve">PACER Monitor — Cred Inc. Liquidation Trust v. Winslow Carter Strong, 1:22-ap-50134 (https://www.pacermonitor.com/public/case/43605269/Cred_Inc_Liquidation_Trust_v_Winslow_Carter_Strong)</w:t>
      </w:r>
    </w:p>
    <w:p>
      <w:pPr>
        <w:pStyle w:val="Compact"/>
        <w:numPr>
          <w:ilvl w:val="0"/>
          <w:numId w:val="1005"/>
        </w:numPr>
      </w:pPr>
      <w:r>
        <w:t xml:space="preserve">X (</w:t>
      </w:r>
      <w:r>
        <w:t xml:space="preserve">@winslow_strong</w:t>
      </w:r>
      <w:r>
        <w:t xml:space="preserve">) — Consciousness Foundation announcement (https://x.com/winslow_strong/status/1948483311522709759)</w:t>
      </w:r>
    </w:p>
    <w:p>
      <w:pPr>
        <w:pStyle w:val="Compact"/>
        <w:numPr>
          <w:ilvl w:val="0"/>
          <w:numId w:val="1005"/>
        </w:numPr>
      </w:pPr>
      <w:r>
        <w:t xml:space="preserve">X (</w:t>
      </w:r>
      <w:r>
        <w:t xml:space="preserve">@winslow_strong</w:t>
      </w:r>
      <w:r>
        <w:t xml:space="preserve">) — Consciousness funding statement (https://x.com/winslow_strong/status/1889873214614159735)</w:t>
      </w:r>
    </w:p>
    <w:p>
      <w:pPr>
        <w:pStyle w:val="Compact"/>
        <w:numPr>
          <w:ilvl w:val="0"/>
          <w:numId w:val="1005"/>
        </w:numPr>
      </w:pPr>
      <w:r>
        <w:t xml:space="preserve">RocketReach — Winslow Strong, CoFo Chair (https://rocketreach.co/winslow-strong-email_41885671)</w:t>
      </w:r>
    </w:p>
    <w:p>
      <w:pPr>
        <w:pStyle w:val="Compact"/>
        <w:numPr>
          <w:ilvl w:val="0"/>
          <w:numId w:val="1005"/>
        </w:numPr>
      </w:pPr>
      <w:r>
        <w:t xml:space="preserve">CoFo.org — The Consciousness Foundation (https://cofo.org)</w:t>
      </w:r>
    </w:p>
    <w:p>
      <w:pPr>
        <w:pStyle w:val="Compact"/>
        <w:numPr>
          <w:ilvl w:val="0"/>
          <w:numId w:val="1005"/>
        </w:numPr>
      </w:pPr>
      <w:r>
        <w:t xml:space="preserve">CrypherHunter — Winslow Strong profile (https://www.cypherhunter.com/en/p/winslow-strong/)</w:t>
      </w:r>
    </w:p>
    <w:p>
      <w:pPr>
        <w:pStyle w:val="Compact"/>
        <w:numPr>
          <w:ilvl w:val="0"/>
          <w:numId w:val="1005"/>
        </w:numPr>
      </w:pPr>
      <w:r>
        <w:t xml:space="preserve">Crunchbase — Winslow Strong (https://www.crunchbase.com/person/winslow-strong)</w:t>
      </w:r>
    </w:p>
    <w:p>
      <w:pPr>
        <w:pStyle w:val="Compact"/>
        <w:numPr>
          <w:ilvl w:val="0"/>
          <w:numId w:val="1005"/>
        </w:numPr>
      </w:pPr>
      <w:r>
        <w:t xml:space="preserve">ResearchGate — Winslow Strong, Palo Alto Neuroscience (https://www.researchgate.net/profile/Winslow-Strong)</w:t>
      </w:r>
    </w:p>
    <w:p>
      <w:pPr>
        <w:pStyle w:val="Compact"/>
        <w:numPr>
          <w:ilvl w:val="0"/>
          <w:numId w:val="1005"/>
        </w:numPr>
      </w:pPr>
      <w:r>
        <w:t xml:space="preserve">SlideShare — Catalyzing Contemplative Development with Technology (https://www.slideshare.net/slideshow/catalyzing-contemplative-development-with-technology-winslow-strong-cofoundercto-palo-alto-neuroscience/69689086)</w:t>
      </w:r>
    </w:p>
    <w:p>
      <w:pPr>
        <w:pStyle w:val="Compact"/>
        <w:numPr>
          <w:ilvl w:val="0"/>
          <w:numId w:val="1005"/>
        </w:numPr>
      </w:pPr>
      <w:r>
        <w:t xml:space="preserve">Mathematics Genealogy Project — Winslow Strong (https://www.mathgenealogy.org/id.php?id=157318)</w:t>
      </w:r>
    </w:p>
    <w:p>
      <w:pPr>
        <w:pStyle w:val="Compact"/>
        <w:numPr>
          <w:ilvl w:val="0"/>
          <w:numId w:val="1005"/>
        </w:numPr>
      </w:pPr>
      <w:r>
        <w:t xml:space="preserve">U.S. Treasury OFAC Sanctions List Search (https://ofac.treasury.gov/sanctions-list-search-tool)</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2026-03-12T21:01:19Z</dcterms:created>
  <dcterms:modified xsi:type="dcterms:W3CDTF">2026-03-12T21:01:19Z</dcterms:modified>
</cp:coreProperties>
</file>

<file path=docProps/custom.xml><?xml version="1.0" encoding="utf-8"?>
<Properties xmlns="http://schemas.openxmlformats.org/officeDocument/2006/custom-properties" xmlns:vt="http://schemas.openxmlformats.org/officeDocument/2006/docPropsVTypes"/>
</file>