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f02b118c759e37f58e8c3ef69ab1a3f4e0c2759"/>
    <w:p>
      <w:pPr>
        <w:pStyle w:val="Heading1"/>
      </w:pPr>
      <w:r>
        <w:t xml:space="preserve">TSC 2026 Concurrent Session Speakers — Review and Recommendations</w:t>
      </w:r>
    </w:p>
    <w:p>
      <w:pPr>
        <w:pStyle w:val="FirstParagraph"/>
      </w:pPr>
      <w:r>
        <w:rPr>
          <w:b/>
          <w:bCs/>
        </w:rPr>
        <w:t xml:space="preserve">Prepared for:</w:t>
      </w:r>
      <w:r>
        <w:t xml:space="preserve"> </w:t>
      </w:r>
      <w:r>
        <w:t xml:space="preserve">TSC 2026 Program Committee</w:t>
      </w:r>
    </w:p>
    <w:p>
      <w:pPr>
        <w:pStyle w:val="BodyText"/>
      </w:pPr>
      <w:r>
        <w:rPr>
          <w:b/>
          <w:bCs/>
        </w:rPr>
        <w:t xml:space="preserve">Date:</w:t>
      </w:r>
      <w:r>
        <w:t xml:space="preserve"> </w:t>
      </w:r>
      <w:r>
        <w:t xml:space="preserve">May 2026</w:t>
      </w:r>
    </w:p>
    <w:p>
      <w:pPr>
        <w:pStyle w:val="BodyText"/>
      </w:pPr>
      <w:r>
        <w:rPr>
          <w:b/>
          <w:bCs/>
        </w:rPr>
        <w:t xml:space="preserve">Scope:</w:t>
      </w:r>
      <w:r>
        <w:t xml:space="preserve"> </w:t>
      </w:r>
      <w:r>
        <w:t xml:space="preserve">101 speakers listed in the concurrent sessions schedule (C1–C32)</w:t>
      </w:r>
    </w:p>
    <w:bookmarkStart w:id="9" w:name="executive-summary"/>
    <w:p>
      <w:pPr>
        <w:pStyle w:val="Heading2"/>
      </w:pPr>
      <w:r>
        <w:t xml:space="preserve">Executive Summary</w:t>
      </w:r>
    </w:p>
    <w:p>
      <w:pPr>
        <w:pStyle w:val="FirstParagraph"/>
      </w:pPr>
      <w:r>
        <w:t xml:space="preserve">This report reviews the academic credentials of the 101 speakers currently scheduled for concurrent sessions at TSC 2026. Each speaker was evaluated based on publicly available information, including institutional affiliation, peer-reviewed publication record, citation impact, and h-index.</w:t>
      </w:r>
    </w:p>
    <w:p>
      <w:pPr>
        <w:pStyle w:val="BodyText"/>
      </w:pPr>
      <w:r>
        <w:t xml:space="preserve">The Science of Consciousness conference has a long tradition of welcoming diverse perspectives, including topics that fall outside mainstream academic boundaries. This review respects that tradition. Speakers working on unconventional or frontier topics were evaluated on the same criteria as all others, and those who are well-established within their respective communities are recommended for inclusion regardless of topic area.</w:t>
      </w:r>
    </w:p>
    <w:p>
      <w:pPr>
        <w:pStyle w:val="BodyText"/>
      </w:pPr>
      <w:r>
        <w:t xml:space="preserve">The primary concern is limited to speakers for whom we could not verify any academic credentials, institutional affiliation, or publication history whatsoever. Including presenters with no identifiable scholarly record risks undermining the overall quality of the program.</w:t>
      </w:r>
    </w:p>
    <w:p>
      <w:pPr>
        <w:pStyle w:val="BodyText"/>
      </w:pPr>
      <w:r>
        <w:t xml:space="preserve">Of the 101 speakers reviewed,</w:t>
      </w:r>
      <w:r>
        <w:t xml:space="preserve"> </w:t>
      </w:r>
      <w:r>
        <w:rPr>
          <w:b/>
          <w:bCs/>
        </w:rPr>
        <w:t xml:space="preserve">54 are recommended</w:t>
      </w:r>
      <w:r>
        <w:t xml:space="preserve"> </w:t>
      </w:r>
      <w:r>
        <w:t xml:space="preserve">for inclusion based on verified credentials, and</w:t>
      </w:r>
      <w:r>
        <w:t xml:space="preserve"> </w:t>
      </w:r>
      <w:r>
        <w:rPr>
          <w:b/>
          <w:bCs/>
        </w:rPr>
        <w:t xml:space="preserve">47 require further review</w:t>
      </w:r>
      <w:r>
        <w:t xml:space="preserve"> </w:t>
      </w:r>
      <w:r>
        <w:t xml:space="preserve">by the program committee.</w:t>
      </w:r>
    </w:p>
    <w:bookmarkEnd w:id="9"/>
    <w:bookmarkStart w:id="10" w:name="methodology"/>
    <w:p>
      <w:pPr>
        <w:pStyle w:val="Heading2"/>
      </w:pPr>
      <w:r>
        <w:t xml:space="preserve">Methodology</w:t>
      </w:r>
    </w:p>
    <w:p>
      <w:pPr>
        <w:pStyle w:val="FirstParagraph"/>
      </w:pPr>
      <w:r>
        <w:t xml:space="preserve">Each speaker was assessed using a composite score (0–100) based on four components: institutional affiliation (up to 25 points, distinguishing R1 research universities from smaller institutions and independent researchers), peer-reviewed publication count (up to 25 points), total citation count as a measure of scholarly impact (up to 30 points), and h-index (up to 20 points).</w:t>
      </w:r>
    </w:p>
    <w:p>
      <w:pPr>
        <w:pStyle w:val="BodyText"/>
      </w:pPr>
      <w:r>
        <w:t xml:space="preserve">Data was gathered through automated web searches, Google Scholar profiles, Semantic Scholar, ResearchGate, and university faculty pages. Where a speaker works on topics that fall outside mainstream academia — such as parapsychology, Vedic perspectives, mediumship research, or alternative healing — their standing within their own research community was taken into account. A speaker with a strong publication record in a niche or frontier field is valued equally to one in a conventional discipline.</w:t>
      </w:r>
    </w:p>
    <w:p>
      <w:pPr>
        <w:pStyle w:val="BodyText"/>
      </w:pPr>
      <w:r>
        <w:t xml:space="preserve">Speakers were grouped into tiers: Tier 1 (80–100, leading academics), Tier 2 (60–79, strong academics), Tier 3 (40–59, established researchers), Tier 4 (20–39, emerging or early-career researchers), and Tier 5 (0–19, speakers for whom limited or no credentials could be verified).</w:t>
      </w:r>
    </w:p>
    <w:bookmarkEnd w:id="10"/>
    <w:bookmarkStart w:id="11" w:name="X76b1641a7cac0df16c11b3c81ae97ad1e510a61"/>
    <w:p>
      <w:pPr>
        <w:pStyle w:val="Heading2"/>
      </w:pPr>
      <w:r>
        <w:t xml:space="preserve">A. Strongly Recommended — Leading and Senior Academics</w:t>
      </w:r>
    </w:p>
    <w:p>
      <w:pPr>
        <w:pStyle w:val="FirstParagraph"/>
      </w:pPr>
      <w:r>
        <w:t xml:space="preserve">The following 18 speakers have well-established academic credentials with extensive publication records and significant citation impact. They are clear assets to the program and require no further vetting:</w:t>
      </w:r>
    </w:p>
    <w:p>
      <w:pPr>
        <w:pStyle w:val="Compact"/>
        <w:numPr>
          <w:ilvl w:val="0"/>
          <w:numId w:val="1001"/>
        </w:numPr>
      </w:pPr>
      <w:r>
        <w:t xml:space="preserve">Juergen Fell (University of Bonn, Dept of Epileptology, 250 publications, 10,500 citations, h-index 46)</w:t>
      </w:r>
    </w:p>
    <w:p>
      <w:pPr>
        <w:pStyle w:val="Compact"/>
        <w:numPr>
          <w:ilvl w:val="0"/>
          <w:numId w:val="1001"/>
        </w:numPr>
      </w:pPr>
      <w:r>
        <w:t xml:space="preserve">Daniele Faccio (University of Glasgow, 402 publications, 16,342 citations, h-index 46)</w:t>
      </w:r>
    </w:p>
    <w:p>
      <w:pPr>
        <w:pStyle w:val="Compact"/>
        <w:numPr>
          <w:ilvl w:val="0"/>
          <w:numId w:val="1001"/>
        </w:numPr>
      </w:pPr>
      <w:r>
        <w:t xml:space="preserve">Ouri Wolfson (University of Illinois Chicago, 200 publications, 17,737 citations, h-index 56)</w:t>
      </w:r>
    </w:p>
    <w:p>
      <w:pPr>
        <w:pStyle w:val="Compact"/>
        <w:numPr>
          <w:ilvl w:val="0"/>
          <w:numId w:val="1001"/>
        </w:numPr>
      </w:pPr>
      <w:r>
        <w:t xml:space="preserve">Changsoo Shin (Seoul National University, 308 publications, 6,535 citations, h-index 40)</w:t>
      </w:r>
    </w:p>
    <w:p>
      <w:pPr>
        <w:pStyle w:val="Compact"/>
        <w:numPr>
          <w:ilvl w:val="0"/>
          <w:numId w:val="1001"/>
        </w:numPr>
      </w:pPr>
      <w:r>
        <w:t xml:space="preserve">Marco Ruggiero (University of Firenze (retired), 240 publications, 5,000 citations, h-index 30)</w:t>
      </w:r>
    </w:p>
    <w:p>
      <w:pPr>
        <w:pStyle w:val="Compact"/>
        <w:numPr>
          <w:ilvl w:val="0"/>
          <w:numId w:val="1001"/>
        </w:numPr>
      </w:pPr>
      <w:r>
        <w:t xml:space="preserve">Carsten Korth (Heinrich Heine University Dusseldorf, 100 publications, 9,428 citations, h-index 40)</w:t>
      </w:r>
    </w:p>
    <w:p>
      <w:pPr>
        <w:pStyle w:val="Compact"/>
        <w:numPr>
          <w:ilvl w:val="0"/>
          <w:numId w:val="1001"/>
        </w:numPr>
      </w:pPr>
      <w:r>
        <w:t xml:space="preserve">Robert Van Gulick (Syracuse University, 115 publications, 3,000 citations, h-index 25)</w:t>
      </w:r>
    </w:p>
    <w:p>
      <w:pPr>
        <w:pStyle w:val="Compact"/>
        <w:numPr>
          <w:ilvl w:val="0"/>
          <w:numId w:val="1001"/>
        </w:numPr>
      </w:pPr>
      <w:r>
        <w:t xml:space="preserve">Erik Viirre (UCSD, 104 publications, 3,886 citations, h-index 30)</w:t>
      </w:r>
    </w:p>
    <w:p>
      <w:pPr>
        <w:pStyle w:val="Compact"/>
        <w:numPr>
          <w:ilvl w:val="0"/>
          <w:numId w:val="1001"/>
        </w:numPr>
      </w:pPr>
      <w:r>
        <w:t xml:space="preserve">Reza Zomorrodi (Centre for Addiction and Mental Health (CAMH) / University of Toronto, 59 publications, 4,219 citations, h-index 34)</w:t>
      </w:r>
    </w:p>
    <w:p>
      <w:pPr>
        <w:pStyle w:val="Compact"/>
        <w:numPr>
          <w:ilvl w:val="0"/>
          <w:numId w:val="1001"/>
        </w:numPr>
      </w:pPr>
      <w:r>
        <w:t xml:space="preserve">Laura Sordillo (City College of New York (CCNY), 28 publications, 2,069 citations, h-index 18)</w:t>
      </w:r>
    </w:p>
    <w:p>
      <w:pPr>
        <w:pStyle w:val="Compact"/>
        <w:numPr>
          <w:ilvl w:val="0"/>
          <w:numId w:val="1001"/>
        </w:numPr>
      </w:pPr>
      <w:r>
        <w:t xml:space="preserve">Ron Chrisley (University of Sussex, 60 publications, 1,500 citations, h-index 15)</w:t>
      </w:r>
    </w:p>
    <w:p>
      <w:pPr>
        <w:pStyle w:val="Compact"/>
        <w:numPr>
          <w:ilvl w:val="0"/>
          <w:numId w:val="1001"/>
        </w:numPr>
      </w:pPr>
      <w:r>
        <w:t xml:space="preserve">Djuro Koruga (University of Belgrade, 157 publications, 900 citations, h-index 10)</w:t>
      </w:r>
    </w:p>
    <w:p>
      <w:pPr>
        <w:pStyle w:val="Compact"/>
        <w:numPr>
          <w:ilvl w:val="0"/>
          <w:numId w:val="1001"/>
        </w:numPr>
      </w:pPr>
      <w:r>
        <w:t xml:space="preserve">Michael Silberstein (Elizabethtown College / University of Maryland, College Park, 113 publications, 1,615 citations, h-index 20)</w:t>
      </w:r>
    </w:p>
    <w:p>
      <w:pPr>
        <w:pStyle w:val="Compact"/>
        <w:numPr>
          <w:ilvl w:val="0"/>
          <w:numId w:val="1001"/>
        </w:numPr>
      </w:pPr>
      <w:r>
        <w:t xml:space="preserve">Julia Mossbridge (Florida Atlantic University / Mossbridge Institute, 40 publications, 1,500 citations, h-index 15)</w:t>
      </w:r>
    </w:p>
    <w:p>
      <w:pPr>
        <w:pStyle w:val="Compact"/>
        <w:numPr>
          <w:ilvl w:val="0"/>
          <w:numId w:val="1001"/>
        </w:numPr>
      </w:pPr>
      <w:r>
        <w:t xml:space="preserve">Thoma Varley (University of Vermont, 30 publications, 1,366 citations, h-index 15)</w:t>
      </w:r>
    </w:p>
    <w:p>
      <w:pPr>
        <w:pStyle w:val="Compact"/>
        <w:numPr>
          <w:ilvl w:val="0"/>
          <w:numId w:val="1001"/>
        </w:numPr>
      </w:pPr>
      <w:r>
        <w:t xml:space="preserve">Jennifer Penberthy (University of Virginia, 80 publications, 3,000 citations)</w:t>
      </w:r>
    </w:p>
    <w:p>
      <w:pPr>
        <w:pStyle w:val="Compact"/>
        <w:numPr>
          <w:ilvl w:val="0"/>
          <w:numId w:val="1001"/>
        </w:numPr>
      </w:pPr>
      <w:r>
        <w:t xml:space="preserve">Robert Bishop (Wheaton College (Illinois), 50 publications, 1,063 citations, h-index 15)</w:t>
      </w:r>
    </w:p>
    <w:p>
      <w:pPr>
        <w:pStyle w:val="Compact"/>
        <w:numPr>
          <w:ilvl w:val="0"/>
          <w:numId w:val="1001"/>
        </w:numPr>
      </w:pPr>
      <w:r>
        <w:t xml:space="preserve">Luis Favela (Indiana University Bloomington, 40 publications, 840 citations, h-index 15)</w:t>
      </w:r>
    </w:p>
    <w:bookmarkEnd w:id="11"/>
    <w:bookmarkStart w:id="12" w:name="b.-recommended-established-researchers"/>
    <w:p>
      <w:pPr>
        <w:pStyle w:val="Heading2"/>
      </w:pPr>
      <w:r>
        <w:t xml:space="preserve">B. Recommended — Established Researchers</w:t>
      </w:r>
    </w:p>
    <w:p>
      <w:pPr>
        <w:pStyle w:val="FirstParagraph"/>
      </w:pPr>
      <w:r>
        <w:t xml:space="preserve">The following 23 speakers have verified publication records and institutional affiliations. While some have their primary expertise outside consciousness studies, they bring legitimate scholarly perspectives to the program:</w:t>
      </w:r>
    </w:p>
    <w:p>
      <w:pPr>
        <w:pStyle w:val="Compact"/>
        <w:numPr>
          <w:ilvl w:val="0"/>
          <w:numId w:val="1002"/>
        </w:numPr>
      </w:pPr>
      <w:r>
        <w:t xml:space="preserve">Marina Weiler (University of Virginia, 59 publications, 1,143 citations)</w:t>
      </w:r>
    </w:p>
    <w:p>
      <w:pPr>
        <w:pStyle w:val="Compact"/>
        <w:numPr>
          <w:ilvl w:val="0"/>
          <w:numId w:val="1002"/>
        </w:numPr>
      </w:pPr>
      <w:r>
        <w:t xml:space="preserve">Peter Grossenbacher (Naropa University, 30 publications, 1,964 citations, h-index 15)</w:t>
      </w:r>
    </w:p>
    <w:p>
      <w:pPr>
        <w:pStyle w:val="Compact"/>
        <w:numPr>
          <w:ilvl w:val="0"/>
          <w:numId w:val="1002"/>
        </w:numPr>
      </w:pPr>
      <w:r>
        <w:t xml:space="preserve">Nicolas Rouleau (Wilfrid Laurier University / Tufts University (adjunct), 60 publications, 900 citations, h-index 15)</w:t>
      </w:r>
    </w:p>
    <w:p>
      <w:pPr>
        <w:pStyle w:val="Compact"/>
        <w:numPr>
          <w:ilvl w:val="0"/>
          <w:numId w:val="1002"/>
        </w:numPr>
      </w:pPr>
      <w:r>
        <w:t xml:space="preserve">William Bosl (University of San Francisco, 50 publications, 2,000 citations)</w:t>
      </w:r>
    </w:p>
    <w:p>
      <w:pPr>
        <w:pStyle w:val="Compact"/>
        <w:numPr>
          <w:ilvl w:val="0"/>
          <w:numId w:val="1002"/>
        </w:numPr>
      </w:pPr>
      <w:r>
        <w:t xml:space="preserve">Tam Hunt (University of California, Santa Barbara (UCSB), 30 publications, 350 citations, h-index 10)</w:t>
      </w:r>
    </w:p>
    <w:p>
      <w:pPr>
        <w:pStyle w:val="Compact"/>
        <w:numPr>
          <w:ilvl w:val="0"/>
          <w:numId w:val="1002"/>
        </w:numPr>
      </w:pPr>
      <w:r>
        <w:t xml:space="preserve">David Rosen (Johns Hopkins University, 20 publications, 462 citations, h-index 10)</w:t>
      </w:r>
    </w:p>
    <w:p>
      <w:pPr>
        <w:pStyle w:val="Compact"/>
        <w:numPr>
          <w:ilvl w:val="0"/>
          <w:numId w:val="1002"/>
        </w:numPr>
      </w:pPr>
      <w:r>
        <w:t xml:space="preserve">Christopher Hudson (Salem State University, 68 publications, 1,405 citations)</w:t>
      </w:r>
    </w:p>
    <w:p>
      <w:pPr>
        <w:pStyle w:val="Compact"/>
        <w:numPr>
          <w:ilvl w:val="0"/>
          <w:numId w:val="1002"/>
        </w:numPr>
      </w:pPr>
      <w:r>
        <w:t xml:space="preserve">Farzad Ahmadkhanlou (University of California, Irvine, 30 publications, 300 citations, h-index 8)</w:t>
      </w:r>
    </w:p>
    <w:p>
      <w:pPr>
        <w:pStyle w:val="Compact"/>
        <w:numPr>
          <w:ilvl w:val="0"/>
          <w:numId w:val="1002"/>
        </w:numPr>
      </w:pPr>
      <w:r>
        <w:t xml:space="preserve">Raul Valverde (Concordia University, Montreal, 100 publications, 800 citations)</w:t>
      </w:r>
    </w:p>
    <w:p>
      <w:pPr>
        <w:pStyle w:val="Compact"/>
        <w:numPr>
          <w:ilvl w:val="0"/>
          <w:numId w:val="1002"/>
        </w:numPr>
      </w:pPr>
      <w:r>
        <w:t xml:space="preserve">William Robinson (Iowa State University, 40 publications, 800 citations)</w:t>
      </w:r>
    </w:p>
    <w:p>
      <w:pPr>
        <w:pStyle w:val="Compact"/>
        <w:numPr>
          <w:ilvl w:val="0"/>
          <w:numId w:val="1002"/>
        </w:numPr>
      </w:pPr>
      <w:r>
        <w:t xml:space="preserve">Arunvel Thangamani (IIT Madras / Saint-Gobain Research India, 10 publications, 149 citations, h-index 5)</w:t>
      </w:r>
    </w:p>
    <w:p>
      <w:pPr>
        <w:pStyle w:val="Compact"/>
        <w:numPr>
          <w:ilvl w:val="0"/>
          <w:numId w:val="1002"/>
        </w:numPr>
      </w:pPr>
      <w:r>
        <w:t xml:space="preserve">Gabriel Axel-Montes (University of Newcastle, Australia, 15 publications, 372 citations, h-index 8)</w:t>
      </w:r>
    </w:p>
    <w:p>
      <w:pPr>
        <w:pStyle w:val="Compact"/>
        <w:numPr>
          <w:ilvl w:val="0"/>
          <w:numId w:val="1002"/>
        </w:numPr>
      </w:pPr>
      <w:r>
        <w:t xml:space="preserve">Douglas Matzke (Independent, 50 publications, 1,322 citations, h-index 10)</w:t>
      </w:r>
    </w:p>
    <w:p>
      <w:pPr>
        <w:pStyle w:val="Compact"/>
        <w:numPr>
          <w:ilvl w:val="0"/>
          <w:numId w:val="1002"/>
        </w:numPr>
      </w:pPr>
      <w:r>
        <w:t xml:space="preserve">Akihiro Nishiyama (Kobe University, 20 publications, 150 citations)</w:t>
      </w:r>
    </w:p>
    <w:p>
      <w:pPr>
        <w:pStyle w:val="Compact"/>
        <w:numPr>
          <w:ilvl w:val="0"/>
          <w:numId w:val="1002"/>
        </w:numPr>
      </w:pPr>
      <w:r>
        <w:t xml:space="preserve">Jeffrey Sugar (University of Southern California (Keck School of Medicine), 20 publications, 200 citations)</w:t>
      </w:r>
    </w:p>
    <w:p>
      <w:pPr>
        <w:pStyle w:val="Compact"/>
        <w:numPr>
          <w:ilvl w:val="0"/>
          <w:numId w:val="1002"/>
        </w:numPr>
      </w:pPr>
      <w:r>
        <w:t xml:space="preserve">Deepavalli Arumuganainar (Saveetha Dental College and Hospitals, Saveetha University, 45 publications, 239 citations, h-index 8)</w:t>
      </w:r>
    </w:p>
    <w:p>
      <w:pPr>
        <w:pStyle w:val="Compact"/>
        <w:numPr>
          <w:ilvl w:val="0"/>
          <w:numId w:val="1002"/>
        </w:numPr>
      </w:pPr>
      <w:r>
        <w:t xml:space="preserve">Logan Trujillo (Texas State University, 25 publications, 500 citations)</w:t>
      </w:r>
    </w:p>
    <w:p>
      <w:pPr>
        <w:pStyle w:val="Compact"/>
        <w:numPr>
          <w:ilvl w:val="0"/>
          <w:numId w:val="1002"/>
        </w:numPr>
      </w:pPr>
      <w:r>
        <w:t xml:space="preserve">Stephen Kercel (University of New England (Maine), 57 publications, 907 citations, h-index 12)</w:t>
      </w:r>
    </w:p>
    <w:p>
      <w:pPr>
        <w:pStyle w:val="Compact"/>
        <w:numPr>
          <w:ilvl w:val="0"/>
          <w:numId w:val="1002"/>
        </w:numPr>
      </w:pPr>
      <w:r>
        <w:t xml:space="preserve">Yoshiyuki Ohmura (University of Tokyo, 15 publications, 200 citations)</w:t>
      </w:r>
    </w:p>
    <w:p>
      <w:pPr>
        <w:pStyle w:val="Compact"/>
        <w:numPr>
          <w:ilvl w:val="0"/>
          <w:numId w:val="1002"/>
        </w:numPr>
      </w:pPr>
      <w:r>
        <w:t xml:space="preserve">Saeedeh Sadeghi (University of Virginia, Division of Perceptual Studies, 15 publications, 312 citations)</w:t>
      </w:r>
    </w:p>
    <w:p>
      <w:pPr>
        <w:pStyle w:val="Compact"/>
        <w:numPr>
          <w:ilvl w:val="0"/>
          <w:numId w:val="1002"/>
        </w:numPr>
      </w:pPr>
      <w:r>
        <w:t xml:space="preserve">Thomas Brophy (Institute of Noetic Sciences (IONS), 25 publications, 200 citations, h-index 8)</w:t>
      </w:r>
    </w:p>
    <w:p>
      <w:pPr>
        <w:pStyle w:val="Compact"/>
        <w:numPr>
          <w:ilvl w:val="0"/>
          <w:numId w:val="1002"/>
        </w:numPr>
      </w:pPr>
      <w:r>
        <w:t xml:space="preserve">Stephen Thaler (Imagination Engines, Inc., 25 publications, 1,127 citations)</w:t>
      </w:r>
    </w:p>
    <w:p>
      <w:pPr>
        <w:pStyle w:val="Compact"/>
        <w:numPr>
          <w:ilvl w:val="0"/>
          <w:numId w:val="1002"/>
        </w:numPr>
      </w:pPr>
      <w:r>
        <w:t xml:space="preserve">Keith Turausky (University of Texas at Austin, 17 publications, 30 citations, h-index 3)</w:t>
      </w:r>
    </w:p>
    <w:bookmarkEnd w:id="12"/>
    <w:bookmarkStart w:id="13" w:name="X65100b5cd9c1aa9e1f0a0e1604ea6bae36ea063"/>
    <w:p>
      <w:pPr>
        <w:pStyle w:val="Heading2"/>
      </w:pPr>
      <w:r>
        <w:t xml:space="preserve">C. Recommended with Note — Emerging Researchers with Verified Credentials</w:t>
      </w:r>
    </w:p>
    <w:p>
      <w:pPr>
        <w:pStyle w:val="FirstParagraph"/>
      </w:pPr>
      <w:r>
        <w:t xml:space="preserve">The following 13 speakers have lower overall scores but possess identifiable academic positions, publication records, or institutional affiliations that support their inclusion:</w:t>
      </w:r>
    </w:p>
    <w:p>
      <w:pPr>
        <w:pStyle w:val="Compact"/>
        <w:numPr>
          <w:ilvl w:val="0"/>
          <w:numId w:val="1003"/>
        </w:numPr>
      </w:pPr>
      <w:r>
        <w:t xml:space="preserve">Craig DeLancey (State University of New York at Oswego, 38 publications, 265 citations)</w:t>
      </w:r>
    </w:p>
    <w:p>
      <w:pPr>
        <w:pStyle w:val="Compact"/>
        <w:numPr>
          <w:ilvl w:val="0"/>
          <w:numId w:val="1003"/>
        </w:numPr>
      </w:pPr>
      <w:r>
        <w:t xml:space="preserve">Paul Skokowski (Stanford University / University of Oxford, 24 publications)</w:t>
      </w:r>
    </w:p>
    <w:p>
      <w:pPr>
        <w:pStyle w:val="Compact"/>
        <w:numPr>
          <w:ilvl w:val="0"/>
          <w:numId w:val="1003"/>
        </w:numPr>
      </w:pPr>
      <w:r>
        <w:t xml:space="preserve">Marcin Nowakowski (Gdansk University of Technology, Poland, 30 publications, 300 citations)</w:t>
      </w:r>
    </w:p>
    <w:p>
      <w:pPr>
        <w:pStyle w:val="Compact"/>
        <w:numPr>
          <w:ilvl w:val="0"/>
          <w:numId w:val="1003"/>
        </w:numPr>
      </w:pPr>
      <w:r>
        <w:t xml:space="preserve">Timothy Griffin (University of Nevada, Reno, 30 publications)</w:t>
      </w:r>
    </w:p>
    <w:p>
      <w:pPr>
        <w:pStyle w:val="Compact"/>
        <w:numPr>
          <w:ilvl w:val="0"/>
          <w:numId w:val="1003"/>
        </w:numPr>
      </w:pPr>
      <w:r>
        <w:t xml:space="preserve">Schea Fissel Brannick (Midwestern University, 15 publications, 80 citations, h-index 5)</w:t>
      </w:r>
    </w:p>
    <w:p>
      <w:pPr>
        <w:pStyle w:val="Compact"/>
        <w:numPr>
          <w:ilvl w:val="0"/>
          <w:numId w:val="1003"/>
        </w:numPr>
      </w:pPr>
      <w:r>
        <w:t xml:space="preserve">Laurel Waterman (University of Toronto (OISE) / Alef Trust, 5 publications, 10 citations, h-index 2)</w:t>
      </w:r>
    </w:p>
    <w:p>
      <w:pPr>
        <w:pStyle w:val="Compact"/>
        <w:numPr>
          <w:ilvl w:val="0"/>
          <w:numId w:val="1003"/>
        </w:numPr>
      </w:pPr>
      <w:r>
        <w:t xml:space="preserve">Daniel Freeman (MIT Lincoln Laboratory, 10 publications)</w:t>
      </w:r>
    </w:p>
    <w:p>
      <w:pPr>
        <w:pStyle w:val="Compact"/>
        <w:numPr>
          <w:ilvl w:val="0"/>
          <w:numId w:val="1003"/>
        </w:numPr>
      </w:pPr>
      <w:r>
        <w:t xml:space="preserve">Jack Devine (Columbia University, Picard Lab, 3 publications, 30 citations, h-index 2)</w:t>
      </w:r>
    </w:p>
    <w:p>
      <w:pPr>
        <w:pStyle w:val="Compact"/>
        <w:numPr>
          <w:ilvl w:val="0"/>
          <w:numId w:val="1003"/>
        </w:numPr>
      </w:pPr>
      <w:r>
        <w:t xml:space="preserve">Joan Walton (York St John University, 15 publications, 50 citations)</w:t>
      </w:r>
    </w:p>
    <w:p>
      <w:pPr>
        <w:pStyle w:val="Compact"/>
        <w:numPr>
          <w:ilvl w:val="0"/>
          <w:numId w:val="1003"/>
        </w:numPr>
      </w:pPr>
      <w:r>
        <w:t xml:space="preserve">Garret Yount (Institute of Noetic Sciences (IONS), 30 publications)</w:t>
      </w:r>
    </w:p>
    <w:p>
      <w:pPr>
        <w:pStyle w:val="Compact"/>
        <w:numPr>
          <w:ilvl w:val="0"/>
          <w:numId w:val="1003"/>
        </w:numPr>
      </w:pPr>
      <w:r>
        <w:t xml:space="preserve">Ulf Holmberg (Independent (formerly Umeå University / Swedbank), 15 publications, 100 citations, h-index 5)</w:t>
      </w:r>
    </w:p>
    <w:p>
      <w:pPr>
        <w:pStyle w:val="Compact"/>
        <w:numPr>
          <w:ilvl w:val="0"/>
          <w:numId w:val="1003"/>
        </w:numPr>
      </w:pPr>
      <w:r>
        <w:t xml:space="preserve">uziel awret (Inspire Institute, 15 publications)</w:t>
      </w:r>
    </w:p>
    <w:p>
      <w:pPr>
        <w:pStyle w:val="Compact"/>
        <w:numPr>
          <w:ilvl w:val="0"/>
          <w:numId w:val="1003"/>
        </w:numPr>
      </w:pPr>
      <w:r>
        <w:t xml:space="preserve">Lee von Kraus (Open Minded Scientists (OMS) / Independent, 10 publications, 100 citations)</w:t>
      </w:r>
    </w:p>
    <w:bookmarkEnd w:id="13"/>
    <w:bookmarkStart w:id="14" w:name="d.-speakers-requiring-further-review"/>
    <w:p>
      <w:pPr>
        <w:pStyle w:val="Heading2"/>
      </w:pPr>
      <w:r>
        <w:t xml:space="preserve">D. Speakers Requiring Further Review</w:t>
      </w:r>
    </w:p>
    <w:p>
      <w:pPr>
        <w:pStyle w:val="FirstParagraph"/>
      </w:pPr>
      <w:r>
        <w:t xml:space="preserve">The remaining 47 speakers fall into two groups. The first group includes individuals who have limited formal academic credentials but may still warrant inclusion based on unique professional experience, recognized community standing, or the distinctive nature of their contribution. The second group includes speakers for whom we were unable to verify any peer-reviewed publications, academic affiliation, or established reputation through publicly available sources.</w:t>
      </w:r>
    </w:p>
    <w:p>
      <w:pPr>
        <w:pStyle w:val="BodyText"/>
      </w:pPr>
      <w:r>
        <w:rPr>
          <w:b/>
          <w:bCs/>
        </w:rPr>
        <w:t xml:space="preserve">Speakers with partial or non-traditional credentials (21).</w:t>
      </w:r>
      <w:r>
        <w:t xml:space="preserve"> </w:t>
      </w:r>
      <w:r>
        <w:t xml:space="preserve">The following speakers have some identifiable background — whether a relevant degree, published books, professional experience, or community recognition — but do not meet conventional academic benchmarks. We recommend the program committee review these on a case-by-case basis:</w:t>
      </w:r>
    </w:p>
    <w:p>
      <w:pPr>
        <w:pStyle w:val="Compact"/>
        <w:numPr>
          <w:ilvl w:val="0"/>
          <w:numId w:val="1004"/>
        </w:numPr>
      </w:pPr>
      <w:r>
        <w:t xml:space="preserve">Trevor Nestor (University of California, Berkeley)</w:t>
      </w:r>
    </w:p>
    <w:p>
      <w:pPr>
        <w:pStyle w:val="Compact"/>
        <w:numPr>
          <w:ilvl w:val="0"/>
          <w:numId w:val="1004"/>
        </w:numPr>
      </w:pPr>
      <w:r>
        <w:t xml:space="preserve">ANATOLY GOLDSTEIN (Massachusetts General Hospital / Fractal Mind Research Inc.)</w:t>
      </w:r>
    </w:p>
    <w:p>
      <w:pPr>
        <w:pStyle w:val="Compact"/>
        <w:numPr>
          <w:ilvl w:val="0"/>
          <w:numId w:val="1004"/>
        </w:numPr>
      </w:pPr>
      <w:r>
        <w:t xml:space="preserve">Dan McAran (University of Reading)</w:t>
      </w:r>
    </w:p>
    <w:p>
      <w:pPr>
        <w:pStyle w:val="Compact"/>
        <w:numPr>
          <w:ilvl w:val="0"/>
          <w:numId w:val="1004"/>
        </w:numPr>
      </w:pPr>
      <w:r>
        <w:t xml:space="preserve">Yvé Dizes (Arizona State University)</w:t>
      </w:r>
    </w:p>
    <w:p>
      <w:pPr>
        <w:pStyle w:val="Compact"/>
        <w:numPr>
          <w:ilvl w:val="0"/>
          <w:numId w:val="1004"/>
        </w:numPr>
      </w:pPr>
      <w:r>
        <w:t xml:space="preserve">Hillol Biswas (Harish-Chandra Research Institute / IEEE)</w:t>
      </w:r>
    </w:p>
    <w:p>
      <w:pPr>
        <w:pStyle w:val="Compact"/>
        <w:numPr>
          <w:ilvl w:val="0"/>
          <w:numId w:val="1004"/>
        </w:numPr>
      </w:pPr>
      <w:r>
        <w:t xml:space="preserve">Sanjay Manchanda (California Institute for Human Science / Neuromatrix)</w:t>
      </w:r>
    </w:p>
    <w:p>
      <w:pPr>
        <w:pStyle w:val="Compact"/>
        <w:numPr>
          <w:ilvl w:val="0"/>
          <w:numId w:val="1004"/>
        </w:numPr>
      </w:pPr>
      <w:r>
        <w:t xml:space="preserve">Adam Curry (Institute of Noetic Sciences (IONS) / Entangled)</w:t>
      </w:r>
    </w:p>
    <w:p>
      <w:pPr>
        <w:pStyle w:val="Compact"/>
        <w:numPr>
          <w:ilvl w:val="0"/>
          <w:numId w:val="1004"/>
        </w:numPr>
      </w:pPr>
      <w:r>
        <w:t xml:space="preserve">James Tagg (Penrose Institute / Valis Corporation)</w:t>
      </w:r>
    </w:p>
    <w:p>
      <w:pPr>
        <w:pStyle w:val="Compact"/>
        <w:numPr>
          <w:ilvl w:val="0"/>
          <w:numId w:val="1004"/>
        </w:numPr>
      </w:pPr>
      <w:r>
        <w:t xml:space="preserve">Chris Percy (University of Warwick / University of Derby (visiting))</w:t>
      </w:r>
    </w:p>
    <w:p>
      <w:pPr>
        <w:pStyle w:val="Compact"/>
        <w:numPr>
          <w:ilvl w:val="0"/>
          <w:numId w:val="1004"/>
        </w:numPr>
      </w:pPr>
      <w:r>
        <w:t xml:space="preserve">Michael Cremo (Bhaktivedanta Institute / ISKCON)</w:t>
      </w:r>
    </w:p>
    <w:p>
      <w:pPr>
        <w:pStyle w:val="Compact"/>
        <w:numPr>
          <w:ilvl w:val="0"/>
          <w:numId w:val="1004"/>
        </w:numPr>
      </w:pPr>
      <w:r>
        <w:t xml:space="preserve">Zann Gill (Independent (formerly RIACS/NASA))</w:t>
      </w:r>
    </w:p>
    <w:p>
      <w:pPr>
        <w:pStyle w:val="Compact"/>
        <w:numPr>
          <w:ilvl w:val="0"/>
          <w:numId w:val="1004"/>
        </w:numPr>
      </w:pPr>
      <w:r>
        <w:t xml:space="preserve">john sanfey (Independent researcher (London, UK))</w:t>
      </w:r>
    </w:p>
    <w:p>
      <w:pPr>
        <w:pStyle w:val="Compact"/>
        <w:numPr>
          <w:ilvl w:val="0"/>
          <w:numId w:val="1004"/>
        </w:numPr>
      </w:pPr>
      <w:r>
        <w:t xml:space="preserve">Igor Nazarov (Energy Tools International / HARMNIZR)</w:t>
      </w:r>
    </w:p>
    <w:p>
      <w:pPr>
        <w:pStyle w:val="Compact"/>
        <w:numPr>
          <w:ilvl w:val="0"/>
          <w:numId w:val="1004"/>
        </w:numPr>
      </w:pPr>
      <w:r>
        <w:t xml:space="preserve">Avtar Singh</w:t>
      </w:r>
    </w:p>
    <w:p>
      <w:pPr>
        <w:pStyle w:val="Compact"/>
        <w:numPr>
          <w:ilvl w:val="0"/>
          <w:numId w:val="1004"/>
        </w:numPr>
      </w:pPr>
      <w:r>
        <w:t xml:space="preserve">Ana Marcos-Gonzalez (Neuro3integral (private practice, Barcelona))</w:t>
      </w:r>
    </w:p>
    <w:p>
      <w:pPr>
        <w:pStyle w:val="Compact"/>
        <w:numPr>
          <w:ilvl w:val="0"/>
          <w:numId w:val="1004"/>
        </w:numPr>
      </w:pPr>
      <w:r>
        <w:t xml:space="preserve">Catherine Clinton (Quantum Biology Health Institute (founder/chair))</w:t>
      </w:r>
    </w:p>
    <w:p>
      <w:pPr>
        <w:pStyle w:val="Compact"/>
        <w:numPr>
          <w:ilvl w:val="0"/>
          <w:numId w:val="1004"/>
        </w:numPr>
      </w:pPr>
      <w:r>
        <w:t xml:space="preserve">Carlos Acosta (Social Security Administration)</w:t>
      </w:r>
    </w:p>
    <w:p>
      <w:pPr>
        <w:pStyle w:val="Compact"/>
        <w:numPr>
          <w:ilvl w:val="0"/>
          <w:numId w:val="1004"/>
        </w:numPr>
      </w:pPr>
      <w:r>
        <w:t xml:space="preserve">Jason Padgett (One of ~40 people worldwide with acquired savant syndrome; author of memoir; dia)</w:t>
      </w:r>
    </w:p>
    <w:p>
      <w:pPr>
        <w:pStyle w:val="Compact"/>
        <w:numPr>
          <w:ilvl w:val="0"/>
          <w:numId w:val="1004"/>
        </w:numPr>
      </w:pPr>
      <w:r>
        <w:t xml:space="preserve">Federico Bisiacchi (Author of</w:t>
      </w:r>
      <w:r>
        <w:t xml:space="preserve"> </w:t>
      </w:r>
      <w:r>
        <w:t xml:space="preserve">‘L’uomo, prisma biologico’</w:t>
      </w:r>
      <w:r>
        <w:t xml:space="preserve">; developed FRARE model)</w:t>
      </w:r>
    </w:p>
    <w:p>
      <w:pPr>
        <w:pStyle w:val="Compact"/>
        <w:numPr>
          <w:ilvl w:val="0"/>
          <w:numId w:val="1004"/>
        </w:numPr>
      </w:pPr>
      <w:r>
        <w:t xml:space="preserve">Admir Serrano (Author of</w:t>
      </w:r>
      <w:r>
        <w:t xml:space="preserve"> </w:t>
      </w:r>
      <w:r>
        <w:t xml:space="preserve">‘The End of Death’</w:t>
      </w:r>
      <w:r>
        <w:t xml:space="preserve"> </w:t>
      </w:r>
      <w:r>
        <w:t xml:space="preserve">and</w:t>
      </w:r>
      <w:r>
        <w:t xml:space="preserve"> </w:t>
      </w:r>
      <w:r>
        <w:t xml:space="preserve">‘Out and About’</w:t>
      </w:r>
      <w:r>
        <w:t xml:space="preserve">; hospice volunteer)</w:t>
      </w:r>
    </w:p>
    <w:p>
      <w:pPr>
        <w:pStyle w:val="Compact"/>
        <w:numPr>
          <w:ilvl w:val="0"/>
          <w:numId w:val="1004"/>
        </w:numPr>
      </w:pPr>
      <w:r>
        <w:t xml:space="preserve">Mark Friedman (Author of</w:t>
      </w:r>
      <w:r>
        <w:t xml:space="preserve"> </w:t>
      </w:r>
      <w:r>
        <w:t xml:space="preserve">‘The Origin of Consciousness’</w:t>
      </w:r>
      <w:r>
        <w:t xml:space="preserve">)</w:t>
      </w:r>
    </w:p>
    <w:p>
      <w:pPr>
        <w:pStyle w:val="FirstParagraph"/>
      </w:pPr>
      <w:r>
        <w:rPr>
          <w:b/>
          <w:bCs/>
        </w:rPr>
        <w:t xml:space="preserve">Speakers with unverifiable credentials (26).</w:t>
      </w:r>
      <w:r>
        <w:t xml:space="preserve"> </w:t>
      </w:r>
      <w:r>
        <w:t xml:space="preserve">For the following speakers, we were unable to identify any peer-reviewed publications, academic institutional affiliation, or established community reputation through publicly available sources. This does not necessarily reflect on the quality of their ideas, but the absence of a verifiable scholarly record makes it difficult to assess the rigor of their contribution. We recommend the program committee either request a curriculum vitae from these speakers, or consider reclassifying their presentations as poster sessions, which would allow their ideas to be shared while maintaining the academic standard of the concurrent sessions:</w:t>
      </w:r>
    </w:p>
    <w:p>
      <w:pPr>
        <w:pStyle w:val="Compact"/>
        <w:numPr>
          <w:ilvl w:val="0"/>
          <w:numId w:val="1005"/>
        </w:numPr>
      </w:pPr>
      <w:r>
        <w:t xml:space="preserve">Angel Motto</w:t>
      </w:r>
    </w:p>
    <w:p>
      <w:pPr>
        <w:pStyle w:val="Compact"/>
        <w:numPr>
          <w:ilvl w:val="0"/>
          <w:numId w:val="1005"/>
        </w:numPr>
      </w:pPr>
      <w:r>
        <w:t xml:space="preserve">Annie Browning (Developer of the GAZE protocol for expanded state induction without psychedelics)</w:t>
      </w:r>
    </w:p>
    <w:p>
      <w:pPr>
        <w:pStyle w:val="Compact"/>
        <w:numPr>
          <w:ilvl w:val="0"/>
          <w:numId w:val="1005"/>
        </w:numPr>
      </w:pPr>
      <w:r>
        <w:t xml:space="preserve">Antonia Di Francesco</w:t>
      </w:r>
    </w:p>
    <w:p>
      <w:pPr>
        <w:pStyle w:val="Compact"/>
        <w:numPr>
          <w:ilvl w:val="0"/>
          <w:numId w:val="1005"/>
        </w:numPr>
      </w:pPr>
      <w:r>
        <w:t xml:space="preserve">Cameron Hrabak</w:t>
      </w:r>
    </w:p>
    <w:p>
      <w:pPr>
        <w:pStyle w:val="Compact"/>
        <w:numPr>
          <w:ilvl w:val="0"/>
          <w:numId w:val="1005"/>
        </w:numPr>
      </w:pPr>
      <w:r>
        <w:t xml:space="preserve">Candice Rasa (Rasa Healing Services, Palm City, Florida)</w:t>
      </w:r>
    </w:p>
    <w:p>
      <w:pPr>
        <w:pStyle w:val="Compact"/>
        <w:numPr>
          <w:ilvl w:val="0"/>
          <w:numId w:val="1005"/>
        </w:numPr>
      </w:pPr>
      <w:r>
        <w:t xml:space="preserve">Cindy Martin</w:t>
      </w:r>
    </w:p>
    <w:p>
      <w:pPr>
        <w:pStyle w:val="Compact"/>
        <w:numPr>
          <w:ilvl w:val="0"/>
          <w:numId w:val="1005"/>
        </w:numPr>
      </w:pPr>
      <w:r>
        <w:t xml:space="preserve">Dana Kippel (Author of</w:t>
      </w:r>
      <w:r>
        <w:t xml:space="preserve"> </w:t>
      </w:r>
      <w:r>
        <w:t xml:space="preserve">‘A New Force: Plasma, Consciousness, and the New Human Potential’</w:t>
      </w:r>
      <w:r>
        <w:t xml:space="preserve">; fil)</w:t>
      </w:r>
    </w:p>
    <w:p>
      <w:pPr>
        <w:pStyle w:val="Compact"/>
        <w:numPr>
          <w:ilvl w:val="0"/>
          <w:numId w:val="1005"/>
        </w:numPr>
      </w:pPr>
      <w:r>
        <w:t xml:space="preserve">Daniel Bilezikian (Cornell University (alumnus))</w:t>
      </w:r>
    </w:p>
    <w:p>
      <w:pPr>
        <w:pStyle w:val="Compact"/>
        <w:numPr>
          <w:ilvl w:val="0"/>
          <w:numId w:val="1005"/>
        </w:numPr>
      </w:pPr>
      <w:r>
        <w:t xml:space="preserve">Daniel Cavagnino</w:t>
      </w:r>
    </w:p>
    <w:p>
      <w:pPr>
        <w:pStyle w:val="Compact"/>
        <w:numPr>
          <w:ilvl w:val="0"/>
          <w:numId w:val="1005"/>
        </w:numPr>
      </w:pPr>
      <w:r>
        <w:t xml:space="preserve">Debra Overberg</w:t>
      </w:r>
    </w:p>
    <w:p>
      <w:pPr>
        <w:pStyle w:val="Compact"/>
        <w:numPr>
          <w:ilvl w:val="0"/>
          <w:numId w:val="1005"/>
        </w:numPr>
      </w:pPr>
      <w:r>
        <w:t xml:space="preserve">Florian Müller</w:t>
      </w:r>
    </w:p>
    <w:p>
      <w:pPr>
        <w:pStyle w:val="Compact"/>
        <w:numPr>
          <w:ilvl w:val="0"/>
          <w:numId w:val="1005"/>
        </w:numPr>
      </w:pPr>
      <w:r>
        <w:t xml:space="preserve">Guy Millet</w:t>
      </w:r>
    </w:p>
    <w:p>
      <w:pPr>
        <w:pStyle w:val="Compact"/>
        <w:numPr>
          <w:ilvl w:val="0"/>
          <w:numId w:val="1005"/>
        </w:numPr>
      </w:pPr>
      <w:r>
        <w:t xml:space="preserve">Isabel Risco-Narvaez (Birkbeck, University of London (MSc Astrobiology))</w:t>
      </w:r>
    </w:p>
    <w:p>
      <w:pPr>
        <w:pStyle w:val="Compact"/>
        <w:numPr>
          <w:ilvl w:val="0"/>
          <w:numId w:val="1005"/>
        </w:numPr>
      </w:pPr>
      <w:r>
        <w:t xml:space="preserve">James Beran (Published</w:t>
      </w:r>
      <w:r>
        <w:t xml:space="preserve"> </w:t>
      </w:r>
      <w:r>
        <w:t xml:space="preserve">‘Making A Machine With Bespoke Consciousness’</w:t>
      </w:r>
      <w:r>
        <w:t xml:space="preserve"> </w:t>
      </w:r>
      <w:r>
        <w:t xml:space="preserve">on SSRN)</w:t>
      </w:r>
    </w:p>
    <w:p>
      <w:pPr>
        <w:pStyle w:val="Compact"/>
        <w:numPr>
          <w:ilvl w:val="0"/>
          <w:numId w:val="1005"/>
        </w:numPr>
      </w:pPr>
      <w:r>
        <w:t xml:space="preserve">Kelly Lock</w:t>
      </w:r>
    </w:p>
    <w:p>
      <w:pPr>
        <w:pStyle w:val="Compact"/>
        <w:numPr>
          <w:ilvl w:val="0"/>
          <w:numId w:val="1005"/>
        </w:numPr>
      </w:pPr>
      <w:r>
        <w:t xml:space="preserve">Kris Krüg (Emily Carr University of Art and Design)</w:t>
      </w:r>
    </w:p>
    <w:p>
      <w:pPr>
        <w:pStyle w:val="Compact"/>
        <w:numPr>
          <w:ilvl w:val="0"/>
          <w:numId w:val="1005"/>
        </w:numPr>
      </w:pPr>
      <w:r>
        <w:t xml:space="preserve">Mark Valladares</w:t>
      </w:r>
    </w:p>
    <w:p>
      <w:pPr>
        <w:pStyle w:val="Compact"/>
        <w:numPr>
          <w:ilvl w:val="0"/>
          <w:numId w:val="1005"/>
        </w:numPr>
      </w:pPr>
      <w:r>
        <w:t xml:space="preserve">Mason Ulrika Borchard (PEACE Inc.)</w:t>
      </w:r>
    </w:p>
    <w:p>
      <w:pPr>
        <w:pStyle w:val="Compact"/>
        <w:numPr>
          <w:ilvl w:val="0"/>
          <w:numId w:val="1005"/>
        </w:numPr>
      </w:pPr>
      <w:r>
        <w:t xml:space="preserve">Olga Diamandis (MasterVortex LLC / Ridge Network)</w:t>
      </w:r>
    </w:p>
    <w:p>
      <w:pPr>
        <w:pStyle w:val="Compact"/>
        <w:numPr>
          <w:ilvl w:val="0"/>
          <w:numId w:val="1005"/>
        </w:numPr>
      </w:pPr>
      <w:r>
        <w:t xml:space="preserve">Paul Citarella (The Monroe Institute)</w:t>
      </w:r>
    </w:p>
    <w:p>
      <w:pPr>
        <w:pStyle w:val="Compact"/>
        <w:numPr>
          <w:ilvl w:val="0"/>
          <w:numId w:val="1005"/>
        </w:numPr>
      </w:pPr>
      <w:r>
        <w:t xml:space="preserve">Prakash Bhat</w:t>
      </w:r>
    </w:p>
    <w:p>
      <w:pPr>
        <w:pStyle w:val="Compact"/>
        <w:numPr>
          <w:ilvl w:val="0"/>
          <w:numId w:val="1005"/>
        </w:numPr>
      </w:pPr>
      <w:r>
        <w:t xml:space="preserve">Reese Greenwood</w:t>
      </w:r>
    </w:p>
    <w:p>
      <w:pPr>
        <w:pStyle w:val="Compact"/>
        <w:numPr>
          <w:ilvl w:val="0"/>
          <w:numId w:val="1005"/>
        </w:numPr>
      </w:pPr>
      <w:r>
        <w:t xml:space="preserve">Robert Cohen (Bhaktivedanta Institute for Higher Studies)</w:t>
      </w:r>
    </w:p>
    <w:p>
      <w:pPr>
        <w:pStyle w:val="Compact"/>
        <w:numPr>
          <w:ilvl w:val="0"/>
          <w:numId w:val="1005"/>
        </w:numPr>
      </w:pPr>
      <w:r>
        <w:t xml:space="preserve">Robert Parsons</w:t>
      </w:r>
    </w:p>
    <w:p>
      <w:pPr>
        <w:pStyle w:val="Compact"/>
        <w:numPr>
          <w:ilvl w:val="0"/>
          <w:numId w:val="1005"/>
        </w:numPr>
      </w:pPr>
      <w:r>
        <w:t xml:space="preserve">Scott Koshland</w:t>
      </w:r>
    </w:p>
    <w:p>
      <w:pPr>
        <w:pStyle w:val="Compact"/>
        <w:numPr>
          <w:ilvl w:val="0"/>
          <w:numId w:val="1005"/>
        </w:numPr>
      </w:pPr>
      <w:r>
        <w:t xml:space="preserve">Steve Ferrara (Independent / Concept Therapy Institute)</w:t>
      </w:r>
    </w:p>
    <w:bookmarkEnd w:id="14"/>
    <w:bookmarkStart w:id="15" w:name="summary"/>
    <w:p>
      <w:pPr>
        <w:pStyle w:val="Heading2"/>
      </w:pPr>
      <w:r>
        <w:t xml:space="preserve">Summary</w:t>
      </w:r>
    </w:p>
    <w:p>
      <w:pPr>
        <w:pStyle w:val="Compact"/>
        <w:numPr>
          <w:ilvl w:val="0"/>
          <w:numId w:val="1006"/>
        </w:numPr>
      </w:pPr>
      <w:r>
        <w:rPr>
          <w:b/>
          <w:bCs/>
        </w:rPr>
        <w:t xml:space="preserve">18 speakers</w:t>
      </w:r>
      <w:r>
        <w:t xml:space="preserve"> </w:t>
      </w:r>
      <w:r>
        <w:t xml:space="preserve">(Section A) are strongly recommended — leading and senior academics with extensive credentials.</w:t>
      </w:r>
    </w:p>
    <w:p>
      <w:pPr>
        <w:pStyle w:val="Compact"/>
        <w:numPr>
          <w:ilvl w:val="0"/>
          <w:numId w:val="1006"/>
        </w:numPr>
      </w:pPr>
      <w:r>
        <w:rPr>
          <w:b/>
          <w:bCs/>
        </w:rPr>
        <w:t xml:space="preserve">23 speakers</w:t>
      </w:r>
      <w:r>
        <w:t xml:space="preserve"> </w:t>
      </w:r>
      <w:r>
        <w:t xml:space="preserve">(Section B) are recommended — established researchers with verified publication records.</w:t>
      </w:r>
    </w:p>
    <w:p>
      <w:pPr>
        <w:pStyle w:val="Compact"/>
        <w:numPr>
          <w:ilvl w:val="0"/>
          <w:numId w:val="1006"/>
        </w:numPr>
      </w:pPr>
      <w:r>
        <w:rPr>
          <w:b/>
          <w:bCs/>
        </w:rPr>
        <w:t xml:space="preserve">13 speakers</w:t>
      </w:r>
      <w:r>
        <w:t xml:space="preserve"> </w:t>
      </w:r>
      <w:r>
        <w:t xml:space="preserve">(Section C) are recommended with note — emerging researchers with verified academic positions or affiliations.</w:t>
      </w:r>
    </w:p>
    <w:p>
      <w:pPr>
        <w:pStyle w:val="Compact"/>
        <w:numPr>
          <w:ilvl w:val="0"/>
          <w:numId w:val="1006"/>
        </w:numPr>
      </w:pPr>
      <w:r>
        <w:rPr>
          <w:b/>
          <w:bCs/>
        </w:rPr>
        <w:t xml:space="preserve">21 speakers</w:t>
      </w:r>
      <w:r>
        <w:t xml:space="preserve"> </w:t>
      </w:r>
      <w:r>
        <w:t xml:space="preserve">(Section D, first group) have partial credentials and merit case-by-case review.</w:t>
      </w:r>
    </w:p>
    <w:p>
      <w:pPr>
        <w:pStyle w:val="Compact"/>
        <w:numPr>
          <w:ilvl w:val="0"/>
          <w:numId w:val="1006"/>
        </w:numPr>
      </w:pPr>
      <w:r>
        <w:rPr>
          <w:b/>
          <w:bCs/>
        </w:rPr>
        <w:t xml:space="preserve">26 speakers</w:t>
      </w:r>
      <w:r>
        <w:t xml:space="preserve"> </w:t>
      </w:r>
      <w:r>
        <w:t xml:space="preserve">(Section D, second group) have unverifiable credentials — we recommend requesting a CV or reclassifying as poster presentations.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2026-05-08T01:35:26Z</dcterms:created>
  <dcterms:modified xsi:type="dcterms:W3CDTF">2026-05-08T01:35:26Z</dcterms:modified>
</cp:coreProperties>
</file>

<file path=docProps/custom.xml><?xml version="1.0" encoding="utf-8"?>
<Properties xmlns="http://schemas.openxmlformats.org/officeDocument/2006/custom-properties" xmlns:vt="http://schemas.openxmlformats.org/officeDocument/2006/docPropsVTypes"/>
</file>