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&lt;Sistema de Gestión de Atención al Cliente en el Centro Odontológico Luant&gt;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Use-Case-Realization Specification: &lt;Consultar Citas (CU1)&gt;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Versión &lt;1.0&gt;</w:t>
      </w:r>
    </w:p>
    <w:p w:rsidR="00000000" w:rsidDel="00000000" w:rsidP="00000000" w:rsidRDefault="00000000" w:rsidRPr="00000000" w14:paraId="00000004">
      <w:pPr>
        <w:rPr/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Revision History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6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1290"/>
        <w:gridCol w:w="4635"/>
        <w:gridCol w:w="2010"/>
        <w:tblGridChange w:id="0">
          <w:tblGrid>
            <w:gridCol w:w="1755"/>
            <w:gridCol w:w="1290"/>
            <w:gridCol w:w="4635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&lt;22/11/2025&gt;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&lt;1.0&gt;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&lt;Versión Final del Caso de Uso&gt;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&lt;Fabio Santos&gt;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  <w:sectPr>
          <w:headerReference r:id="rId10" w:type="default"/>
          <w:footerReference r:id="rId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Table of contents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dt>
      <w:sdtPr>
        <w:id w:val="-14082756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du7db9daus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hybdawtvtt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 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5cuahpjd6v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 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wes7vd7m7t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1.3. Definitions, Acronyms, and Abbreviations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3j5sq6ui0t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1.4. References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6n13jqq8bp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Flow of Events—Design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wcy62scv14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 Flujo Principal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yacaiikgu7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 Flujo Alternativo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exizh2ga4c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2.2.1. Flujo Alternativo A1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Use-Case-Realization Specification: &lt;Consultar Citas (CU1)&gt;</w:t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3du7db9dausp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Este caso de uso describe las acciones realizadas por la Recepcionista para consultar si un paciente tiene una cita registrada en el sistema, permitiendo visualizar sus datos personales y la información de su cita asociada.</w:t>
      </w:r>
    </w:p>
    <w:p w:rsidR="00000000" w:rsidDel="00000000" w:rsidP="00000000" w:rsidRDefault="00000000" w:rsidRPr="00000000" w14:paraId="00000025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rhybdawtvttq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Proporcionar una descripción detallada del proceso mediante el cual la Recepcionista consulta las citas de un paciente, asegurando que la información necesaria sea recuperada y mostrada correctamente por el sistema.</w:t>
      </w:r>
    </w:p>
    <w:p w:rsidR="00000000" w:rsidDel="00000000" w:rsidP="00000000" w:rsidRDefault="00000000" w:rsidRPr="00000000" w14:paraId="00000027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r5cuahpjd6v4" w:id="2"/>
      <w:bookmarkEnd w:id="2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Esta especificación cubre: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 acciones de la Recepcionista para realizar la consulta de citas.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validación del DNI del paciente ingresado.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interacción del sistema al mostrar datos del paciente y su cita.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gestión de errores cuando no se encuentra información asociada al DNI proporcionado.</w:t>
      </w:r>
    </w:p>
    <w:p w:rsidR="00000000" w:rsidDel="00000000" w:rsidP="00000000" w:rsidRDefault="00000000" w:rsidRPr="00000000" w14:paraId="0000002D">
      <w:pPr>
        <w:pStyle w:val="Heading2"/>
        <w:numPr>
          <w:ilvl w:val="1"/>
          <w:numId w:val="2"/>
        </w:numPr>
        <w:spacing w:before="200" w:lineRule="auto"/>
        <w:ind w:left="1440" w:hanging="360"/>
        <w:rPr/>
      </w:pPr>
      <w:bookmarkStart w:colFirst="0" w:colLast="0" w:name="_cwes7vd7m7to" w:id="3"/>
      <w:bookmarkEnd w:id="3"/>
      <w:r w:rsidDel="00000000" w:rsidR="00000000" w:rsidRPr="00000000">
        <w:rPr>
          <w:rtl w:val="0"/>
        </w:rPr>
        <w:t xml:space="preserve">Definitions, Acronyms, and Abbreviations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Abreviatura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Documento Nacional de Identidad</w:t>
            </w:r>
          </w:p>
        </w:tc>
      </w:tr>
    </w:tbl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e3j5sq6ui0to" w:id="4"/>
      <w:bookmarkEnd w:id="4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3B">
      <w:pPr>
        <w:ind w:left="720" w:firstLine="0"/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Diagrama de Actividades del Caso de uso 1 - Consultar Citas.pdf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2"/>
        </w:numPr>
        <w:spacing w:after="200" w:lineRule="auto"/>
        <w:ind w:left="720" w:hanging="360"/>
        <w:rPr/>
      </w:pPr>
      <w:bookmarkStart w:colFirst="0" w:colLast="0" w:name="_k6n13jqq8bpe" w:id="5"/>
      <w:bookmarkEnd w:id="5"/>
      <w:r w:rsidDel="00000000" w:rsidR="00000000" w:rsidRPr="00000000">
        <w:rPr>
          <w:rtl w:val="0"/>
        </w:rPr>
        <w:t xml:space="preserve">Flow of Events—Design </w:t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2"/>
        </w:numPr>
        <w:spacing w:after="200" w:before="200" w:lineRule="auto"/>
        <w:ind w:left="1440" w:hanging="360"/>
        <w:rPr/>
      </w:pPr>
      <w:bookmarkStart w:colFirst="0" w:colLast="0" w:name="_7wcy62scv14y" w:id="6"/>
      <w:bookmarkEnd w:id="6"/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La Recepcionista accede al sistema y selecciona la opción </w:t>
      </w:r>
      <w:r w:rsidDel="00000000" w:rsidR="00000000" w:rsidRPr="00000000">
        <w:rPr>
          <w:b w:val="1"/>
          <w:bCs w:val="1"/>
          <w:rtl w:val="0"/>
        </w:rPr>
        <w:t xml:space="preserve">"Consultar Citas"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El SYS solicita el DNI del paciente.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La Recepcionista ingresa el DNI del paciente.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El SYS muestra los datos del paciente, incluyendo: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Nombres y apellidos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DNI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Fecha de nacimiento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Sexo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El SYS muestra la cita registrada del paciente.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La Recepcionista revisa la información.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El caso de uso finaliza exitosamente.</w:t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2"/>
        </w:numPr>
        <w:spacing w:after="200" w:before="200" w:lineRule="auto"/>
        <w:ind w:left="1440" w:hanging="360"/>
        <w:rPr/>
      </w:pPr>
      <w:bookmarkStart w:colFirst="0" w:colLast="0" w:name="_6yacaiikgu7n" w:id="7"/>
      <w:bookmarkEnd w:id="7"/>
      <w:r w:rsidDel="00000000" w:rsidR="00000000" w:rsidRPr="00000000">
        <w:rPr>
          <w:rtl w:val="0"/>
        </w:rPr>
        <w:t xml:space="preserve">Flujo Alternativo</w:t>
      </w:r>
    </w:p>
    <w:p w:rsidR="00000000" w:rsidDel="00000000" w:rsidP="00000000" w:rsidRDefault="00000000" w:rsidRPr="00000000" w14:paraId="0000004D">
      <w:pPr>
        <w:pStyle w:val="Heading3"/>
        <w:numPr>
          <w:ilvl w:val="2"/>
          <w:numId w:val="2"/>
        </w:numPr>
        <w:spacing w:after="200" w:before="200" w:lineRule="auto"/>
        <w:ind w:left="2160" w:hanging="360"/>
        <w:rPr/>
      </w:pPr>
      <w:bookmarkStart w:colFirst="0" w:colLast="0" w:name="_aexizh2ga4cw" w:id="8"/>
      <w:bookmarkEnd w:id="8"/>
      <w:r w:rsidDel="00000000" w:rsidR="00000000" w:rsidRPr="00000000">
        <w:rPr>
          <w:rtl w:val="0"/>
        </w:rPr>
        <w:t xml:space="preserve">Flujo Alternativo A1 — Paciente no encontrado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En el paso 4 del flujo principal, el SYS no encuentra coincidencias para el DNI ingresado.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El SYS muestra el mensaje </w:t>
      </w:r>
      <w:r w:rsidDel="00000000" w:rsidR="00000000" w:rsidRPr="00000000">
        <w:rPr>
          <w:b w:val="1"/>
          <w:bCs w:val="1"/>
          <w:rtl w:val="0"/>
        </w:rPr>
        <w:t xml:space="preserve">“No se encontraron coincidencias”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El SYS retorna al menú de búsqueda.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El flujo retorna al paso 2 del flujo principal.</w:t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  <w:tbl>
    <w:tblPr>
      <w:tblStyle w:val="Table5"/>
      <w:tblW w:w="9029.0" w:type="dxa"/>
      <w:jc w:val="center"/>
      <w:tblLayout w:type="fixed"/>
      <w:tblLook w:val="0600"/>
    </w:tblPr>
    <w:tblGrid>
      <w:gridCol w:w="3009.6666666666665"/>
      <w:gridCol w:w="3009.6666666666665"/>
      <w:gridCol w:w="3009.6666666666665"/>
      <w:tblGridChange w:id="0">
        <w:tblGrid>
          <w:gridCol w:w="3009.6666666666665"/>
          <w:gridCol w:w="3009.6666666666665"/>
          <w:gridCol w:w="3009.666666666666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color w:val="999999"/>
            </w:rPr>
          </w:pPr>
          <w:r w:rsidDel="00000000" w:rsidR="00000000" w:rsidRPr="00000000">
            <w:rPr>
              <w:color w:val="999999"/>
              <w:rtl w:val="0"/>
            </w:rPr>
            <w:t xml:space="preserve">Confidential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color w:val="999999"/>
            </w:rPr>
          </w:pPr>
          <w:r w:rsidDel="00000000" w:rsidR="00000000" w:rsidRPr="00000000">
            <w:rPr>
              <w:color w:val="999999"/>
              <w:rtl w:val="0"/>
            </w:rPr>
            <w:t xml:space="preserve">©&lt;Grupo 2&gt;  2025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color w:val="999999"/>
            </w:rPr>
          </w:pPr>
          <w:r w:rsidDel="00000000" w:rsidR="00000000" w:rsidRPr="00000000">
            <w:rPr>
              <w:color w:val="999999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240" w:before="240" w:lineRule="auto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pPr w:leftFromText="180" w:rightFromText="180" w:topFromText="180" w:bottomFromText="180" w:vertAnchor="text" w:horzAnchor="text" w:tblpX="75" w:tblpY="0"/>
      <w:tblW w:w="901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15"/>
      <w:tblGridChange w:id="0">
        <w:tblGrid>
          <w:gridCol w:w="9015"/>
        </w:tblGrid>
      </w:tblGridChange>
    </w:tblGrid>
    <w:tr>
      <w:trPr>
        <w:cantSplit w:val="0"/>
        <w:trHeight w:val="1275" w:hRule="atLeast"/>
        <w:tblHeader w:val="0"/>
      </w:trPr>
      <w:tc>
        <w:tcPr>
          <w:tcBorders>
            <w:top w:color="999999" w:space="0" w:sz="12" w:val="single"/>
            <w:left w:color="ffffff" w:space="0" w:sz="8" w:val="single"/>
            <w:bottom w:color="999999" w:space="0" w:sz="12" w:val="single"/>
            <w:right w:color="ffffff" w:space="0" w:sz="8" w:val="single"/>
          </w:tcBorders>
          <w:vAlign w:val="center"/>
        </w:tcPr>
        <w:p w:rsidR="00000000" w:rsidDel="00000000" w:rsidP="00000000" w:rsidRDefault="00000000" w:rsidRPr="00000000" w14:paraId="00000054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pacing w:after="240" w:before="240" w:line="240" w:lineRule="auto"/>
            <w:jc w:val="right"/>
            <w:rPr>
              <w:color w:val="999999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999999"/>
              <w:sz w:val="36"/>
              <w:szCs w:val="36"/>
              <w:rtl w:val="0"/>
            </w:rPr>
            <w:t xml:space="preserve">&lt;Grupo 2&gt;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  <w:tbl>
    <w:tblPr>
      <w:tblStyle w:val="Table4"/>
      <w:tblW w:w="9615.0" w:type="dxa"/>
      <w:jc w:val="center"/>
      <w:tblBorders>
        <w:top w:color="999999" w:space="0" w:sz="8" w:val="single"/>
        <w:left w:color="999999" w:space="0" w:sz="8" w:val="single"/>
        <w:bottom w:color="999999" w:space="0" w:sz="8" w:val="single"/>
        <w:right w:color="999999" w:space="0" w:sz="8" w:val="single"/>
        <w:insideH w:color="999999" w:space="0" w:sz="8" w:val="single"/>
        <w:insideV w:color="999999" w:space="0" w:sz="8" w:val="single"/>
      </w:tblBorders>
      <w:tblLayout w:type="fixed"/>
      <w:tblLook w:val="0600"/>
    </w:tblPr>
    <w:tblGrid>
      <w:gridCol w:w="6855"/>
      <w:gridCol w:w="2760"/>
      <w:tblGridChange w:id="0">
        <w:tblGrid>
          <w:gridCol w:w="6855"/>
          <w:gridCol w:w="276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&lt;Sistema de Gestión de Atención al Cliente&gt;</w:t>
          </w:r>
        </w:p>
      </w:tc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Version:           &lt;1.0&gt;</w:t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Use-Case-Realization Specification: &lt;Consultar Citas (CU1)&gt;</w:t>
          </w:r>
        </w:p>
      </w:tc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Issue Date:  &lt;22/11/25&gt;</w:t>
          </w:r>
        </w:p>
      </w:tc>
    </w:tr>
    <w:tr>
      <w:trPr>
        <w:cantSplit w:val="0"/>
        <w:tblHeader w:val="0"/>
      </w:trPr>
      <w:tc>
        <w:tcPr>
          <w:tcBorders>
            <w:right w:color="999999" w:space="0" w:sz="8" w:val="single"/>
          </w:tcBorders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&lt;document identifier&gt;</w:t>
          </w:r>
        </w:p>
      </w:tc>
      <w:tc>
        <w:tcPr>
          <w:tcBorders>
            <w:left w:color="999999" w:space="0" w:sz="8" w:val="single"/>
          </w:tcBorders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header" Target="header3.xml"/><Relationship Id="rId12" Type="http://schemas.openxmlformats.org/officeDocument/2006/relationships/hyperlink" Target="https://drive.google.com/file/d/1STY0wlwkP3H-knL9fJKl4M6YFAU0gXth/view?usp=sharing" TargetMode="Externa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