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t xml:space="preserve">A PROJECT REPORT ON</w:t>
      </w:r>
    </w:p>
    <w:p/>
    <w:p>
      <w:pPr>
        <w:pStyle w:val="MyTitle"/>
        <w:jc w:val="center"/>
      </w:pPr>
      <w:r>
        <w:t xml:space="preserve">A STUDY ON PERCEPTION OF INVESTORS INVESTING IN LIFE INSURANCE</w:t>
      </w:r>
    </w:p>
    <w:p/>
    <w:p>
      <w:pPr>
        <w:jc w:val="center"/>
      </w:pPr>
      <w:r>
        <w:t xml:space="preserve">Submitted in partial fulfilment of the requirements for the award of the degree of</w:t>
      </w:r>
    </w:p>
    <w:p>
      <w:pPr>
        <w:jc w:val="center"/>
      </w:pPr>
      <w:r>
        <w:rPr>
          <w:b/>
        </w:rPr>
        <w:t xml:space="preserve">MASTER OF BUSINESS ADMINISTRATION (MBA)</w:t>
      </w:r>
    </w:p>
    <w:p/>
    <w:p>
      <w:pPr>
        <w:jc w:val="center"/>
      </w:pPr>
      <w:r>
        <w:t xml:space="preserve">Submitted by</w:t>
      </w:r>
    </w:p>
    <w:p>
      <w:pPr>
        <w:jc w:val="center"/>
      </w:pPr>
      <w:r>
        <w:rPr>
          <w:b/>
        </w:rPr>
        <w:t xml:space="preserve">[Your Name]</w:t>
      </w:r>
    </w:p>
    <w:p>
      <w:pPr>
        <w:jc w:val="center"/>
      </w:pPr>
      <w:r>
        <w:t xml:space="preserve">Roll No. / Reg. No.: [__________]</w:t>
      </w:r>
    </w:p>
    <w:p/>
    <w:p>
      <w:pPr>
        <w:jc w:val="center"/>
      </w:pPr>
      <w:r>
        <w:t xml:space="preserve">Under the guidance of</w:t>
      </w:r>
    </w:p>
    <w:p>
      <w:pPr>
        <w:jc w:val="center"/>
      </w:pPr>
      <w:r>
        <w:rPr>
          <w:b/>
        </w:rPr>
        <w:t xml:space="preserve">[Guide / Faculty Name], [Designation]</w:t>
      </w:r>
    </w:p>
    <w:p/>
    <w:p>
      <w:pPr>
        <w:jc w:val="center"/>
      </w:pPr>
      <w:r>
        <w:rPr>
          <w:b/>
        </w:rPr>
        <w:t xml:space="preserve">[College / Institute Name]</w:t>
      </w:r>
    </w:p>
    <w:p>
      <w:pPr>
        <w:jc w:val="center"/>
      </w:pPr>
      <w:r>
        <w:rPr>
          <w:b/>
        </w:rPr>
        <w:t xml:space="preserve">[University Name]</w:t>
      </w:r>
    </w:p>
    <w:p>
      <w:pPr>
        <w:jc w:val="center"/>
      </w:pPr>
      <w:r>
        <w:t xml:space="preserve">Academic Year: 20__ - 20__</w:t>
      </w:r>
    </w:p>
    <w:p>
      <w:r>
        <w:br w:type="page"/>
      </w:r>
    </w:p>
    <w:p>
      <w:pPr>
        <w:pStyle w:val="Heading1"/>
      </w:pPr>
      <w:r>
        <w:t xml:space="preserve">STUDENT DECLARATION</w:t>
      </w:r>
    </w:p>
    <w:p>
      <w:pPr/>
      <w:r>
        <w:t xml:space="preserve">I, [Your Name], declare that this project report titled “A Study on Perception of Investors Investing in Life Insurance” is the result of my own work carried out under the guidance of [Guide Name], [Designation]. The data presented here has been gathered by me, and the analysis and conclusions are my own.</w:t>
      </w:r>
    </w:p>
    <w:p>
      <w:pPr/>
      <w:r>
        <w:t xml:space="preserve">I also state that this report has not been submitted earlier, in full or in part, to this or any other university or institute for the award of any degree, diploma, or certificate.</w:t>
      </w:r>
    </w:p>
    <w:p/>
    <w:p>
      <w:pPr/>
      <w:r>
        <w:t xml:space="preserve">Place: [City]</w:t>
      </w:r>
    </w:p>
    <w:p>
      <w:pPr/>
      <w:r>
        <w:t xml:space="preserve">Date: [DD/MM/YYYY]</w:t>
      </w:r>
    </w:p>
    <w:p/>
    <w:p>
      <w:pPr/>
      <w:r>
        <w:rPr>
          <w:b/>
        </w:rPr>
        <w:t xml:space="preserve">[Your Name]</w:t>
      </w:r>
    </w:p>
    <w:p>
      <w:pPr/>
      <w:r>
        <w:t xml:space="preserve">[Roll No.]</w:t>
      </w:r>
    </w:p>
    <w:p>
      <w:r>
        <w:br w:type="page"/>
      </w:r>
    </w:p>
    <w:p>
      <w:pPr>
        <w:pStyle w:val="Heading1"/>
      </w:pPr>
      <w:r>
        <w:t xml:space="preserve">CERTIFICATE</w:t>
      </w:r>
    </w:p>
    <w:p>
      <w:pPr/>
      <w:r>
        <w:t xml:space="preserve">This is to certify that [Your Name], bearing Roll No. [______], a bona fide student of [College Name], has carried out the project work titled “A Study on Perception of Investors Investing in Life Insurance” under my supervision during the academic year 20__ - 20__.</w:t>
      </w:r>
    </w:p>
    <w:p>
      <w:pPr/>
      <w:r>
        <w:t xml:space="preserve">The work submitted is original, and to the best of my knowledge it has not formed the basis for the award of any earlier degree or diploma. The student has completed the study as per the requirements of the MBA programme.</w:t>
      </w:r>
    </w:p>
    <w:p/>
    <w:p>
      <w:pPr/>
      <w:r>
        <w:rPr>
          <w:b/>
        </w:rPr>
        <w:t xml:space="preserve">[Guide Name]</w:t>
      </w:r>
    </w:p>
    <w:p>
      <w:pPr/>
      <w:r>
        <w:t xml:space="preserve">[Designation]</w:t>
      </w:r>
    </w:p>
    <w:p>
      <w:pPr/>
      <w:r>
        <w:t xml:space="preserve">[College Name]</w:t>
      </w:r>
    </w:p>
    <w:p>
      <w:r>
        <w:br w:type="page"/>
      </w:r>
    </w:p>
    <w:p>
      <w:pPr>
        <w:pStyle w:val="Heading1"/>
      </w:pPr>
      <w:r>
        <w:t xml:space="preserve">ACKNOWLEDGEMENT</w:t>
      </w:r>
    </w:p>
    <w:p>
      <w:pPr/>
      <w:r>
        <w:t xml:space="preserve">Completing this project has been a rewarding experience, and I owe my thanks to many people who supported me along the way.</w:t>
      </w:r>
    </w:p>
    <w:p>
      <w:pPr/>
      <w:r>
        <w:t xml:space="preserve">I am thankful to my guide, [Guide Name], [Designation], whose suggestions and patient guidance shaped this study at every stage. I also thank [Principal / Director Name] and the faculty of the [Department Name] at [College Name] for their encouragement and for providing the resources I needed.</w:t>
      </w:r>
    </w:p>
    <w:p>
      <w:pPr/>
      <w:r>
        <w:t xml:space="preserve">My sincere thanks go to all the respondents who took the time to answer the questionnaire honestly. Their cooperation made the analysis in this report possible. Finally, I am grateful to my family and friends for their constant support throughout this work.</w:t>
      </w:r>
    </w:p>
    <w:p/>
    <w:p>
      <w:pPr/>
      <w:r>
        <w:rPr>
          <w:b/>
        </w:rPr>
        <w:t xml:space="preserve">[Your Name]</w:t>
      </w:r>
    </w:p>
    <w:p>
      <w:r>
        <w:br w:type="page"/>
      </w:r>
    </w:p>
    <w:p>
      <w:pPr>
        <w:pStyle w:val="Heading1"/>
      </w:pPr>
      <w:r>
        <w:t xml:space="preserve">TABLE OF CONTENTS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Chapter</w:t>
            </w:r>
          </w:p>
        </w:tc>
        <w:tc>
          <w:tcPr>
            <w:tcW w:w="3120" w:type="dxa"/>
            <w:shd w:val="clear" w:color="auto" w:fill="1F4E78"/>
            <w:vAlign w:val="center"/>
          </w:tcPr>
          <w:p>
            <w:pPr>
              <w:spacing w:before="20" w:after="20"/>
            </w:pPr>
            <w:r>
              <w:rPr>
                <w:b/>
                <w:color w:val="FFFFFF"/>
              </w:rPr>
              <w:t xml:space="preserve">Title</w:t>
            </w:r>
          </w:p>
        </w:tc>
        <w:tc>
          <w:tcPr>
            <w:tcW w:w="3120" w:type="dxa"/>
            <w:shd w:val="clear" w:color="auto" w:fill="1F4E78"/>
            <w:vAlign w:val="center"/>
          </w:tcPr>
          <w:p>
            <w:pPr>
              <w:spacing w:before="20" w:after="20"/>
            </w:pPr>
            <w:r>
              <w:rPr>
                <w:b/>
                <w:color w:val="FFFFFF"/>
              </w:rPr>
              <w:t xml:space="preserve">Page No.</w:t>
            </w:r>
          </w:p>
        </w:tc>
      </w:tr>
      <w:tr>
        <w:tc>
          <w:tcPr>
            <w:tcW w:w="3120" w:type="dxa"/>
            <w:vAlign w:val="center"/>
          </w:tcPr>
          <w:p>
            <w:pPr>
              <w:spacing w:before="20" w:after="20"/>
            </w:pPr>
            <w:r>
              <w:t xml:space="preserve">-</w:t>
            </w:r>
          </w:p>
        </w:tc>
        <w:tc>
          <w:tcPr>
            <w:tcW w:w="3120" w:type="dxa"/>
            <w:vAlign w:val="center"/>
          </w:tcPr>
          <w:p>
            <w:pPr>
              <w:spacing w:before="20" w:after="20"/>
            </w:pPr>
            <w:r>
              <w:t xml:space="preserve">Executive Summary</w:t>
            </w:r>
          </w:p>
        </w:tc>
        <w:tc>
          <w:tcPr>
            <w:tcW w:w="3120" w:type="dxa"/>
            <w:vAlign w:val="center"/>
          </w:tcPr>
          <w:p>
            <w:pPr>
              <w:spacing w:before="20" w:after="20"/>
            </w:pPr>
            <w:r>
              <w:t xml:space="preserve"/>
            </w:r>
          </w:p>
        </w:tc>
      </w:tr>
      <w:tr>
        <w:tc>
          <w:tcPr>
            <w:tcW w:w="3120" w:type="dxa"/>
            <w:vAlign w:val="center"/>
          </w:tcPr>
          <w:p>
            <w:pPr>
              <w:spacing w:before="20" w:after="20"/>
            </w:pPr>
            <w:r>
              <w:t xml:space="preserve">1</w:t>
            </w:r>
          </w:p>
        </w:tc>
        <w:tc>
          <w:tcPr>
            <w:tcW w:w="3120" w:type="dxa"/>
            <w:vAlign w:val="center"/>
          </w:tcPr>
          <w:p>
            <w:pPr>
              <w:spacing w:before="20" w:after="20"/>
            </w:pPr>
            <w:r>
              <w:t xml:space="preserve">Introduction</w:t>
            </w:r>
          </w:p>
        </w:tc>
        <w:tc>
          <w:tcPr>
            <w:tcW w:w="3120" w:type="dxa"/>
            <w:vAlign w:val="center"/>
          </w:tcPr>
          <w:p>
            <w:pPr>
              <w:spacing w:before="20" w:after="20"/>
            </w:pPr>
            <w:r>
              <w:t xml:space="preserve"/>
            </w:r>
          </w:p>
        </w:tc>
      </w:tr>
      <w:tr>
        <w:tc>
          <w:tcPr>
            <w:tcW w:w="3120" w:type="dxa"/>
            <w:vAlign w:val="center"/>
          </w:tcPr>
          <w:p>
            <w:pPr>
              <w:spacing w:before="20" w:after="20"/>
            </w:pPr>
            <w:r>
              <w:t xml:space="preserve">2</w:t>
            </w:r>
          </w:p>
        </w:tc>
        <w:tc>
          <w:tcPr>
            <w:tcW w:w="3120" w:type="dxa"/>
            <w:vAlign w:val="center"/>
          </w:tcPr>
          <w:p>
            <w:pPr>
              <w:spacing w:before="20" w:after="20"/>
            </w:pPr>
            <w:r>
              <w:t xml:space="preserve">Industry and Company Profile</w:t>
            </w:r>
          </w:p>
        </w:tc>
        <w:tc>
          <w:tcPr>
            <w:tcW w:w="3120" w:type="dxa"/>
            <w:vAlign w:val="center"/>
          </w:tcPr>
          <w:p>
            <w:pPr>
              <w:spacing w:before="20" w:after="20"/>
            </w:pPr>
            <w:r>
              <w:t xml:space="preserve"/>
            </w:r>
          </w:p>
        </w:tc>
      </w:tr>
      <w:tr>
        <w:tc>
          <w:tcPr>
            <w:tcW w:w="3120" w:type="dxa"/>
            <w:vAlign w:val="center"/>
          </w:tcPr>
          <w:p>
            <w:pPr>
              <w:spacing w:before="20" w:after="20"/>
            </w:pPr>
            <w:r>
              <w:t xml:space="preserve">3</w:t>
            </w:r>
          </w:p>
        </w:tc>
        <w:tc>
          <w:tcPr>
            <w:tcW w:w="3120" w:type="dxa"/>
            <w:vAlign w:val="center"/>
          </w:tcPr>
          <w:p>
            <w:pPr>
              <w:spacing w:before="20" w:after="20"/>
            </w:pPr>
            <w:r>
              <w:t xml:space="preserve">Review of Literature</w:t>
            </w:r>
          </w:p>
        </w:tc>
        <w:tc>
          <w:tcPr>
            <w:tcW w:w="3120" w:type="dxa"/>
            <w:vAlign w:val="center"/>
          </w:tcPr>
          <w:p>
            <w:pPr>
              <w:spacing w:before="20" w:after="20"/>
            </w:pPr>
            <w:r>
              <w:t xml:space="preserve"/>
            </w:r>
          </w:p>
        </w:tc>
      </w:tr>
      <w:tr>
        <w:tc>
          <w:tcPr>
            <w:tcW w:w="3120" w:type="dxa"/>
            <w:vAlign w:val="center"/>
          </w:tcPr>
          <w:p>
            <w:pPr>
              <w:spacing w:before="20" w:after="20"/>
            </w:pPr>
            <w:r>
              <w:t xml:space="preserve">4</w:t>
            </w:r>
          </w:p>
        </w:tc>
        <w:tc>
          <w:tcPr>
            <w:tcW w:w="3120" w:type="dxa"/>
            <w:vAlign w:val="center"/>
          </w:tcPr>
          <w:p>
            <w:pPr>
              <w:spacing w:before="20" w:after="20"/>
            </w:pPr>
            <w:r>
              <w:t xml:space="preserve">Research Methodology</w:t>
            </w:r>
          </w:p>
        </w:tc>
        <w:tc>
          <w:tcPr>
            <w:tcW w:w="3120" w:type="dxa"/>
            <w:vAlign w:val="center"/>
          </w:tcPr>
          <w:p>
            <w:pPr>
              <w:spacing w:before="20" w:after="20"/>
            </w:pPr>
            <w:r>
              <w:t xml:space="preserve"/>
            </w:r>
          </w:p>
        </w:tc>
      </w:tr>
      <w:tr>
        <w:tc>
          <w:tcPr>
            <w:tcW w:w="3120" w:type="dxa"/>
            <w:vAlign w:val="center"/>
          </w:tcPr>
          <w:p>
            <w:pPr>
              <w:spacing w:before="20" w:after="20"/>
            </w:pPr>
            <w:r>
              <w:t xml:space="preserve">5</w:t>
            </w:r>
          </w:p>
        </w:tc>
        <w:tc>
          <w:tcPr>
            <w:tcW w:w="3120" w:type="dxa"/>
            <w:vAlign w:val="center"/>
          </w:tcPr>
          <w:p>
            <w:pPr>
              <w:spacing w:before="20" w:after="20"/>
            </w:pPr>
            <w:r>
              <w:t xml:space="preserve">Data Analysis and Interpretation</w:t>
            </w:r>
          </w:p>
        </w:tc>
        <w:tc>
          <w:tcPr>
            <w:tcW w:w="3120" w:type="dxa"/>
            <w:vAlign w:val="center"/>
          </w:tcPr>
          <w:p>
            <w:pPr>
              <w:spacing w:before="20" w:after="20"/>
            </w:pPr>
            <w:r>
              <w:t xml:space="preserve"/>
            </w:r>
          </w:p>
        </w:tc>
      </w:tr>
      <w:tr>
        <w:tc>
          <w:tcPr>
            <w:tcW w:w="3120" w:type="dxa"/>
            <w:vAlign w:val="center"/>
          </w:tcPr>
          <w:p>
            <w:pPr>
              <w:spacing w:before="20" w:after="20"/>
            </w:pPr>
            <w:r>
              <w:t xml:space="preserve">6</w:t>
            </w:r>
          </w:p>
        </w:tc>
        <w:tc>
          <w:tcPr>
            <w:tcW w:w="3120" w:type="dxa"/>
            <w:vAlign w:val="center"/>
          </w:tcPr>
          <w:p>
            <w:pPr>
              <w:spacing w:before="20" w:after="20"/>
            </w:pPr>
            <w:r>
              <w:t xml:space="preserve">Findings, Suggestions and Conclusion</w:t>
            </w:r>
          </w:p>
        </w:tc>
        <w:tc>
          <w:tcPr>
            <w:tcW w:w="3120" w:type="dxa"/>
            <w:vAlign w:val="center"/>
          </w:tcPr>
          <w:p>
            <w:pPr>
              <w:spacing w:before="20" w:after="20"/>
            </w:pPr>
            <w:r>
              <w:t xml:space="preserve"/>
            </w:r>
          </w:p>
        </w:tc>
      </w:tr>
      <w:tr>
        <w:tc>
          <w:tcPr>
            <w:tcW w:w="3120" w:type="dxa"/>
            <w:vAlign w:val="center"/>
          </w:tcPr>
          <w:p>
            <w:pPr>
              <w:spacing w:before="20" w:after="20"/>
            </w:pPr>
            <w:r>
              <w:t xml:space="preserve">-</w:t>
            </w:r>
          </w:p>
        </w:tc>
        <w:tc>
          <w:tcPr>
            <w:tcW w:w="3120" w:type="dxa"/>
            <w:vAlign w:val="center"/>
          </w:tcPr>
          <w:p>
            <w:pPr>
              <w:spacing w:before="20" w:after="20"/>
            </w:pPr>
            <w:r>
              <w:t xml:space="preserve">Limitations of the Study</w:t>
            </w:r>
          </w:p>
        </w:tc>
        <w:tc>
          <w:tcPr>
            <w:tcW w:w="3120" w:type="dxa"/>
            <w:vAlign w:val="center"/>
          </w:tcPr>
          <w:p>
            <w:pPr>
              <w:spacing w:before="20" w:after="20"/>
            </w:pPr>
            <w:r>
              <w:t xml:space="preserve"/>
            </w:r>
          </w:p>
        </w:tc>
      </w:tr>
      <w:tr>
        <w:tc>
          <w:tcPr>
            <w:tcW w:w="3120" w:type="dxa"/>
            <w:vAlign w:val="center"/>
          </w:tcPr>
          <w:p>
            <w:pPr>
              <w:spacing w:before="20" w:after="20"/>
            </w:pPr>
            <w:r>
              <w:t xml:space="preserve">-</w:t>
            </w:r>
          </w:p>
        </w:tc>
        <w:tc>
          <w:tcPr>
            <w:tcW w:w="3120" w:type="dxa"/>
            <w:vAlign w:val="center"/>
          </w:tcPr>
          <w:p>
            <w:pPr>
              <w:spacing w:before="20" w:after="20"/>
            </w:pPr>
            <w:r>
              <w:t xml:space="preserve">Annexure - Questionnaire</w:t>
            </w:r>
          </w:p>
        </w:tc>
        <w:tc>
          <w:tcPr>
            <w:tcW w:w="3120" w:type="dxa"/>
            <w:vAlign w:val="center"/>
          </w:tcPr>
          <w:p>
            <w:pPr>
              <w:spacing w:before="20" w:after="20"/>
            </w:pPr>
            <w:r>
              <w:t xml:space="preserve"/>
            </w:r>
          </w:p>
        </w:tc>
      </w:tr>
      <w:tr>
        <w:tc>
          <w:tcPr>
            <w:tcW w:w="3120" w:type="dxa"/>
            <w:vAlign w:val="center"/>
          </w:tcPr>
          <w:p>
            <w:pPr>
              <w:spacing w:before="20" w:after="20"/>
            </w:pPr>
            <w:r>
              <w:t xml:space="preserve">-</w:t>
            </w:r>
          </w:p>
        </w:tc>
        <w:tc>
          <w:tcPr>
            <w:tcW w:w="3120" w:type="dxa"/>
            <w:vAlign w:val="center"/>
          </w:tcPr>
          <w:p>
            <w:pPr>
              <w:spacing w:before="20" w:after="20"/>
            </w:pPr>
            <w:r>
              <w:t xml:space="preserve">Bibliography</w:t>
            </w:r>
          </w:p>
        </w:tc>
        <w:tc>
          <w:tcPr>
            <w:tcW w:w="3120" w:type="dxa"/>
            <w:vAlign w:val="center"/>
          </w:tcPr>
          <w:p>
            <w:pPr>
              <w:spacing w:before="20" w:after="20"/>
            </w:pPr>
            <w:r>
              <w:t xml:space="preserve"/>
            </w:r>
          </w:p>
        </w:tc>
      </w:tr>
    </w:tbl>
    <w:p>
      <w:pPr>
        <w:spacing w:after="120"/>
      </w:pPr>
    </w:p>
    <w:p>
      <w:pPr/>
      <w:r>
        <w:t xml:space="preserve">(Insert page numbers after the final formatting of the report.)</w:t>
      </w:r>
    </w:p>
    <w:p>
      <w:r>
        <w:br w:type="page"/>
      </w:r>
    </w:p>
    <w:p>
      <w:pPr>
        <w:pStyle w:val="Heading1"/>
      </w:pPr>
      <w:r>
        <w:t xml:space="preserve">EXECUTIVE SUMMARY</w:t>
      </w:r>
    </w:p>
    <w:p>
      <w:pPr/>
      <w:r>
        <w:t xml:space="preserve">Life insurance sits at the meeting point of two basic financial needs: protecting a family against the loss of income when a breadwinner dies, and building savings for goals such as a child's education, a home, or retirement. In a country where formal social security reaches only a part of the population, this protection has real weight for ordinary households.</w:t>
      </w:r>
    </w:p>
    <w:p>
      <w:pPr/>
      <w:r>
        <w:t xml:space="preserve">This project studies how investors view life insurance and what shapes that view. It looks at the reasons people buy a policy, how aware they are of the different products on offer, whether they lean towards the public insurer or private companies, and how satisfied they are with the service they receive.</w:t>
      </w:r>
    </w:p>
    <w:p>
      <w:pPr/>
      <w:r>
        <w:t xml:space="preserve">The study rests on primary data collected from 100 respondents through a structured questionnaire, supported by secondary sources such as books, journals, IRDAI publications, and company material. The responses were tabulated and examined using percentages, a weighted average score for satisfaction, and a Chi-square test to check whether age and policy preference are related.</w:t>
      </w:r>
    </w:p>
    <w:p>
      <w:pPr/>
      <w:r>
        <w:t xml:space="preserve">The results point to family protection as the leading reason for buying life insurance, with tax saving and long-term savings close behind. LIC remains the most preferred insurer because of the trust it carries, though private players together account for a sizeable share. A clear gap shows up in product awareness: many policyholders understand only the plans they already own. Overall, the attitude towards life insurance is positive, and most respondents are willing to recommend it to others.</w:t>
      </w:r>
    </w:p>
    <w:p>
      <w:pPr/>
      <w:r>
        <w:t xml:space="preserve">Based on these findings, the report suggests that insurers focus on customer education, clearer communication of returns and charges, faster claim settlement, and better digital service to strengthen investor confidence.</w:t>
      </w:r>
    </w:p>
    <w:p>
      <w:r>
        <w:br w:type="page"/>
      </w:r>
    </w:p>
    <w:p>
      <w:pPr>
        <w:pStyle w:val="Heading1"/>
      </w:pPr>
      <w:r>
        <w:t xml:space="preserve">CHAPTER 1: INTRODUCTION</w:t>
      </w:r>
    </w:p>
    <w:p>
      <w:pPr>
        <w:pStyle w:val="Heading2"/>
      </w:pPr>
      <w:r>
        <w:t xml:space="preserve">1.1 Background of the Study</w:t>
      </w:r>
    </w:p>
    <w:p>
      <w:pPr/>
      <w:r>
        <w:t xml:space="preserve">Every earning individual sets aside part of their income for the future. Where that money goes depends a great deal on how the person sees each option, that is, on perception. Two investors with similar incomes may choose very differently: one may keep money in a fixed deposit for safety, while another may buy a market-linked plan hoping for higher returns. The numbers alone do not explain these choices; the way people read risk, return, and trust does.</w:t>
      </w:r>
    </w:p>
    <w:p>
      <w:pPr/>
      <w:r>
        <w:t xml:space="preserve">Among the options open to a household, such as bank deposits, mutual funds, shares, gold, and small savings schemes, life insurance holds a place of its own. It is the one instrument that pays a family if the insured person dies during the policy term, and in many plans also returns money on maturity. This mix of protection and savings is what makes the study of investor perception towards life insurance worthwhile.</w:t>
      </w:r>
    </w:p>
    <w:p>
      <w:pPr>
        <w:pStyle w:val="Heading2"/>
      </w:pPr>
      <w:r>
        <w:t xml:space="preserve">1.2 Meaning of Perception in the Context of Investment</w:t>
      </w:r>
    </w:p>
    <w:p>
      <w:pPr/>
      <w:r>
        <w:t xml:space="preserve">Perception is the process by which a person takes in information, organises it, and gives it meaning. For life insurance, an investor's perception is built from several inputs: how much they know about policies, how far they trust the company, the returns and bonuses they expect, the tax relief on offer, and their past experience with service and claims. Advice from agents, family, and advertisements also colours this picture. Because perception drives the decision to buy and to stay invested, insurers study it closely.</w:t>
      </w:r>
    </w:p>
    <w:p>
      <w:pPr>
        <w:pStyle w:val="Heading2"/>
      </w:pPr>
      <w:r>
        <w:t xml:space="preserve">1.3 Meaning and Definition of Life Insurance</w:t>
      </w:r>
    </w:p>
    <w:p>
      <w:pPr/>
      <w:r>
        <w:t xml:space="preserve">Life insurance is a contract between a policyholder and an insurer. In return for a premium, paid as a lump sum or in instalments, the insurer agrees to pay an agreed amount, called the sum assured, to the nominee on the death of the insured, or to the policyholder on maturity, depending on the type of plan.</w:t>
      </w:r>
    </w:p>
    <w:p>
      <w:pPr/>
      <w:r>
        <w:t xml:space="preserve">In plain terms, it is a way to protect a family's financial future against an early death, while many plans also help the policyholder save in a disciplined manner over a long period.</w:t>
      </w:r>
    </w:p>
    <w:p>
      <w:pPr>
        <w:pStyle w:val="Heading2"/>
      </w:pPr>
      <w:r>
        <w:t xml:space="preserve">1.4 Features of Life Insurance</w:t>
      </w:r>
    </w:p>
    <w:p>
      <w:pPr>
        <w:pStyle w:val="ListNumber"/>
      </w:pPr>
      <w:r>
        <w:t xml:space="preserve">It is a legally enforceable contract between the insurer and the insured.</w:t>
      </w:r>
    </w:p>
    <w:p>
      <w:pPr>
        <w:pStyle w:val="ListNumber"/>
      </w:pPr>
      <w:r>
        <w:t xml:space="preserve">It covers the financial risk arising from the death of the insured person.</w:t>
      </w:r>
    </w:p>
    <w:p>
      <w:pPr>
        <w:pStyle w:val="ListNumber"/>
      </w:pPr>
      <w:r>
        <w:t xml:space="preserve">The policyholder pays a premium at agreed intervals or as a single payment.</w:t>
      </w:r>
    </w:p>
    <w:p>
      <w:pPr>
        <w:pStyle w:val="ListNumber"/>
      </w:pPr>
      <w:r>
        <w:t xml:space="preserve">Most policies run for long periods, often ten to twenty years or more.</w:t>
      </w:r>
    </w:p>
    <w:p>
      <w:pPr>
        <w:pStyle w:val="ListNumber"/>
      </w:pPr>
      <w:r>
        <w:t xml:space="preserve">A sum assured is payable on death or, for savings plans, on maturity.</w:t>
      </w:r>
    </w:p>
    <w:p>
      <w:pPr>
        <w:pStyle w:val="ListNumber"/>
      </w:pPr>
      <w:r>
        <w:t xml:space="preserve">Many plans combine protection with savings or investment.</w:t>
      </w:r>
    </w:p>
    <w:p>
      <w:pPr>
        <w:pStyle w:val="ListNumber"/>
      </w:pPr>
      <w:r>
        <w:t xml:space="preserve">Premiums and proceeds carry tax relief under the prevailing tax rules.</w:t>
      </w:r>
    </w:p>
    <w:p>
      <w:pPr>
        <w:pStyle w:val="Heading2"/>
      </w:pPr>
      <w:r>
        <w:t xml:space="preserve">1.5 Types of Life Insurance Plans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4680"/>
        <w:gridCol w:w="4680"/>
      </w:tblGrid>
      <w:tr>
        <w:trPr>
          <w:tblHeader/>
        </w:trPr>
        <w:tc>
          <w:tcPr>
            <w:tcW w:w="4680" w:type="dxa"/>
            <w:shd w:val="clear" w:color="auto" w:fill="1F4E78"/>
            <w:vAlign w:val="center"/>
          </w:tcPr>
          <w:p>
            <w:pPr>
              <w:spacing w:before="20" w:after="20"/>
            </w:pPr>
            <w:r>
              <w:rPr>
                <w:b/>
                <w:color w:val="FFFFFF"/>
              </w:rPr>
              <w:t xml:space="preserve">Type of Plan</w:t>
            </w:r>
          </w:p>
        </w:tc>
        <w:tc>
          <w:tcPr>
            <w:tcW w:w="4680" w:type="dxa"/>
            <w:shd w:val="clear" w:color="auto" w:fill="1F4E78"/>
            <w:vAlign w:val="center"/>
          </w:tcPr>
          <w:p>
            <w:pPr>
              <w:spacing w:before="20" w:after="20"/>
            </w:pPr>
            <w:r>
              <w:rPr>
                <w:b/>
                <w:color w:val="FFFFFF"/>
              </w:rPr>
              <w:t xml:space="preserve">Main Feature</w:t>
            </w:r>
          </w:p>
        </w:tc>
      </w:tr>
      <w:tr>
        <w:tc>
          <w:tcPr>
            <w:tcW w:w="4680" w:type="dxa"/>
            <w:vAlign w:val="center"/>
          </w:tcPr>
          <w:p>
            <w:pPr>
              <w:spacing w:before="20" w:after="20"/>
            </w:pPr>
            <w:r>
              <w:t xml:space="preserve">Term Insurance</w:t>
            </w:r>
          </w:p>
        </w:tc>
        <w:tc>
          <w:tcPr>
            <w:tcW w:w="4680" w:type="dxa"/>
            <w:vAlign w:val="center"/>
          </w:tcPr>
          <w:p>
            <w:pPr>
              <w:spacing w:before="20" w:after="20"/>
            </w:pPr>
            <w:r>
              <w:t xml:space="preserve">Pure protection; large cover at a low premium; no maturity payout</w:t>
            </w:r>
          </w:p>
        </w:tc>
      </w:tr>
      <w:tr>
        <w:tc>
          <w:tcPr>
            <w:tcW w:w="4680" w:type="dxa"/>
            <w:vAlign w:val="center"/>
          </w:tcPr>
          <w:p>
            <w:pPr>
              <w:spacing w:before="20" w:after="20"/>
            </w:pPr>
            <w:r>
              <w:t xml:space="preserve">Endowment Plan</w:t>
            </w:r>
          </w:p>
        </w:tc>
        <w:tc>
          <w:tcPr>
            <w:tcW w:w="4680" w:type="dxa"/>
            <w:vAlign w:val="center"/>
          </w:tcPr>
          <w:p>
            <w:pPr>
              <w:spacing w:before="20" w:after="20"/>
            </w:pPr>
            <w:r>
              <w:t xml:space="preserve">Protection plus savings; pays out on death or on maturity</w:t>
            </w:r>
          </w:p>
        </w:tc>
      </w:tr>
      <w:tr>
        <w:tc>
          <w:tcPr>
            <w:tcW w:w="4680" w:type="dxa"/>
            <w:vAlign w:val="center"/>
          </w:tcPr>
          <w:p>
            <w:pPr>
              <w:spacing w:before="20" w:after="20"/>
            </w:pPr>
            <w:r>
              <w:t xml:space="preserve">Money-Back Plan</w:t>
            </w:r>
          </w:p>
        </w:tc>
        <w:tc>
          <w:tcPr>
            <w:tcW w:w="4680" w:type="dxa"/>
            <w:vAlign w:val="center"/>
          </w:tcPr>
          <w:p>
            <w:pPr>
              <w:spacing w:before="20" w:after="20"/>
            </w:pPr>
            <w:r>
              <w:t xml:space="preserve">Pays a part of the sum assured at intervals, plus a maturity benefit</w:t>
            </w:r>
          </w:p>
        </w:tc>
      </w:tr>
      <w:tr>
        <w:tc>
          <w:tcPr>
            <w:tcW w:w="4680" w:type="dxa"/>
            <w:vAlign w:val="center"/>
          </w:tcPr>
          <w:p>
            <w:pPr>
              <w:spacing w:before="20" w:after="20"/>
            </w:pPr>
            <w:r>
              <w:t xml:space="preserve">Whole Life Plan</w:t>
            </w:r>
          </w:p>
        </w:tc>
        <w:tc>
          <w:tcPr>
            <w:tcW w:w="4680" w:type="dxa"/>
            <w:vAlign w:val="center"/>
          </w:tcPr>
          <w:p>
            <w:pPr>
              <w:spacing w:before="20" w:after="20"/>
            </w:pPr>
            <w:r>
              <w:t xml:space="preserve">Cover that continues for the whole life of the insured</w:t>
            </w:r>
          </w:p>
        </w:tc>
      </w:tr>
      <w:tr>
        <w:tc>
          <w:tcPr>
            <w:tcW w:w="4680" w:type="dxa"/>
            <w:vAlign w:val="center"/>
          </w:tcPr>
          <w:p>
            <w:pPr>
              <w:spacing w:before="20" w:after="20"/>
            </w:pPr>
            <w:r>
              <w:t xml:space="preserve">Unit Linked Plan (ULIP)</w:t>
            </w:r>
          </w:p>
        </w:tc>
        <w:tc>
          <w:tcPr>
            <w:tcW w:w="4680" w:type="dxa"/>
            <w:vAlign w:val="center"/>
          </w:tcPr>
          <w:p>
            <w:pPr>
              <w:spacing w:before="20" w:after="20"/>
            </w:pPr>
            <w:r>
              <w:t xml:space="preserve">Combines insurance with a market-linked investment</w:t>
            </w:r>
          </w:p>
        </w:tc>
      </w:tr>
      <w:tr>
        <w:tc>
          <w:tcPr>
            <w:tcW w:w="4680" w:type="dxa"/>
            <w:vAlign w:val="center"/>
          </w:tcPr>
          <w:p>
            <w:pPr>
              <w:spacing w:before="20" w:after="20"/>
            </w:pPr>
            <w:r>
              <w:t xml:space="preserve">Pension / Annuity Plan</w:t>
            </w:r>
          </w:p>
        </w:tc>
        <w:tc>
          <w:tcPr>
            <w:tcW w:w="4680" w:type="dxa"/>
            <w:vAlign w:val="center"/>
          </w:tcPr>
          <w:p>
            <w:pPr>
              <w:spacing w:before="20" w:after="20"/>
            </w:pPr>
            <w:r>
              <w:t xml:space="preserve">Builds a corpus and provides income after retirement</w:t>
            </w:r>
          </w:p>
        </w:tc>
      </w:tr>
      <w:tr>
        <w:tc>
          <w:tcPr>
            <w:tcW w:w="4680" w:type="dxa"/>
            <w:vAlign w:val="center"/>
          </w:tcPr>
          <w:p>
            <w:pPr>
              <w:spacing w:before="20" w:after="20"/>
            </w:pPr>
            <w:r>
              <w:t xml:space="preserve">Child Plan</w:t>
            </w:r>
          </w:p>
        </w:tc>
        <w:tc>
          <w:tcPr>
            <w:tcW w:w="4680" w:type="dxa"/>
            <w:vAlign w:val="center"/>
          </w:tcPr>
          <w:p>
            <w:pPr>
              <w:spacing w:before="20" w:after="20"/>
            </w:pPr>
            <w:r>
              <w:t xml:space="preserve">Aimed at funding a child's education and future needs</w:t>
            </w:r>
          </w:p>
        </w:tc>
      </w:tr>
    </w:tbl>
    <w:p>
      <w:pPr>
        <w:spacing w:after="120"/>
      </w:pPr>
    </w:p>
    <w:p>
      <w:pPr>
        <w:pStyle w:val="Heading2"/>
      </w:pPr>
      <w:r>
        <w:t xml:space="preserve">1.6 Need and Importance of the Study</w:t>
      </w:r>
    </w:p>
    <w:p>
      <w:pPr/>
      <w:r>
        <w:t xml:space="preserve">Insurance companies spend heavily on products and promotion, yet many people still treat life insurance mainly as a way to save tax rather than as cover against risk. Studying perception helps in three ways: it tells insurers what investors actually think, it points to the factors that push people towards or away from a policy, and it shows where awareness is thin. These insights feed directly into product design, pricing, and the way companies talk to customers.</w:t>
      </w:r>
    </w:p>
    <w:p>
      <w:pPr>
        <w:pStyle w:val="Heading2"/>
      </w:pPr>
      <w:r>
        <w:t xml:space="preserve">1.7 Statement of the Problem</w:t>
      </w:r>
    </w:p>
    <w:p>
      <w:pPr/>
      <w:r>
        <w:t xml:space="preserve">Even with a wide range of plans and active marketing by public and private insurers, a large group of people buys life insurance for tax relief or simple savings rather than for protection. There is also confusion about returns, about which plan suits which need, and about whether private insurers can be trusted as much as the public insurer. This study tries to read the perception behind these patterns and the reasons that shape it.</w:t>
      </w:r>
    </w:p>
    <w:p>
      <w:pPr>
        <w:pStyle w:val="Heading2"/>
      </w:pPr>
      <w:r>
        <w:t xml:space="preserve">1.8 Objectives of the Study</w:t>
      </w:r>
    </w:p>
    <w:p>
      <w:pPr/>
      <w:r>
        <w:rPr>
          <w:b/>
        </w:rPr>
        <w:t xml:space="preserve">Primary objective</w:t>
      </w:r>
    </w:p>
    <w:p>
      <w:pPr>
        <w:pStyle w:val="ListBullet"/>
      </w:pPr>
      <w:r>
        <w:t xml:space="preserve">To study the perception of investors towards investing in life insurance.</w:t>
      </w:r>
    </w:p>
    <w:p>
      <w:pPr/>
      <w:r>
        <w:rPr>
          <w:b/>
        </w:rPr>
        <w:t xml:space="preserve">Secondary objectives</w:t>
      </w:r>
    </w:p>
    <w:p>
      <w:pPr>
        <w:pStyle w:val="ListNumber"/>
      </w:pPr>
      <w:r>
        <w:t xml:space="preserve">To identify the factors that influence the decision to invest in life insurance.</w:t>
      </w:r>
    </w:p>
    <w:p>
      <w:pPr>
        <w:pStyle w:val="ListNumber"/>
      </w:pPr>
      <w:r>
        <w:t xml:space="preserve">To measure how aware investors are of the different life insurance products.</w:t>
      </w:r>
    </w:p>
    <w:p>
      <w:pPr>
        <w:pStyle w:val="ListNumber"/>
      </w:pPr>
      <w:r>
        <w:t xml:space="preserve">To compare investor preference between the public insurer (LIC) and private insurers.</w:t>
      </w:r>
    </w:p>
    <w:p>
      <w:pPr>
        <w:pStyle w:val="ListNumber"/>
      </w:pPr>
      <w:r>
        <w:t xml:space="preserve">To assess how satisfied investors are with their insurance providers.</w:t>
      </w:r>
    </w:p>
    <w:p>
      <w:pPr>
        <w:pStyle w:val="ListNumber"/>
      </w:pPr>
      <w:r>
        <w:t xml:space="preserve">To offer suggestions that can improve investor confidence in life insurance.</w:t>
      </w:r>
    </w:p>
    <w:p>
      <w:pPr>
        <w:pStyle w:val="Heading2"/>
      </w:pPr>
      <w:r>
        <w:t xml:space="preserve">1.9 Scope of the Study</w:t>
      </w:r>
    </w:p>
    <w:p>
      <w:pPr/>
      <w:r>
        <w:t xml:space="preserve">The study covers individual investors and their views on life insurance, including awareness, motives, company preference, and satisfaction. The fieldwork is limited to [City / Region], and the responses come from 100 individuals spread across different ages, income levels, and occupations. The findings should be read with this boundary in mind.</w:t>
      </w:r>
    </w:p>
    <w:p>
      <w:pPr>
        <w:pStyle w:val="Heading2"/>
      </w:pPr>
      <w:r>
        <w:t xml:space="preserve">1.10 Hypotheses of the Study</w:t>
      </w:r>
    </w:p>
    <w:p>
      <w:pPr/>
      <w:r>
        <w:t xml:space="preserve">To test relationships in the data, the study frames the following hypotheses:</w:t>
      </w:r>
    </w:p>
    <w:p>
      <w:pPr/>
      <w:r>
        <w:rPr>
          <w:b/>
        </w:rPr>
        <w:t xml:space="preserve">Hypothesis set 1 (tested in Chapter 5)</w:t>
      </w:r>
    </w:p>
    <w:p>
      <w:pPr>
        <w:pStyle w:val="ListBullet"/>
      </w:pPr>
      <w:r>
        <w:t xml:space="preserve">H0: There is no significant association between the age of investors and their preference for life insurance.</w:t>
      </w:r>
    </w:p>
    <w:p>
      <w:pPr>
        <w:pStyle w:val="ListBullet"/>
      </w:pPr>
      <w:r>
        <w:t xml:space="preserve">H1: There is a significant association between the age of investors and their preference for life insurance.</w:t>
      </w:r>
    </w:p>
    <w:p>
      <w:pPr/>
      <w:r>
        <w:rPr>
          <w:b/>
        </w:rPr>
        <w:t xml:space="preserve">Hypothesis set 2</w:t>
      </w:r>
    </w:p>
    <w:p>
      <w:pPr>
        <w:pStyle w:val="ListBullet"/>
      </w:pPr>
      <w:r>
        <w:t xml:space="preserve">H0: There is no significant association between income level and the amount invested in life insurance.</w:t>
      </w:r>
    </w:p>
    <w:p>
      <w:pPr>
        <w:pStyle w:val="ListBullet"/>
      </w:pPr>
      <w:r>
        <w:t xml:space="preserve">H1: There is a significant association between income level and the amount invested in life insurance.</w:t>
      </w:r>
    </w:p>
    <w:p>
      <w:r>
        <w:br w:type="page"/>
      </w:r>
    </w:p>
    <w:p>
      <w:pPr>
        <w:pStyle w:val="Heading1"/>
      </w:pPr>
      <w:r>
        <w:t xml:space="preserve">CHAPTER 2: INDUSTRY AND COMPANY PROFILE</w:t>
      </w:r>
    </w:p>
    <w:p>
      <w:pPr>
        <w:pStyle w:val="Heading2"/>
      </w:pPr>
      <w:r>
        <w:t xml:space="preserve">2.1 The Insurance Industry in Brief</w:t>
      </w:r>
    </w:p>
    <w:p>
      <w:pPr/>
      <w:r>
        <w:t xml:space="preserve">Insurance works on the idea of pooling risk. A large number of people each pay a small premium into a common fund, and those who suffer a loss are paid from that fund. The business splits into two broad groups: life insurance, which deals with the risk of death along with savings, and general insurance, which covers health, motor, fire, marine, and property risks. This report deals with the life insurance segment.</w:t>
      </w:r>
    </w:p>
    <w:p>
      <w:pPr>
        <w:pStyle w:val="Heading2"/>
      </w:pPr>
      <w:r>
        <w:t xml:space="preserve">2.2 Growth of Life Insurance in India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4680"/>
        <w:gridCol w:w="4680"/>
      </w:tblGrid>
      <w:tr>
        <w:trPr>
          <w:tblHeader/>
        </w:trPr>
        <w:tc>
          <w:tcPr>
            <w:tcW w:w="4680" w:type="dxa"/>
            <w:shd w:val="clear" w:color="auto" w:fill="1F4E78"/>
            <w:vAlign w:val="center"/>
          </w:tcPr>
          <w:p>
            <w:pPr>
              <w:spacing w:before="20" w:after="20"/>
            </w:pPr>
            <w:r>
              <w:rPr>
                <w:b/>
                <w:color w:val="FFFFFF"/>
              </w:rPr>
              <w:t xml:space="preserve">Year</w:t>
            </w:r>
          </w:p>
        </w:tc>
        <w:tc>
          <w:tcPr>
            <w:tcW w:w="4680" w:type="dxa"/>
            <w:shd w:val="clear" w:color="auto" w:fill="1F4E78"/>
            <w:vAlign w:val="center"/>
          </w:tcPr>
          <w:p>
            <w:pPr>
              <w:spacing w:before="20" w:after="20"/>
            </w:pPr>
            <w:r>
              <w:rPr>
                <w:b/>
                <w:color w:val="FFFFFF"/>
              </w:rPr>
              <w:t xml:space="preserve">Milestone</w:t>
            </w:r>
          </w:p>
        </w:tc>
      </w:tr>
      <w:tr>
        <w:tc>
          <w:tcPr>
            <w:tcW w:w="4680" w:type="dxa"/>
            <w:vAlign w:val="center"/>
          </w:tcPr>
          <w:p>
            <w:pPr>
              <w:spacing w:before="20" w:after="20"/>
            </w:pPr>
            <w:r>
              <w:t xml:space="preserve">1818</w:t>
            </w:r>
          </w:p>
        </w:tc>
        <w:tc>
          <w:tcPr>
            <w:tcW w:w="4680" w:type="dxa"/>
            <w:vAlign w:val="center"/>
          </w:tcPr>
          <w:p>
            <w:pPr>
              <w:spacing w:before="20" w:after="20"/>
            </w:pPr>
            <w:r>
              <w:t xml:space="preserve">Oriental Life Insurance Company started in Kolkata, the first in India</w:t>
            </w:r>
          </w:p>
        </w:tc>
      </w:tr>
      <w:tr>
        <w:tc>
          <w:tcPr>
            <w:tcW w:w="4680" w:type="dxa"/>
            <w:vAlign w:val="center"/>
          </w:tcPr>
          <w:p>
            <w:pPr>
              <w:spacing w:before="20" w:after="20"/>
            </w:pPr>
            <w:r>
              <w:t xml:space="preserve">1912</w:t>
            </w:r>
          </w:p>
        </w:tc>
        <w:tc>
          <w:tcPr>
            <w:tcW w:w="4680" w:type="dxa"/>
            <w:vAlign w:val="center"/>
          </w:tcPr>
          <w:p>
            <w:pPr>
              <w:spacing w:before="20" w:after="20"/>
            </w:pPr>
            <w:r>
              <w:t xml:space="preserve">The Indian Life Assurance Companies Act became the first law to regulate the business</w:t>
            </w:r>
          </w:p>
        </w:tc>
      </w:tr>
      <w:tr>
        <w:tc>
          <w:tcPr>
            <w:tcW w:w="4680" w:type="dxa"/>
            <w:vAlign w:val="center"/>
          </w:tcPr>
          <w:p>
            <w:pPr>
              <w:spacing w:before="20" w:after="20"/>
            </w:pPr>
            <w:r>
              <w:t xml:space="preserve">1956</w:t>
            </w:r>
          </w:p>
        </w:tc>
        <w:tc>
          <w:tcPr>
            <w:tcW w:w="4680" w:type="dxa"/>
            <w:vAlign w:val="center"/>
          </w:tcPr>
          <w:p>
            <w:pPr>
              <w:spacing w:before="20" w:after="20"/>
            </w:pPr>
            <w:r>
              <w:t xml:space="preserve">The sector was nationalised and LIC was formed by merging about 245 entities</w:t>
            </w:r>
          </w:p>
        </w:tc>
      </w:tr>
      <w:tr>
        <w:tc>
          <w:tcPr>
            <w:tcW w:w="4680" w:type="dxa"/>
            <w:vAlign w:val="center"/>
          </w:tcPr>
          <w:p>
            <w:pPr>
              <w:spacing w:before="20" w:after="20"/>
            </w:pPr>
            <w:r>
              <w:t xml:space="preserve">1999</w:t>
            </w:r>
          </w:p>
        </w:tc>
        <w:tc>
          <w:tcPr>
            <w:tcW w:w="4680" w:type="dxa"/>
            <w:vAlign w:val="center"/>
          </w:tcPr>
          <w:p>
            <w:pPr>
              <w:spacing w:before="20" w:after="20"/>
            </w:pPr>
            <w:r>
              <w:t xml:space="preserve">The IRDA Act opened the sector to private and foreign companies</w:t>
            </w:r>
          </w:p>
        </w:tc>
      </w:tr>
      <w:tr>
        <w:tc>
          <w:tcPr>
            <w:tcW w:w="4680" w:type="dxa"/>
            <w:vAlign w:val="center"/>
          </w:tcPr>
          <w:p>
            <w:pPr>
              <w:spacing w:before="20" w:after="20"/>
            </w:pPr>
            <w:r>
              <w:t xml:space="preserve">2000s</w:t>
            </w:r>
          </w:p>
        </w:tc>
        <w:tc>
          <w:tcPr>
            <w:tcW w:w="4680" w:type="dxa"/>
            <w:vAlign w:val="center"/>
          </w:tcPr>
          <w:p>
            <w:pPr>
              <w:spacing w:before="20" w:after="20"/>
            </w:pPr>
            <w:r>
              <w:t xml:space="preserve">Private insurers entered, bringing new products and stronger competition</w:t>
            </w:r>
          </w:p>
        </w:tc>
      </w:tr>
      <w:tr>
        <w:tc>
          <w:tcPr>
            <w:tcW w:w="4680" w:type="dxa"/>
            <w:vAlign w:val="center"/>
          </w:tcPr>
          <w:p>
            <w:pPr>
              <w:spacing w:before="20" w:after="20"/>
            </w:pPr>
            <w:r>
              <w:t xml:space="preserve">Recent</w:t>
            </w:r>
          </w:p>
        </w:tc>
        <w:tc>
          <w:tcPr>
            <w:tcW w:w="4680" w:type="dxa"/>
            <w:vAlign w:val="center"/>
          </w:tcPr>
          <w:p>
            <w:pPr>
              <w:spacing w:before="20" w:after="20"/>
            </w:pPr>
            <w:r>
              <w:t xml:space="preserve">Higher FDI limits, rapid growth of digital insurance, and the public listing of LIC</w:t>
            </w:r>
          </w:p>
        </w:tc>
      </w:tr>
    </w:tbl>
    <w:p>
      <w:pPr>
        <w:spacing w:after="120"/>
      </w:pPr>
    </w:p>
    <w:p>
      <w:pPr>
        <w:pStyle w:val="Heading2"/>
      </w:pPr>
      <w:r>
        <w:t xml:space="preserve">2.3 Insurance Penetration and Density</w:t>
      </w:r>
    </w:p>
    <w:p>
      <w:pPr/>
      <w:r>
        <w:t xml:space="preserve">Two measures are commonly used to judge how far insurance has spread in a country. Insurance penetration is the ratio of insurance premium to the country's GDP, and it shows the weight of insurance in the wider economy. Insurance density is the premium per person, and it shows how much an average individual spends on cover. India's life insurance penetration has tended to sit a little above the level seen in many comparable economies, while its density stays low because average incomes are modest. The gap between the two measures signals a clear opportunity: many people hold some cover, but the amount per person remains small. (Update the latest figures from the current IRDAI annual report before submission.)</w:t>
      </w:r>
    </w:p>
    <w:p>
      <w:pPr>
        <w:pStyle w:val="Heading2"/>
      </w:pPr>
      <w:r>
        <w:t xml:space="preserve">2.4 Role of IRDAI</w:t>
      </w:r>
    </w:p>
    <w:p>
      <w:pPr/>
      <w:r>
        <w:t xml:space="preserve">The Insurance Regulatory and Development Authority of India (IRDAI) is the body that oversees the sector. It licenses insurers and intermediaries, approves products, sets rules for premiums and investments, watches the financial health of companies, and handles policyholder grievances. Its central aim is to protect policyholders while helping the industry grow in an orderly way.</w:t>
      </w:r>
    </w:p>
    <w:p>
      <w:pPr>
        <w:pStyle w:val="Heading2"/>
      </w:pPr>
      <w:r>
        <w:t xml:space="preserve">2.5 Distribution Channels in Life Insurance</w:t>
      </w:r>
    </w:p>
    <w:p>
      <w:pPr/>
      <w:r>
        <w:t xml:space="preserve">Insurers reach customers through several channels, and the mix has widened over the years:</w:t>
      </w:r>
    </w:p>
    <w:p>
      <w:pPr>
        <w:pStyle w:val="ListBullet"/>
      </w:pPr>
      <w:r>
        <w:t xml:space="preserve">Individual agents, who remain the backbone of life insurance selling in India.</w:t>
      </w:r>
    </w:p>
    <w:p>
      <w:pPr>
        <w:pStyle w:val="ListBullet"/>
      </w:pPr>
      <w:r>
        <w:t xml:space="preserve">Bancassurance, where banks sell insurance to their own customers.</w:t>
      </w:r>
    </w:p>
    <w:p>
      <w:pPr>
        <w:pStyle w:val="ListBullet"/>
      </w:pPr>
      <w:r>
        <w:t xml:space="preserve">Brokers and corporate agents, who offer products from more than one insurer.</w:t>
      </w:r>
    </w:p>
    <w:p>
      <w:pPr>
        <w:pStyle w:val="ListBullet"/>
      </w:pPr>
      <w:r>
        <w:t xml:space="preserve">Direct and online channels, including company websites and aggregator portals.</w:t>
      </w:r>
    </w:p>
    <w:p>
      <w:pPr>
        <w:pStyle w:val="Heading2"/>
      </w:pPr>
      <w:r>
        <w:t xml:space="preserve">2.6 SWOT Analysis of the Life Insurance Sector</w:t>
      </w:r>
    </w:p>
    <w:p>
      <w:pPr/>
      <w:r>
        <w:t xml:space="preserve">A short SWOT analysis helps place the sector in context.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4680"/>
        <w:gridCol w:w="4680"/>
      </w:tblGrid>
      <w:tr>
        <w:trPr>
          <w:tblHeader/>
        </w:trPr>
        <w:tc>
          <w:tcPr>
            <w:tcW w:w="4680" w:type="dxa"/>
            <w:shd w:val="clear" w:color="auto" w:fill="1F4E78"/>
            <w:vAlign w:val="center"/>
          </w:tcPr>
          <w:p>
            <w:pPr>
              <w:spacing w:before="20" w:after="20"/>
            </w:pPr>
            <w:r>
              <w:rPr>
                <w:b/>
                <w:color w:val="FFFFFF"/>
              </w:rPr>
              <w:t xml:space="preserve">Strengths</w:t>
            </w:r>
          </w:p>
        </w:tc>
        <w:tc>
          <w:tcPr>
            <w:tcW w:w="4680" w:type="dxa"/>
            <w:shd w:val="clear" w:color="auto" w:fill="1F4E78"/>
            <w:vAlign w:val="center"/>
          </w:tcPr>
          <w:p>
            <w:pPr>
              <w:spacing w:before="20" w:after="20"/>
            </w:pPr>
            <w:r>
              <w:rPr>
                <w:b/>
                <w:color w:val="FFFFFF"/>
              </w:rPr>
              <w:t xml:space="preserve">Weaknesses</w:t>
            </w:r>
          </w:p>
        </w:tc>
      </w:tr>
      <w:tr>
        <w:tc>
          <w:tcPr>
            <w:tcW w:w="4680" w:type="dxa"/>
            <w:vAlign w:val="center"/>
          </w:tcPr>
          <w:p>
            <w:pPr>
              <w:spacing w:before="20" w:after="20"/>
            </w:pPr>
            <w:r>
              <w:t xml:space="preserve">Large untapped market and a young population; strong distribution reach; tax incentives that encourage buying</w:t>
            </w:r>
          </w:p>
        </w:tc>
        <w:tc>
          <w:tcPr>
            <w:tcW w:w="4680" w:type="dxa"/>
            <w:vAlign w:val="center"/>
          </w:tcPr>
          <w:p>
            <w:pPr>
              <w:spacing w:before="20" w:after="20"/>
            </w:pPr>
            <w:r>
              <w:t xml:space="preserve">Low awareness of product features; mis-selling in some cases; a tendency to view policies only as tax-saving tools</w:t>
            </w:r>
          </w:p>
        </w:tc>
      </w:tr>
    </w:tbl>
    <w:p>
      <w:pPr>
        <w:spacing w:after="120"/>
      </w:pP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4680"/>
        <w:gridCol w:w="4680"/>
      </w:tblGrid>
      <w:tr>
        <w:trPr>
          <w:tblHeader/>
        </w:trPr>
        <w:tc>
          <w:tcPr>
            <w:tcW w:w="4680" w:type="dxa"/>
            <w:shd w:val="clear" w:color="auto" w:fill="1F4E78"/>
            <w:vAlign w:val="center"/>
          </w:tcPr>
          <w:p>
            <w:pPr>
              <w:spacing w:before="20" w:after="20"/>
            </w:pPr>
            <w:r>
              <w:rPr>
                <w:b/>
                <w:color w:val="FFFFFF"/>
              </w:rPr>
              <w:t xml:space="preserve">Opportunities</w:t>
            </w:r>
          </w:p>
        </w:tc>
        <w:tc>
          <w:tcPr>
            <w:tcW w:w="4680" w:type="dxa"/>
            <w:shd w:val="clear" w:color="auto" w:fill="1F4E78"/>
            <w:vAlign w:val="center"/>
          </w:tcPr>
          <w:p>
            <w:pPr>
              <w:spacing w:before="20" w:after="20"/>
            </w:pPr>
            <w:r>
              <w:rPr>
                <w:b/>
                <w:color w:val="FFFFFF"/>
              </w:rPr>
              <w:t xml:space="preserve">Threats</w:t>
            </w:r>
          </w:p>
        </w:tc>
      </w:tr>
      <w:tr>
        <w:tc>
          <w:tcPr>
            <w:tcW w:w="4680" w:type="dxa"/>
            <w:vAlign w:val="center"/>
          </w:tcPr>
          <w:p>
            <w:pPr>
              <w:spacing w:before="20" w:after="20"/>
            </w:pPr>
            <w:r>
              <w:t xml:space="preserve">Rising incomes and financial awareness; growth of digital sales; demand for pension and protection plans</w:t>
            </w:r>
          </w:p>
        </w:tc>
        <w:tc>
          <w:tcPr>
            <w:tcW w:w="4680" w:type="dxa"/>
            <w:vAlign w:val="center"/>
          </w:tcPr>
          <w:p>
            <w:pPr>
              <w:spacing w:before="20" w:after="20"/>
            </w:pPr>
            <w:r>
              <w:t xml:space="preserve">Strong competition from mutual funds and other instruments; interest-rate movements; lapses in policy renewal</w:t>
            </w:r>
          </w:p>
        </w:tc>
      </w:tr>
    </w:tbl>
    <w:p>
      <w:pPr>
        <w:spacing w:after="120"/>
      </w:pPr>
    </w:p>
    <w:p>
      <w:pPr>
        <w:pStyle w:val="Heading2"/>
      </w:pPr>
      <w:r>
        <w:t xml:space="preserve">2.7 Importance of Life Insurance to the Economy</w:t>
      </w:r>
    </w:p>
    <w:p>
      <w:pPr>
        <w:pStyle w:val="ListNumber"/>
      </w:pPr>
      <w:r>
        <w:t xml:space="preserve">It gives families a financial cushion against uncertainty.</w:t>
      </w:r>
    </w:p>
    <w:p>
      <w:pPr>
        <w:pStyle w:val="ListNumber"/>
      </w:pPr>
      <w:r>
        <w:t xml:space="preserve">It gathers household savings and channels them into productive use.</w:t>
      </w:r>
    </w:p>
    <w:p>
      <w:pPr>
        <w:pStyle w:val="ListNumber"/>
      </w:pPr>
      <w:r>
        <w:t xml:space="preserve">It supports capital formation and the funding of long-term projects.</w:t>
      </w:r>
    </w:p>
    <w:p>
      <w:pPr>
        <w:pStyle w:val="ListNumber"/>
      </w:pPr>
      <w:r>
        <w:t xml:space="preserve">It creates work for agents, advisors, and office staff.</w:t>
      </w:r>
    </w:p>
    <w:p>
      <w:pPr>
        <w:pStyle w:val="ListNumber"/>
      </w:pPr>
      <w:r>
        <w:t xml:space="preserve">It builds the habit of regular, long-term saving.</w:t>
      </w:r>
    </w:p>
    <w:p>
      <w:pPr>
        <w:pStyle w:val="Heading2"/>
      </w:pPr>
      <w:r>
        <w:t xml:space="preserve">2.8 Major Life Insurance Companies in India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Company</w:t>
            </w:r>
          </w:p>
        </w:tc>
        <w:tc>
          <w:tcPr>
            <w:tcW w:w="3120" w:type="dxa"/>
            <w:shd w:val="clear" w:color="auto" w:fill="1F4E78"/>
            <w:vAlign w:val="center"/>
          </w:tcPr>
          <w:p>
            <w:pPr>
              <w:spacing w:before="20" w:after="20"/>
            </w:pPr>
            <w:r>
              <w:rPr>
                <w:b/>
                <w:color w:val="FFFFFF"/>
              </w:rPr>
              <w:t xml:space="preserve">Type</w:t>
            </w:r>
          </w:p>
        </w:tc>
        <w:tc>
          <w:tcPr>
            <w:tcW w:w="3120" w:type="dxa"/>
            <w:shd w:val="clear" w:color="auto" w:fill="1F4E78"/>
            <w:vAlign w:val="center"/>
          </w:tcPr>
          <w:p>
            <w:pPr>
              <w:spacing w:before="20" w:after="20"/>
            </w:pPr>
            <w:r>
              <w:rPr>
                <w:b/>
                <w:color w:val="FFFFFF"/>
              </w:rPr>
              <w:t xml:space="preserve">Notable Point</w:t>
            </w:r>
          </w:p>
        </w:tc>
      </w:tr>
      <w:tr>
        <w:tc>
          <w:tcPr>
            <w:tcW w:w="3120" w:type="dxa"/>
            <w:vAlign w:val="center"/>
          </w:tcPr>
          <w:p>
            <w:pPr>
              <w:spacing w:before="20" w:after="20"/>
            </w:pPr>
            <w:r>
              <w:t xml:space="preserve">Life Insurance Corporation of India (LIC)</w:t>
            </w:r>
          </w:p>
        </w:tc>
        <w:tc>
          <w:tcPr>
            <w:tcW w:w="3120" w:type="dxa"/>
            <w:vAlign w:val="center"/>
          </w:tcPr>
          <w:p>
            <w:pPr>
              <w:spacing w:before="20" w:after="20"/>
            </w:pPr>
            <w:r>
              <w:t xml:space="preserve">Public</w:t>
            </w:r>
          </w:p>
        </w:tc>
        <w:tc>
          <w:tcPr>
            <w:tcW w:w="3120" w:type="dxa"/>
            <w:vAlign w:val="center"/>
          </w:tcPr>
          <w:p>
            <w:pPr>
              <w:spacing w:before="20" w:after="20"/>
            </w:pPr>
            <w:r>
              <w:t xml:space="preserve">Largest insurer; widest reach; high public trust</w:t>
            </w:r>
          </w:p>
        </w:tc>
      </w:tr>
      <w:tr>
        <w:tc>
          <w:tcPr>
            <w:tcW w:w="3120" w:type="dxa"/>
            <w:vAlign w:val="center"/>
          </w:tcPr>
          <w:p>
            <w:pPr>
              <w:spacing w:before="20" w:after="20"/>
            </w:pPr>
            <w:r>
              <w:t xml:space="preserve">HDFC Life</w:t>
            </w:r>
          </w:p>
        </w:tc>
        <w:tc>
          <w:tcPr>
            <w:tcW w:w="3120" w:type="dxa"/>
            <w:vAlign w:val="center"/>
          </w:tcPr>
          <w:p>
            <w:pPr>
              <w:spacing w:before="20" w:after="20"/>
            </w:pPr>
            <w:r>
              <w:t xml:space="preserve">Private</w:t>
            </w:r>
          </w:p>
        </w:tc>
        <w:tc>
          <w:tcPr>
            <w:tcW w:w="3120" w:type="dxa"/>
            <w:vAlign w:val="center"/>
          </w:tcPr>
          <w:p>
            <w:pPr>
              <w:spacing w:before="20" w:after="20"/>
            </w:pPr>
            <w:r>
              <w:t xml:space="preserve">Strong product range and digital presence</w:t>
            </w:r>
          </w:p>
        </w:tc>
      </w:tr>
      <w:tr>
        <w:tc>
          <w:tcPr>
            <w:tcW w:w="3120" w:type="dxa"/>
            <w:vAlign w:val="center"/>
          </w:tcPr>
          <w:p>
            <w:pPr>
              <w:spacing w:before="20" w:after="20"/>
            </w:pPr>
            <w:r>
              <w:t xml:space="preserve">ICICI Prudential Life</w:t>
            </w:r>
          </w:p>
        </w:tc>
        <w:tc>
          <w:tcPr>
            <w:tcW w:w="3120" w:type="dxa"/>
            <w:vAlign w:val="center"/>
          </w:tcPr>
          <w:p>
            <w:pPr>
              <w:spacing w:before="20" w:after="20"/>
            </w:pPr>
            <w:r>
              <w:t xml:space="preserve">Private</w:t>
            </w:r>
          </w:p>
        </w:tc>
        <w:tc>
          <w:tcPr>
            <w:tcW w:w="3120" w:type="dxa"/>
            <w:vAlign w:val="center"/>
          </w:tcPr>
          <w:p>
            <w:pPr>
              <w:spacing w:before="20" w:after="20"/>
            </w:pPr>
            <w:r>
              <w:t xml:space="preserve">An early private entrant; known for ULIPs</w:t>
            </w:r>
          </w:p>
        </w:tc>
      </w:tr>
      <w:tr>
        <w:tc>
          <w:tcPr>
            <w:tcW w:w="3120" w:type="dxa"/>
            <w:vAlign w:val="center"/>
          </w:tcPr>
          <w:p>
            <w:pPr>
              <w:spacing w:before="20" w:after="20"/>
            </w:pPr>
            <w:r>
              <w:t xml:space="preserve">SBI Life</w:t>
            </w:r>
          </w:p>
        </w:tc>
        <w:tc>
          <w:tcPr>
            <w:tcW w:w="3120" w:type="dxa"/>
            <w:vAlign w:val="center"/>
          </w:tcPr>
          <w:p>
            <w:pPr>
              <w:spacing w:before="20" w:after="20"/>
            </w:pPr>
            <w:r>
              <w:t xml:space="preserve">Private (bank-led)</w:t>
            </w:r>
          </w:p>
        </w:tc>
        <w:tc>
          <w:tcPr>
            <w:tcW w:w="3120" w:type="dxa"/>
            <w:vAlign w:val="center"/>
          </w:tcPr>
          <w:p>
            <w:pPr>
              <w:spacing w:before="20" w:after="20"/>
            </w:pPr>
            <w:r>
              <w:t xml:space="preserve">Large bancassurance network</w:t>
            </w:r>
          </w:p>
        </w:tc>
      </w:tr>
      <w:tr>
        <w:tc>
          <w:tcPr>
            <w:tcW w:w="3120" w:type="dxa"/>
            <w:vAlign w:val="center"/>
          </w:tcPr>
          <w:p>
            <w:pPr>
              <w:spacing w:before="20" w:after="20"/>
            </w:pPr>
            <w:r>
              <w:t xml:space="preserve">Max Life</w:t>
            </w:r>
          </w:p>
        </w:tc>
        <w:tc>
          <w:tcPr>
            <w:tcW w:w="3120" w:type="dxa"/>
            <w:vAlign w:val="center"/>
          </w:tcPr>
          <w:p>
            <w:pPr>
              <w:spacing w:before="20" w:after="20"/>
            </w:pPr>
            <w:r>
              <w:t xml:space="preserve">Private</w:t>
            </w:r>
          </w:p>
        </w:tc>
        <w:tc>
          <w:tcPr>
            <w:tcW w:w="3120" w:type="dxa"/>
            <w:vAlign w:val="center"/>
          </w:tcPr>
          <w:p>
            <w:pPr>
              <w:spacing w:before="20" w:after="20"/>
            </w:pPr>
            <w:r>
              <w:t xml:space="preserve">Recognised for a high claim settlement ratio</w:t>
            </w:r>
          </w:p>
        </w:tc>
      </w:tr>
      <w:tr>
        <w:tc>
          <w:tcPr>
            <w:tcW w:w="3120" w:type="dxa"/>
            <w:vAlign w:val="center"/>
          </w:tcPr>
          <w:p>
            <w:pPr>
              <w:spacing w:before="20" w:after="20"/>
            </w:pPr>
            <w:r>
              <w:t xml:space="preserve">Bajaj Allianz Life</w:t>
            </w:r>
          </w:p>
        </w:tc>
        <w:tc>
          <w:tcPr>
            <w:tcW w:w="3120" w:type="dxa"/>
            <w:vAlign w:val="center"/>
          </w:tcPr>
          <w:p>
            <w:pPr>
              <w:spacing w:before="20" w:after="20"/>
            </w:pPr>
            <w:r>
              <w:t xml:space="preserve">Private</w:t>
            </w:r>
          </w:p>
        </w:tc>
        <w:tc>
          <w:tcPr>
            <w:tcW w:w="3120" w:type="dxa"/>
            <w:vAlign w:val="center"/>
          </w:tcPr>
          <w:p>
            <w:pPr>
              <w:spacing w:before="20" w:after="20"/>
            </w:pPr>
            <w:r>
              <w:t xml:space="preserve">Wide spread of products</w:t>
            </w:r>
          </w:p>
        </w:tc>
      </w:tr>
      <w:tr>
        <w:tc>
          <w:tcPr>
            <w:tcW w:w="3120" w:type="dxa"/>
            <w:vAlign w:val="center"/>
          </w:tcPr>
          <w:p>
            <w:pPr>
              <w:spacing w:before="20" w:after="20"/>
            </w:pPr>
            <w:r>
              <w:t xml:space="preserve">Tata AIA Life</w:t>
            </w:r>
          </w:p>
        </w:tc>
        <w:tc>
          <w:tcPr>
            <w:tcW w:w="3120" w:type="dxa"/>
            <w:vAlign w:val="center"/>
          </w:tcPr>
          <w:p>
            <w:pPr>
              <w:spacing w:before="20" w:after="20"/>
            </w:pPr>
            <w:r>
              <w:t xml:space="preserve">Private</w:t>
            </w:r>
          </w:p>
        </w:tc>
        <w:tc>
          <w:tcPr>
            <w:tcW w:w="3120" w:type="dxa"/>
            <w:vAlign w:val="center"/>
          </w:tcPr>
          <w:p>
            <w:pPr>
              <w:spacing w:before="20" w:after="20"/>
            </w:pPr>
            <w:r>
              <w:t xml:space="preserve">Strong term insurance offerings</w:t>
            </w:r>
          </w:p>
        </w:tc>
      </w:tr>
    </w:tbl>
    <w:p>
      <w:pPr>
        <w:spacing w:after="120"/>
      </w:pPr>
    </w:p>
    <w:p>
      <w:pPr>
        <w:pStyle w:val="Heading2"/>
      </w:pPr>
      <w:r>
        <w:t xml:space="preserve">2.9 Company Profile - Life Insurance Corporation of India (LIC)</w:t>
      </w:r>
    </w:p>
    <w:p>
      <w:pPr/>
      <w:r>
        <w:t xml:space="preserve">(Use this profile if your internship was with LIC. If it was with another insurer, replace this section with that company's details.)</w:t>
      </w:r>
    </w:p>
    <w:p>
      <w:pPr/>
      <w:r>
        <w:t xml:space="preserve">The Life Insurance Corporation of India was set up on 1 September 1956 and has its head office in Mumbai. Since its formation it has carried life insurance to towns and villages across the country, and it continues to hold the largest share of the market. Its motto, “Yogakshemam Vahamyaham”, means “Your welfare is our responsibility”, and its long record of settling claims has kept public trust high.</w:t>
      </w:r>
    </w:p>
    <w:p>
      <w:pPr/>
      <w:r>
        <w:t xml:space="preserve">LIC offers term, endowment, money-back, whole life, pension, and unit-linked plans, along with micro-insurance and group schemes. After its public listing, it operates as a listed company while retaining its strong government association.</w:t>
      </w:r>
    </w:p>
    <w:p>
      <w:r>
        <w:br w:type="page"/>
      </w:r>
    </w:p>
    <w:p>
      <w:pPr>
        <w:pStyle w:val="Heading1"/>
      </w:pPr>
      <w:r>
        <w:t xml:space="preserve">CHAPTER 3: REVIEW OF LITERATURE</w:t>
      </w:r>
    </w:p>
    <w:p>
      <w:pPr/>
      <w:r>
        <w:t xml:space="preserve">A review of earlier work shows what is already known about a topic and where gaps remain. The studies summarised below relate to investor perception, buying behaviour, and satisfaction in life insurance.</w:t>
      </w:r>
    </w:p>
    <w:p>
      <w:pPr/>
      <w:r>
        <w:rPr>
          <w:b/>
        </w:rPr>
        <w:t xml:space="preserve">Note for the student: verify each reference in your library or on Google Scholar and adjust the year and journal to match the source you actually read. Do not cite a study you have not seen.</w:t>
      </w:r>
    </w:p>
    <w:p>
      <w:pPr>
        <w:pStyle w:val="ListNumber"/>
      </w:pPr>
      <w:r>
        <w:t xml:space="preserve">One study on investor perception found that protecting the family is the strongest reason for buying life insurance, with tax saving and savings playing a supporting role, and concluded that awareness drives would lift demand.</w:t>
      </w:r>
    </w:p>
    <w:p>
      <w:pPr>
        <w:pStyle w:val="ListNumber"/>
      </w:pPr>
      <w:r>
        <w:t xml:space="preserve">Research on buying behaviour reported that trust in the company, its brand image, and the agent's advice weigh heavily on first-time buyers.</w:t>
      </w:r>
    </w:p>
    <w:p>
      <w:pPr>
        <w:pStyle w:val="ListNumber"/>
      </w:pPr>
      <w:r>
        <w:t xml:space="preserve">A study on customer satisfaction observed that quick claim settlement and after-sales service matter more to policyholders than the returns alone.</w:t>
      </w:r>
    </w:p>
    <w:p>
      <w:pPr>
        <w:pStyle w:val="ListNumber"/>
      </w:pPr>
      <w:r>
        <w:t xml:space="preserve">A comparison of LIC and private insurers found that customers still trust LIC for its reliability, while younger, city-based buyers lean towards private firms for their newer products and easier digital access.</w:t>
      </w:r>
    </w:p>
    <w:p>
      <w:pPr>
        <w:pStyle w:val="ListNumber"/>
      </w:pPr>
      <w:r>
        <w:t xml:space="preserve">Work on product awareness showed that many policyholders know little beyond the plan they already hold, and often buy on an agent's word or to save tax.</w:t>
      </w:r>
    </w:p>
    <w:p>
      <w:pPr>
        <w:pStyle w:val="ListNumber"/>
      </w:pPr>
      <w:r>
        <w:t xml:space="preserve">A study on demographic factors concluded that age, income, education, and occupation each shape the type and size of the policy chosen.</w:t>
      </w:r>
    </w:p>
    <w:p>
      <w:pPr>
        <w:pStyle w:val="ListNumber"/>
      </w:pPr>
      <w:r>
        <w:t xml:space="preserve">Research on market-linked plans noted that cautious investors see ULIPs as risky and prefer endowment and money-back plans for their assured returns.</w:t>
      </w:r>
    </w:p>
    <w:p>
      <w:pPr>
        <w:pStyle w:val="ListNumber"/>
      </w:pPr>
      <w:r>
        <w:t xml:space="preserve">A more recent study highlighted the growing role of digital and bank-led selling, finding that easy access and clear information raise buyer confidence.</w:t>
      </w:r>
    </w:p>
    <w:p>
      <w:pPr>
        <w:pStyle w:val="Heading2"/>
      </w:pPr>
      <w:r>
        <w:t xml:space="preserve">Research Gap</w:t>
      </w:r>
    </w:p>
    <w:p>
      <w:pPr/>
      <w:r>
        <w:t xml:space="preserve">While these studies cover behaviour, satisfaction, and the public-versus-private question, fewer of them read perception in a specific local setting or capture recent shifts such as rising digital adoption and growing acceptance of private insurers. The present study addresses this by collecting fresh data from investors in [City / Region].</w:t>
      </w:r>
    </w:p>
    <w:p>
      <w:r>
        <w:br w:type="page"/>
      </w:r>
    </w:p>
    <w:p>
      <w:pPr>
        <w:pStyle w:val="Heading1"/>
      </w:pPr>
      <w:r>
        <w:t xml:space="preserve">CHAPTER 4: RESEARCH METHODOLOGY</w:t>
      </w:r>
    </w:p>
    <w:p>
      <w:pPr/>
      <w:r>
        <w:t xml:space="preserve">Research methodology is the plan that guides how data is collected, organised, and analysed so that the objectives of the study are met. The choices made here are set out below.</w:t>
      </w:r>
    </w:p>
    <w:p>
      <w:pPr>
        <w:pStyle w:val="Heading2"/>
      </w:pPr>
      <w:r>
        <w:t xml:space="preserve">4.1 Research Design</w:t>
      </w:r>
    </w:p>
    <w:p>
      <w:pPr/>
      <w:r>
        <w:t xml:space="preserve">The study uses a descriptive design, since it sets out to describe the perception, awareness, preference, and satisfaction of investors rather than to manipulate any variable or prove cause and effect.</w:t>
      </w:r>
    </w:p>
    <w:p>
      <w:pPr>
        <w:pStyle w:val="Heading2"/>
      </w:pPr>
      <w:r>
        <w:t xml:space="preserve">4.2 Sources of Data</w:t>
      </w:r>
    </w:p>
    <w:p>
      <w:pPr/>
      <w:r>
        <w:rPr>
          <w:b/>
        </w:rPr>
        <w:t xml:space="preserve">Primary data</w:t>
      </w:r>
    </w:p>
    <w:p>
      <w:pPr/>
      <w:r>
        <w:t xml:space="preserve">Collected directly from respondents through a structured questionnaire made up of close-ended questions, including multiple-choice and rating-scale items.</w:t>
      </w:r>
    </w:p>
    <w:p>
      <w:pPr/>
      <w:r>
        <w:rPr>
          <w:b/>
        </w:rPr>
        <w:t xml:space="preserve">Secondary data</w:t>
      </w:r>
    </w:p>
    <w:p>
      <w:pPr/>
      <w:r>
        <w:t xml:space="preserve">Drawn from textbooks, research journals, IRDAI reports and publications, company websites and brochures, and reliable material available online.</w:t>
      </w:r>
    </w:p>
    <w:p>
      <w:pPr>
        <w:pStyle w:val="Heading2"/>
      </w:pPr>
      <w:r>
        <w:t xml:space="preserve">4.3 Sampling Design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4680"/>
        <w:gridCol w:w="4680"/>
      </w:tblGrid>
      <w:tr>
        <w:trPr>
          <w:tblHeader/>
        </w:trPr>
        <w:tc>
          <w:tcPr>
            <w:tcW w:w="4680" w:type="dxa"/>
            <w:shd w:val="clear" w:color="auto" w:fill="1F4E78"/>
            <w:vAlign w:val="center"/>
          </w:tcPr>
          <w:p>
            <w:pPr>
              <w:spacing w:before="20" w:after="20"/>
            </w:pPr>
            <w:r>
              <w:rPr>
                <w:b/>
                <w:color w:val="FFFFFF"/>
              </w:rPr>
              <w:t xml:space="preserve">Element</w:t>
            </w:r>
          </w:p>
        </w:tc>
        <w:tc>
          <w:tcPr>
            <w:tcW w:w="4680" w:type="dxa"/>
            <w:shd w:val="clear" w:color="auto" w:fill="1F4E78"/>
            <w:vAlign w:val="center"/>
          </w:tcPr>
          <w:p>
            <w:pPr>
              <w:spacing w:before="20" w:after="20"/>
            </w:pPr>
            <w:r>
              <w:rPr>
                <w:b/>
                <w:color w:val="FFFFFF"/>
              </w:rPr>
              <w:t xml:space="preserve">Description</w:t>
            </w:r>
          </w:p>
        </w:tc>
      </w:tr>
      <w:tr>
        <w:tc>
          <w:tcPr>
            <w:tcW w:w="4680" w:type="dxa"/>
            <w:vAlign w:val="center"/>
          </w:tcPr>
          <w:p>
            <w:pPr>
              <w:spacing w:before="20" w:after="20"/>
            </w:pPr>
            <w:r>
              <w:t xml:space="preserve">Population</w:t>
            </w:r>
          </w:p>
        </w:tc>
        <w:tc>
          <w:tcPr>
            <w:tcW w:w="4680" w:type="dxa"/>
            <w:vAlign w:val="center"/>
          </w:tcPr>
          <w:p>
            <w:pPr>
              <w:spacing w:before="20" w:after="20"/>
            </w:pPr>
            <w:r>
              <w:t xml:space="preserve">Individual investors in [City / Region]</w:t>
            </w:r>
          </w:p>
        </w:tc>
      </w:tr>
      <w:tr>
        <w:tc>
          <w:tcPr>
            <w:tcW w:w="4680" w:type="dxa"/>
            <w:vAlign w:val="center"/>
          </w:tcPr>
          <w:p>
            <w:pPr>
              <w:spacing w:before="20" w:after="20"/>
            </w:pPr>
            <w:r>
              <w:t xml:space="preserve">Sample unit</w:t>
            </w:r>
          </w:p>
        </w:tc>
        <w:tc>
          <w:tcPr>
            <w:tcW w:w="4680" w:type="dxa"/>
            <w:vAlign w:val="center"/>
          </w:tcPr>
          <w:p>
            <w:pPr>
              <w:spacing w:before="20" w:after="20"/>
            </w:pPr>
            <w:r>
              <w:t xml:space="preserve">An individual who holds, or is considering, life insurance</w:t>
            </w:r>
          </w:p>
        </w:tc>
      </w:tr>
      <w:tr>
        <w:tc>
          <w:tcPr>
            <w:tcW w:w="4680" w:type="dxa"/>
            <w:vAlign w:val="center"/>
          </w:tcPr>
          <w:p>
            <w:pPr>
              <w:spacing w:before="20" w:after="20"/>
            </w:pPr>
            <w:r>
              <w:t xml:space="preserve">Sample size</w:t>
            </w:r>
          </w:p>
        </w:tc>
        <w:tc>
          <w:tcPr>
            <w:tcW w:w="4680" w:type="dxa"/>
            <w:vAlign w:val="center"/>
          </w:tcPr>
          <w:p>
            <w:pPr>
              <w:spacing w:before="20" w:after="20"/>
            </w:pPr>
            <w:r>
              <w:t xml:space="preserve">100 respondents</w:t>
            </w:r>
          </w:p>
        </w:tc>
      </w:tr>
      <w:tr>
        <w:tc>
          <w:tcPr>
            <w:tcW w:w="4680" w:type="dxa"/>
            <w:vAlign w:val="center"/>
          </w:tcPr>
          <w:p>
            <w:pPr>
              <w:spacing w:before="20" w:after="20"/>
            </w:pPr>
            <w:r>
              <w:t xml:space="preserve">Sampling method</w:t>
            </w:r>
          </w:p>
        </w:tc>
        <w:tc>
          <w:tcPr>
            <w:tcW w:w="4680" w:type="dxa"/>
            <w:vAlign w:val="center"/>
          </w:tcPr>
          <w:p>
            <w:pPr>
              <w:spacing w:before="20" w:after="20"/>
            </w:pPr>
            <w:r>
              <w:t xml:space="preserve">Convenience sampling (non-probability)</w:t>
            </w:r>
          </w:p>
        </w:tc>
      </w:tr>
      <w:tr>
        <w:tc>
          <w:tcPr>
            <w:tcW w:w="4680" w:type="dxa"/>
            <w:vAlign w:val="center"/>
          </w:tcPr>
          <w:p>
            <w:pPr>
              <w:spacing w:before="20" w:after="20"/>
            </w:pPr>
            <w:r>
              <w:t xml:space="preserve">Data collection tool</w:t>
            </w:r>
          </w:p>
        </w:tc>
        <w:tc>
          <w:tcPr>
            <w:tcW w:w="4680" w:type="dxa"/>
            <w:vAlign w:val="center"/>
          </w:tcPr>
          <w:p>
            <w:pPr>
              <w:spacing w:before="20" w:after="20"/>
            </w:pPr>
            <w:r>
              <w:t xml:space="preserve">Structured questionnaire</w:t>
            </w:r>
          </w:p>
        </w:tc>
      </w:tr>
      <w:tr>
        <w:tc>
          <w:tcPr>
            <w:tcW w:w="4680" w:type="dxa"/>
            <w:vAlign w:val="center"/>
          </w:tcPr>
          <w:p>
            <w:pPr>
              <w:spacing w:before="20" w:after="20"/>
            </w:pPr>
            <w:r>
              <w:t xml:space="preserve">Period of study</w:t>
            </w:r>
          </w:p>
        </w:tc>
        <w:tc>
          <w:tcPr>
            <w:tcW w:w="4680" w:type="dxa"/>
            <w:vAlign w:val="center"/>
          </w:tcPr>
          <w:p>
            <w:pPr>
              <w:spacing w:before="20" w:after="20"/>
            </w:pPr>
            <w:r>
              <w:t xml:space="preserve">[Month, Year] to [Month, Year]</w:t>
            </w:r>
          </w:p>
        </w:tc>
      </w:tr>
    </w:tbl>
    <w:p>
      <w:pPr>
        <w:spacing w:after="120"/>
      </w:pPr>
    </w:p>
    <w:p>
      <w:pPr>
        <w:pStyle w:val="Heading2"/>
      </w:pPr>
      <w:r>
        <w:t xml:space="preserve">4.4 Tools Used for Analysis</w:t>
      </w:r>
    </w:p>
    <w:p>
      <w:pPr/>
      <w:r>
        <w:t xml:space="preserve">The collected data has been analysed using:</w:t>
      </w:r>
    </w:p>
    <w:p>
      <w:pPr>
        <w:pStyle w:val="ListBullet"/>
      </w:pPr>
      <w:r>
        <w:t xml:space="preserve">Percentage analysis, to show the share of each response.</w:t>
      </w:r>
    </w:p>
    <w:p>
      <w:pPr>
        <w:pStyle w:val="ListBullet"/>
      </w:pPr>
      <w:r>
        <w:t xml:space="preserve">Tables and charts (pie, bar, and column), to present the data clearly.</w:t>
      </w:r>
    </w:p>
    <w:p>
      <w:pPr>
        <w:pStyle w:val="ListBullet"/>
      </w:pPr>
      <w:r>
        <w:t xml:space="preserve">Weighted average score, to rank the levels of satisfaction.</w:t>
      </w:r>
    </w:p>
    <w:p>
      <w:pPr>
        <w:pStyle w:val="ListBullet"/>
      </w:pPr>
      <w:r>
        <w:t xml:space="preserve">Chi-square test, to check whether age and policy preference are associated.</w:t>
      </w:r>
    </w:p>
    <w:p>
      <w:pPr/>
      <w:r>
        <w:t xml:space="preserve">MS Excel was used to organise the data and prepare the charts. (Mention SPSS as well if your institution requires it.)</w:t>
      </w:r>
    </w:p>
    <w:p>
      <w:pPr>
        <w:pStyle w:val="Heading2"/>
      </w:pPr>
      <w:r>
        <w:t xml:space="preserve">4.5 A Note on the Chi-square Test</w:t>
      </w:r>
    </w:p>
    <w:p>
      <w:pPr/>
      <w:r>
        <w:t xml:space="preserve">The Chi-square test of independence checks whether two categorical variables move together or stand apart. The test compares the counts actually observed with the counts that would be expected if the two variables had no relationship. The statistic is calculated as the sum of (observed minus expected) squared, divided by expected, across all cells. If the calculated value is larger than the table value at the chosen level of significance, the null hypothesis is rejected. A worked example appears in Chapter 5.</w:t>
      </w:r>
    </w:p>
    <w:p>
      <w:r>
        <w:br w:type="page"/>
      </w:r>
    </w:p>
    <w:p>
      <w:pPr>
        <w:pStyle w:val="Heading1"/>
      </w:pPr>
      <w:r>
        <w:t xml:space="preserve">CHAPTER 5: DATA ANALYSIS AND INTERPRETATION</w:t>
      </w:r>
    </w:p>
    <w:p>
      <w:pPr/>
      <w:r>
        <w:t xml:space="preserve">This chapter sets out the responses of the 100 participants. Each question is shown as a table with counts and percentages, followed by a short reading of what the figures suggest. The suggested chart type is noted so the matching graph can be placed beside each table.</w:t>
      </w:r>
    </w:p>
    <w:p>
      <w:pPr/>
      <w:r>
        <w:rPr>
          <w:b/>
        </w:rPr>
        <w:t xml:space="preserve">The figures below are illustrative and show the required format. Replace them with the responses from your own survey; the accompanying Excel workbook recalculates the counts and percentages automatically.</w:t>
      </w:r>
    </w:p>
    <w:p>
      <w:pPr>
        <w:pStyle w:val="Heading2"/>
      </w:pPr>
      <w:r>
        <w:t xml:space="preserve">5.1 Gender of Respondents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Gender</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Male</w:t>
            </w:r>
          </w:p>
        </w:tc>
        <w:tc>
          <w:tcPr>
            <w:tcW w:w="3120" w:type="dxa"/>
            <w:vAlign w:val="center"/>
          </w:tcPr>
          <w:p>
            <w:pPr>
              <w:spacing w:before="20" w:after="20"/>
            </w:pPr>
            <w:r>
              <w:t xml:space="preserve">58</w:t>
            </w:r>
          </w:p>
        </w:tc>
        <w:tc>
          <w:tcPr>
            <w:tcW w:w="3120" w:type="dxa"/>
            <w:vAlign w:val="center"/>
          </w:tcPr>
          <w:p>
            <w:pPr>
              <w:spacing w:before="20" w:after="20"/>
            </w:pPr>
            <w:r>
              <w:t xml:space="preserve">58%</w:t>
            </w:r>
          </w:p>
        </w:tc>
      </w:tr>
      <w:tr>
        <w:tc>
          <w:tcPr>
            <w:tcW w:w="3120" w:type="dxa"/>
            <w:vAlign w:val="center"/>
          </w:tcPr>
          <w:p>
            <w:pPr>
              <w:spacing w:before="20" w:after="20"/>
            </w:pPr>
            <w:r>
              <w:t xml:space="preserve">Female</w:t>
            </w:r>
          </w:p>
        </w:tc>
        <w:tc>
          <w:tcPr>
            <w:tcW w:w="3120" w:type="dxa"/>
            <w:vAlign w:val="center"/>
          </w:tcPr>
          <w:p>
            <w:pPr>
              <w:spacing w:before="20" w:after="20"/>
            </w:pPr>
            <w:r>
              <w:t xml:space="preserve">42</w:t>
            </w:r>
          </w:p>
        </w:tc>
        <w:tc>
          <w:tcPr>
            <w:tcW w:w="3120" w:type="dxa"/>
            <w:vAlign w:val="center"/>
          </w:tcPr>
          <w:p>
            <w:pPr>
              <w:spacing w:before="20" w:after="20"/>
            </w:pPr>
            <w:r>
              <w:t xml:space="preserve">42%</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Pie chart</w:t>
      </w:r>
    </w:p>
    <w:p>
      <w:pPr/>
      <w:r>
        <w:rPr>
          <w:b/>
        </w:rPr>
        <w:t xml:space="preserve">Interpretation</w:t>
      </w:r>
    </w:p>
    <w:p>
      <w:pPr/>
      <w:r>
        <w:t xml:space="preserve">Of the 100 participants, 58 percent are male and 42 percent are female. Men slightly outnumber women in the sample, though the share of women taking part in these decisions is clearly significant.</w:t>
      </w:r>
    </w:p>
    <w:p>
      <w:pPr>
        <w:pStyle w:val="Heading2"/>
      </w:pPr>
      <w:r>
        <w:t xml:space="preserve">5.2 Age of Respondents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Age Group (years)</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Below 25</w:t>
            </w:r>
          </w:p>
        </w:tc>
        <w:tc>
          <w:tcPr>
            <w:tcW w:w="3120" w:type="dxa"/>
            <w:vAlign w:val="center"/>
          </w:tcPr>
          <w:p>
            <w:pPr>
              <w:spacing w:before="20" w:after="20"/>
            </w:pPr>
            <w:r>
              <w:t xml:space="preserve">18</w:t>
            </w:r>
          </w:p>
        </w:tc>
        <w:tc>
          <w:tcPr>
            <w:tcW w:w="3120" w:type="dxa"/>
            <w:vAlign w:val="center"/>
          </w:tcPr>
          <w:p>
            <w:pPr>
              <w:spacing w:before="20" w:after="20"/>
            </w:pPr>
            <w:r>
              <w:t xml:space="preserve">18%</w:t>
            </w:r>
          </w:p>
        </w:tc>
      </w:tr>
      <w:tr>
        <w:tc>
          <w:tcPr>
            <w:tcW w:w="3120" w:type="dxa"/>
            <w:vAlign w:val="center"/>
          </w:tcPr>
          <w:p>
            <w:pPr>
              <w:spacing w:before="20" w:after="20"/>
            </w:pPr>
            <w:r>
              <w:t xml:space="preserve">25 - 35</w:t>
            </w:r>
          </w:p>
        </w:tc>
        <w:tc>
          <w:tcPr>
            <w:tcW w:w="3120" w:type="dxa"/>
            <w:vAlign w:val="center"/>
          </w:tcPr>
          <w:p>
            <w:pPr>
              <w:spacing w:before="20" w:after="20"/>
            </w:pPr>
            <w:r>
              <w:t xml:space="preserve">34</w:t>
            </w:r>
          </w:p>
        </w:tc>
        <w:tc>
          <w:tcPr>
            <w:tcW w:w="3120" w:type="dxa"/>
            <w:vAlign w:val="center"/>
          </w:tcPr>
          <w:p>
            <w:pPr>
              <w:spacing w:before="20" w:after="20"/>
            </w:pPr>
            <w:r>
              <w:t xml:space="preserve">34%</w:t>
            </w:r>
          </w:p>
        </w:tc>
      </w:tr>
      <w:tr>
        <w:tc>
          <w:tcPr>
            <w:tcW w:w="3120" w:type="dxa"/>
            <w:vAlign w:val="center"/>
          </w:tcPr>
          <w:p>
            <w:pPr>
              <w:spacing w:before="20" w:after="20"/>
            </w:pPr>
            <w:r>
              <w:t xml:space="preserve">36 - 45</w:t>
            </w:r>
          </w:p>
        </w:tc>
        <w:tc>
          <w:tcPr>
            <w:tcW w:w="3120" w:type="dxa"/>
            <w:vAlign w:val="center"/>
          </w:tcPr>
          <w:p>
            <w:pPr>
              <w:spacing w:before="20" w:after="20"/>
            </w:pPr>
            <w:r>
              <w:t xml:space="preserve">28</w:t>
            </w:r>
          </w:p>
        </w:tc>
        <w:tc>
          <w:tcPr>
            <w:tcW w:w="3120" w:type="dxa"/>
            <w:vAlign w:val="center"/>
          </w:tcPr>
          <w:p>
            <w:pPr>
              <w:spacing w:before="20" w:after="20"/>
            </w:pPr>
            <w:r>
              <w:t xml:space="preserve">28%</w:t>
            </w:r>
          </w:p>
        </w:tc>
      </w:tr>
      <w:tr>
        <w:tc>
          <w:tcPr>
            <w:tcW w:w="3120" w:type="dxa"/>
            <w:vAlign w:val="center"/>
          </w:tcPr>
          <w:p>
            <w:pPr>
              <w:spacing w:before="20" w:after="20"/>
            </w:pPr>
            <w:r>
              <w:t xml:space="preserve">46 - 55</w:t>
            </w:r>
          </w:p>
        </w:tc>
        <w:tc>
          <w:tcPr>
            <w:tcW w:w="3120" w:type="dxa"/>
            <w:vAlign w:val="center"/>
          </w:tcPr>
          <w:p>
            <w:pPr>
              <w:spacing w:before="20" w:after="20"/>
            </w:pPr>
            <w:r>
              <w:t xml:space="preserve">14</w:t>
            </w:r>
          </w:p>
        </w:tc>
        <w:tc>
          <w:tcPr>
            <w:tcW w:w="3120" w:type="dxa"/>
            <w:vAlign w:val="center"/>
          </w:tcPr>
          <w:p>
            <w:pPr>
              <w:spacing w:before="20" w:after="20"/>
            </w:pPr>
            <w:r>
              <w:t xml:space="preserve">14%</w:t>
            </w:r>
          </w:p>
        </w:tc>
      </w:tr>
      <w:tr>
        <w:tc>
          <w:tcPr>
            <w:tcW w:w="3120" w:type="dxa"/>
            <w:vAlign w:val="center"/>
          </w:tcPr>
          <w:p>
            <w:pPr>
              <w:spacing w:before="20" w:after="20"/>
            </w:pPr>
            <w:r>
              <w:t xml:space="preserve">Above 55</w:t>
            </w:r>
          </w:p>
        </w:tc>
        <w:tc>
          <w:tcPr>
            <w:tcW w:w="3120" w:type="dxa"/>
            <w:vAlign w:val="center"/>
          </w:tcPr>
          <w:p>
            <w:pPr>
              <w:spacing w:before="20" w:after="20"/>
            </w:pPr>
            <w:r>
              <w:t xml:space="preserve">6</w:t>
            </w:r>
          </w:p>
        </w:tc>
        <w:tc>
          <w:tcPr>
            <w:tcW w:w="3120" w:type="dxa"/>
            <w:vAlign w:val="center"/>
          </w:tcPr>
          <w:p>
            <w:pPr>
              <w:spacing w:before="20" w:after="20"/>
            </w:pPr>
            <w:r>
              <w:t xml:space="preserve">6%</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Column chart</w:t>
      </w:r>
    </w:p>
    <w:p>
      <w:pPr/>
      <w:r>
        <w:rPr>
          <w:b/>
        </w:rPr>
        <w:t xml:space="preserve">Interpretation</w:t>
      </w:r>
    </w:p>
    <w:p>
      <w:pPr/>
      <w:r>
        <w:t xml:space="preserve">The largest group, 34 percent, falls in the 25 to 35 age band, followed by 28 percent in the 36 to 45 band. People in their working years are the most active buyers of life insurance, mainly for family protection and long-term saving.</w:t>
      </w:r>
    </w:p>
    <w:p>
      <w:pPr>
        <w:pStyle w:val="Heading2"/>
      </w:pPr>
      <w:r>
        <w:t xml:space="preserve">5.3 Educational Qualification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Qualification</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Up to Higher Secondary</w:t>
            </w:r>
          </w:p>
        </w:tc>
        <w:tc>
          <w:tcPr>
            <w:tcW w:w="3120" w:type="dxa"/>
            <w:vAlign w:val="center"/>
          </w:tcPr>
          <w:p>
            <w:pPr>
              <w:spacing w:before="20" w:after="20"/>
            </w:pPr>
            <w:r>
              <w:t xml:space="preserve">12</w:t>
            </w:r>
          </w:p>
        </w:tc>
        <w:tc>
          <w:tcPr>
            <w:tcW w:w="3120" w:type="dxa"/>
            <w:vAlign w:val="center"/>
          </w:tcPr>
          <w:p>
            <w:pPr>
              <w:spacing w:before="20" w:after="20"/>
            </w:pPr>
            <w:r>
              <w:t xml:space="preserve">12%</w:t>
            </w:r>
          </w:p>
        </w:tc>
      </w:tr>
      <w:tr>
        <w:tc>
          <w:tcPr>
            <w:tcW w:w="3120" w:type="dxa"/>
            <w:vAlign w:val="center"/>
          </w:tcPr>
          <w:p>
            <w:pPr>
              <w:spacing w:before="20" w:after="20"/>
            </w:pPr>
            <w:r>
              <w:t xml:space="preserve">Graduate</w:t>
            </w:r>
          </w:p>
        </w:tc>
        <w:tc>
          <w:tcPr>
            <w:tcW w:w="3120" w:type="dxa"/>
            <w:vAlign w:val="center"/>
          </w:tcPr>
          <w:p>
            <w:pPr>
              <w:spacing w:before="20" w:after="20"/>
            </w:pPr>
            <w:r>
              <w:t xml:space="preserve">46</w:t>
            </w:r>
          </w:p>
        </w:tc>
        <w:tc>
          <w:tcPr>
            <w:tcW w:w="3120" w:type="dxa"/>
            <w:vAlign w:val="center"/>
          </w:tcPr>
          <w:p>
            <w:pPr>
              <w:spacing w:before="20" w:after="20"/>
            </w:pPr>
            <w:r>
              <w:t xml:space="preserve">46%</w:t>
            </w:r>
          </w:p>
        </w:tc>
      </w:tr>
      <w:tr>
        <w:tc>
          <w:tcPr>
            <w:tcW w:w="3120" w:type="dxa"/>
            <w:vAlign w:val="center"/>
          </w:tcPr>
          <w:p>
            <w:pPr>
              <w:spacing w:before="20" w:after="20"/>
            </w:pPr>
            <w:r>
              <w:t xml:space="preserve">Post Graduate</w:t>
            </w:r>
          </w:p>
        </w:tc>
        <w:tc>
          <w:tcPr>
            <w:tcW w:w="3120" w:type="dxa"/>
            <w:vAlign w:val="center"/>
          </w:tcPr>
          <w:p>
            <w:pPr>
              <w:spacing w:before="20" w:after="20"/>
            </w:pPr>
            <w:r>
              <w:t xml:space="preserve">32</w:t>
            </w:r>
          </w:p>
        </w:tc>
        <w:tc>
          <w:tcPr>
            <w:tcW w:w="3120" w:type="dxa"/>
            <w:vAlign w:val="center"/>
          </w:tcPr>
          <w:p>
            <w:pPr>
              <w:spacing w:before="20" w:after="20"/>
            </w:pPr>
            <w:r>
              <w:t xml:space="preserve">32%</w:t>
            </w:r>
          </w:p>
        </w:tc>
      </w:tr>
      <w:tr>
        <w:tc>
          <w:tcPr>
            <w:tcW w:w="3120" w:type="dxa"/>
            <w:vAlign w:val="center"/>
          </w:tcPr>
          <w:p>
            <w:pPr>
              <w:spacing w:before="20" w:after="20"/>
            </w:pPr>
            <w:r>
              <w:t xml:space="preserve">Professional / Others</w:t>
            </w:r>
          </w:p>
        </w:tc>
        <w:tc>
          <w:tcPr>
            <w:tcW w:w="3120" w:type="dxa"/>
            <w:vAlign w:val="center"/>
          </w:tcPr>
          <w:p>
            <w:pPr>
              <w:spacing w:before="20" w:after="20"/>
            </w:pPr>
            <w:r>
              <w:t xml:space="preserve">10</w:t>
            </w:r>
          </w:p>
        </w:tc>
        <w:tc>
          <w:tcPr>
            <w:tcW w:w="3120" w:type="dxa"/>
            <w:vAlign w:val="center"/>
          </w:tcPr>
          <w:p>
            <w:pPr>
              <w:spacing w:before="20" w:after="20"/>
            </w:pPr>
            <w:r>
              <w:t xml:space="preserve">10%</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Bar chart</w:t>
      </w:r>
    </w:p>
    <w:p>
      <w:pPr/>
      <w:r>
        <w:rPr>
          <w:b/>
        </w:rPr>
        <w:t xml:space="preserve">Interpretation</w:t>
      </w:r>
    </w:p>
    <w:p>
      <w:pPr/>
      <w:r>
        <w:t xml:space="preserve">Graduates make up 46 percent and post-graduates 32 percent of the sample. Most respondents are educated, which suggests they are in a position to weigh their options before buying.</w:t>
      </w:r>
    </w:p>
    <w:p>
      <w:pPr>
        <w:pStyle w:val="Heading2"/>
      </w:pPr>
      <w:r>
        <w:t xml:space="preserve">5.4 Occupation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Occupation</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Government Employee</w:t>
            </w:r>
          </w:p>
        </w:tc>
        <w:tc>
          <w:tcPr>
            <w:tcW w:w="3120" w:type="dxa"/>
            <w:vAlign w:val="center"/>
          </w:tcPr>
          <w:p>
            <w:pPr>
              <w:spacing w:before="20" w:after="20"/>
            </w:pPr>
            <w:r>
              <w:t xml:space="preserve">20</w:t>
            </w:r>
          </w:p>
        </w:tc>
        <w:tc>
          <w:tcPr>
            <w:tcW w:w="3120" w:type="dxa"/>
            <w:vAlign w:val="center"/>
          </w:tcPr>
          <w:p>
            <w:pPr>
              <w:spacing w:before="20" w:after="20"/>
            </w:pPr>
            <w:r>
              <w:t xml:space="preserve">20%</w:t>
            </w:r>
          </w:p>
        </w:tc>
      </w:tr>
      <w:tr>
        <w:tc>
          <w:tcPr>
            <w:tcW w:w="3120" w:type="dxa"/>
            <w:vAlign w:val="center"/>
          </w:tcPr>
          <w:p>
            <w:pPr>
              <w:spacing w:before="20" w:after="20"/>
            </w:pPr>
            <w:r>
              <w:t xml:space="preserve">Private Employee</w:t>
            </w:r>
          </w:p>
        </w:tc>
        <w:tc>
          <w:tcPr>
            <w:tcW w:w="3120" w:type="dxa"/>
            <w:vAlign w:val="center"/>
          </w:tcPr>
          <w:p>
            <w:pPr>
              <w:spacing w:before="20" w:after="20"/>
            </w:pPr>
            <w:r>
              <w:t xml:space="preserve">38</w:t>
            </w:r>
          </w:p>
        </w:tc>
        <w:tc>
          <w:tcPr>
            <w:tcW w:w="3120" w:type="dxa"/>
            <w:vAlign w:val="center"/>
          </w:tcPr>
          <w:p>
            <w:pPr>
              <w:spacing w:before="20" w:after="20"/>
            </w:pPr>
            <w:r>
              <w:t xml:space="preserve">38%</w:t>
            </w:r>
          </w:p>
        </w:tc>
      </w:tr>
      <w:tr>
        <w:tc>
          <w:tcPr>
            <w:tcW w:w="3120" w:type="dxa"/>
            <w:vAlign w:val="center"/>
          </w:tcPr>
          <w:p>
            <w:pPr>
              <w:spacing w:before="20" w:after="20"/>
            </w:pPr>
            <w:r>
              <w:t xml:space="preserve">Business / Self-employed</w:t>
            </w:r>
          </w:p>
        </w:tc>
        <w:tc>
          <w:tcPr>
            <w:tcW w:w="3120" w:type="dxa"/>
            <w:vAlign w:val="center"/>
          </w:tcPr>
          <w:p>
            <w:pPr>
              <w:spacing w:before="20" w:after="20"/>
            </w:pPr>
            <w:r>
              <w:t xml:space="preserve">24</w:t>
            </w:r>
          </w:p>
        </w:tc>
        <w:tc>
          <w:tcPr>
            <w:tcW w:w="3120" w:type="dxa"/>
            <w:vAlign w:val="center"/>
          </w:tcPr>
          <w:p>
            <w:pPr>
              <w:spacing w:before="20" w:after="20"/>
            </w:pPr>
            <w:r>
              <w:t xml:space="preserve">24%</w:t>
            </w:r>
          </w:p>
        </w:tc>
      </w:tr>
      <w:tr>
        <w:tc>
          <w:tcPr>
            <w:tcW w:w="3120" w:type="dxa"/>
            <w:vAlign w:val="center"/>
          </w:tcPr>
          <w:p>
            <w:pPr>
              <w:spacing w:before="20" w:after="20"/>
            </w:pPr>
            <w:r>
              <w:t xml:space="preserve">Professional</w:t>
            </w:r>
          </w:p>
        </w:tc>
        <w:tc>
          <w:tcPr>
            <w:tcW w:w="3120" w:type="dxa"/>
            <w:vAlign w:val="center"/>
          </w:tcPr>
          <w:p>
            <w:pPr>
              <w:spacing w:before="20" w:after="20"/>
            </w:pPr>
            <w:r>
              <w:t xml:space="preserve">10</w:t>
            </w:r>
          </w:p>
        </w:tc>
        <w:tc>
          <w:tcPr>
            <w:tcW w:w="3120" w:type="dxa"/>
            <w:vAlign w:val="center"/>
          </w:tcPr>
          <w:p>
            <w:pPr>
              <w:spacing w:before="20" w:after="20"/>
            </w:pPr>
            <w:r>
              <w:t xml:space="preserve">10%</w:t>
            </w:r>
          </w:p>
        </w:tc>
      </w:tr>
      <w:tr>
        <w:tc>
          <w:tcPr>
            <w:tcW w:w="3120" w:type="dxa"/>
            <w:vAlign w:val="center"/>
          </w:tcPr>
          <w:p>
            <w:pPr>
              <w:spacing w:before="20" w:after="20"/>
            </w:pPr>
            <w:r>
              <w:t xml:space="preserve">Student / Others</w:t>
            </w:r>
          </w:p>
        </w:tc>
        <w:tc>
          <w:tcPr>
            <w:tcW w:w="3120" w:type="dxa"/>
            <w:vAlign w:val="center"/>
          </w:tcPr>
          <w:p>
            <w:pPr>
              <w:spacing w:before="20" w:after="20"/>
            </w:pPr>
            <w:r>
              <w:t xml:space="preserve">8</w:t>
            </w:r>
          </w:p>
        </w:tc>
        <w:tc>
          <w:tcPr>
            <w:tcW w:w="3120" w:type="dxa"/>
            <w:vAlign w:val="center"/>
          </w:tcPr>
          <w:p>
            <w:pPr>
              <w:spacing w:before="20" w:after="20"/>
            </w:pPr>
            <w:r>
              <w:t xml:space="preserve">8%</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Pie chart</w:t>
      </w:r>
    </w:p>
    <w:p>
      <w:pPr/>
      <w:r>
        <w:rPr>
          <w:b/>
        </w:rPr>
        <w:t xml:space="preserve">Interpretation</w:t>
      </w:r>
    </w:p>
    <w:p>
      <w:pPr/>
      <w:r>
        <w:t xml:space="preserve">Private sector employees form the biggest group at 38 percent, followed by business persons at 24 percent. Salaried people tend to buy life insurance both for protection and for tax planning.</w:t>
      </w:r>
    </w:p>
    <w:p>
      <w:pPr>
        <w:pStyle w:val="Heading2"/>
      </w:pPr>
      <w:r>
        <w:t xml:space="preserve">5.5 Monthly Income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Monthly Income (Rs.)</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Below 25,000</w:t>
            </w:r>
          </w:p>
        </w:tc>
        <w:tc>
          <w:tcPr>
            <w:tcW w:w="3120" w:type="dxa"/>
            <w:vAlign w:val="center"/>
          </w:tcPr>
          <w:p>
            <w:pPr>
              <w:spacing w:before="20" w:after="20"/>
            </w:pPr>
            <w:r>
              <w:t xml:space="preserve">22</w:t>
            </w:r>
          </w:p>
        </w:tc>
        <w:tc>
          <w:tcPr>
            <w:tcW w:w="3120" w:type="dxa"/>
            <w:vAlign w:val="center"/>
          </w:tcPr>
          <w:p>
            <w:pPr>
              <w:spacing w:before="20" w:after="20"/>
            </w:pPr>
            <w:r>
              <w:t xml:space="preserve">22%</w:t>
            </w:r>
          </w:p>
        </w:tc>
      </w:tr>
      <w:tr>
        <w:tc>
          <w:tcPr>
            <w:tcW w:w="3120" w:type="dxa"/>
            <w:vAlign w:val="center"/>
          </w:tcPr>
          <w:p>
            <w:pPr>
              <w:spacing w:before="20" w:after="20"/>
            </w:pPr>
            <w:r>
              <w:t xml:space="preserve">25,000 - 50,000</w:t>
            </w:r>
          </w:p>
        </w:tc>
        <w:tc>
          <w:tcPr>
            <w:tcW w:w="3120" w:type="dxa"/>
            <w:vAlign w:val="center"/>
          </w:tcPr>
          <w:p>
            <w:pPr>
              <w:spacing w:before="20" w:after="20"/>
            </w:pPr>
            <w:r>
              <w:t xml:space="preserve">40</w:t>
            </w:r>
          </w:p>
        </w:tc>
        <w:tc>
          <w:tcPr>
            <w:tcW w:w="3120" w:type="dxa"/>
            <w:vAlign w:val="center"/>
          </w:tcPr>
          <w:p>
            <w:pPr>
              <w:spacing w:before="20" w:after="20"/>
            </w:pPr>
            <w:r>
              <w:t xml:space="preserve">40%</w:t>
            </w:r>
          </w:p>
        </w:tc>
      </w:tr>
      <w:tr>
        <w:tc>
          <w:tcPr>
            <w:tcW w:w="3120" w:type="dxa"/>
            <w:vAlign w:val="center"/>
          </w:tcPr>
          <w:p>
            <w:pPr>
              <w:spacing w:before="20" w:after="20"/>
            </w:pPr>
            <w:r>
              <w:t xml:space="preserve">50,001 - 75,000</w:t>
            </w:r>
          </w:p>
        </w:tc>
        <w:tc>
          <w:tcPr>
            <w:tcW w:w="3120" w:type="dxa"/>
            <w:vAlign w:val="center"/>
          </w:tcPr>
          <w:p>
            <w:pPr>
              <w:spacing w:before="20" w:after="20"/>
            </w:pPr>
            <w:r>
              <w:t xml:space="preserve">24</w:t>
            </w:r>
          </w:p>
        </w:tc>
        <w:tc>
          <w:tcPr>
            <w:tcW w:w="3120" w:type="dxa"/>
            <w:vAlign w:val="center"/>
          </w:tcPr>
          <w:p>
            <w:pPr>
              <w:spacing w:before="20" w:after="20"/>
            </w:pPr>
            <w:r>
              <w:t xml:space="preserve">24%</w:t>
            </w:r>
          </w:p>
        </w:tc>
      </w:tr>
      <w:tr>
        <w:tc>
          <w:tcPr>
            <w:tcW w:w="3120" w:type="dxa"/>
            <w:vAlign w:val="center"/>
          </w:tcPr>
          <w:p>
            <w:pPr>
              <w:spacing w:before="20" w:after="20"/>
            </w:pPr>
            <w:r>
              <w:t xml:space="preserve">Above 75,000</w:t>
            </w:r>
          </w:p>
        </w:tc>
        <w:tc>
          <w:tcPr>
            <w:tcW w:w="3120" w:type="dxa"/>
            <w:vAlign w:val="center"/>
          </w:tcPr>
          <w:p>
            <w:pPr>
              <w:spacing w:before="20" w:after="20"/>
            </w:pPr>
            <w:r>
              <w:t xml:space="preserve">14</w:t>
            </w:r>
          </w:p>
        </w:tc>
        <w:tc>
          <w:tcPr>
            <w:tcW w:w="3120" w:type="dxa"/>
            <w:vAlign w:val="center"/>
          </w:tcPr>
          <w:p>
            <w:pPr>
              <w:spacing w:before="20" w:after="20"/>
            </w:pPr>
            <w:r>
              <w:t xml:space="preserve">14%</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Column chart</w:t>
      </w:r>
    </w:p>
    <w:p>
      <w:pPr/>
      <w:r>
        <w:rPr>
          <w:b/>
        </w:rPr>
        <w:t xml:space="preserve">Interpretation</w:t>
      </w:r>
    </w:p>
    <w:p>
      <w:pPr/>
      <w:r>
        <w:t xml:space="preserve">Forty percent of respondents earn between Rs. 25,000 and Rs. 50,000 a month. This middle-income group is the most active in buying life insurance.</w:t>
      </w:r>
    </w:p>
    <w:p>
      <w:pPr>
        <w:pStyle w:val="Heading2"/>
      </w:pPr>
      <w:r>
        <w:t xml:space="preserve">5.6 Whether the Respondent Holds a Policy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Response</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Yes</w:t>
            </w:r>
          </w:p>
        </w:tc>
        <w:tc>
          <w:tcPr>
            <w:tcW w:w="3120" w:type="dxa"/>
            <w:vAlign w:val="center"/>
          </w:tcPr>
          <w:p>
            <w:pPr>
              <w:spacing w:before="20" w:after="20"/>
            </w:pPr>
            <w:r>
              <w:t xml:space="preserve">84</w:t>
            </w:r>
          </w:p>
        </w:tc>
        <w:tc>
          <w:tcPr>
            <w:tcW w:w="3120" w:type="dxa"/>
            <w:vAlign w:val="center"/>
          </w:tcPr>
          <w:p>
            <w:pPr>
              <w:spacing w:before="20" w:after="20"/>
            </w:pPr>
            <w:r>
              <w:t xml:space="preserve">84%</w:t>
            </w:r>
          </w:p>
        </w:tc>
      </w:tr>
      <w:tr>
        <w:tc>
          <w:tcPr>
            <w:tcW w:w="3120" w:type="dxa"/>
            <w:vAlign w:val="center"/>
          </w:tcPr>
          <w:p>
            <w:pPr>
              <w:spacing w:before="20" w:after="20"/>
            </w:pPr>
            <w:r>
              <w:t xml:space="preserve">No</w:t>
            </w:r>
          </w:p>
        </w:tc>
        <w:tc>
          <w:tcPr>
            <w:tcW w:w="3120" w:type="dxa"/>
            <w:vAlign w:val="center"/>
          </w:tcPr>
          <w:p>
            <w:pPr>
              <w:spacing w:before="20" w:after="20"/>
            </w:pPr>
            <w:r>
              <w:t xml:space="preserve">16</w:t>
            </w:r>
          </w:p>
        </w:tc>
        <w:tc>
          <w:tcPr>
            <w:tcW w:w="3120" w:type="dxa"/>
            <w:vAlign w:val="center"/>
          </w:tcPr>
          <w:p>
            <w:pPr>
              <w:spacing w:before="20" w:after="20"/>
            </w:pPr>
            <w:r>
              <w:t xml:space="preserve">16%</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Pie chart</w:t>
      </w:r>
    </w:p>
    <w:p>
      <w:pPr/>
      <w:r>
        <w:rPr>
          <w:b/>
        </w:rPr>
        <w:t xml:space="preserve">Interpretation</w:t>
      </w:r>
    </w:p>
    <w:p>
      <w:pPr/>
      <w:r>
        <w:t xml:space="preserve">A large majority, 84 percent, already hold a policy, which shows strong coverage within the sample. The remaining 16 percent are prospects who can be reached through awareness and persuasion.</w:t>
      </w:r>
    </w:p>
    <w:p>
      <w:pPr>
        <w:pStyle w:val="Heading2"/>
      </w:pPr>
      <w:r>
        <w:t xml:space="preserve">5.7 Main Purpose of Investing in Life Insurance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Purpose</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Family security / Protection</w:t>
            </w:r>
          </w:p>
        </w:tc>
        <w:tc>
          <w:tcPr>
            <w:tcW w:w="3120" w:type="dxa"/>
            <w:vAlign w:val="center"/>
          </w:tcPr>
          <w:p>
            <w:pPr>
              <w:spacing w:before="20" w:after="20"/>
            </w:pPr>
            <w:r>
              <w:t xml:space="preserve">36</w:t>
            </w:r>
          </w:p>
        </w:tc>
        <w:tc>
          <w:tcPr>
            <w:tcW w:w="3120" w:type="dxa"/>
            <w:vAlign w:val="center"/>
          </w:tcPr>
          <w:p>
            <w:pPr>
              <w:spacing w:before="20" w:after="20"/>
            </w:pPr>
            <w:r>
              <w:t xml:space="preserve">36%</w:t>
            </w:r>
          </w:p>
        </w:tc>
      </w:tr>
      <w:tr>
        <w:tc>
          <w:tcPr>
            <w:tcW w:w="3120" w:type="dxa"/>
            <w:vAlign w:val="center"/>
          </w:tcPr>
          <w:p>
            <w:pPr>
              <w:spacing w:before="20" w:after="20"/>
            </w:pPr>
            <w:r>
              <w:t xml:space="preserve">Tax benefits</w:t>
            </w:r>
          </w:p>
        </w:tc>
        <w:tc>
          <w:tcPr>
            <w:tcW w:w="3120" w:type="dxa"/>
            <w:vAlign w:val="center"/>
          </w:tcPr>
          <w:p>
            <w:pPr>
              <w:spacing w:before="20" w:after="20"/>
            </w:pPr>
            <w:r>
              <w:t xml:space="preserve">24</w:t>
            </w:r>
          </w:p>
        </w:tc>
        <w:tc>
          <w:tcPr>
            <w:tcW w:w="3120" w:type="dxa"/>
            <w:vAlign w:val="center"/>
          </w:tcPr>
          <w:p>
            <w:pPr>
              <w:spacing w:before="20" w:after="20"/>
            </w:pPr>
            <w:r>
              <w:t xml:space="preserve">24%</w:t>
            </w:r>
          </w:p>
        </w:tc>
      </w:tr>
      <w:tr>
        <w:tc>
          <w:tcPr>
            <w:tcW w:w="3120" w:type="dxa"/>
            <w:vAlign w:val="center"/>
          </w:tcPr>
          <w:p>
            <w:pPr>
              <w:spacing w:before="20" w:after="20"/>
            </w:pPr>
            <w:r>
              <w:t xml:space="preserve">Savings / Investment</w:t>
            </w:r>
          </w:p>
        </w:tc>
        <w:tc>
          <w:tcPr>
            <w:tcW w:w="3120" w:type="dxa"/>
            <w:vAlign w:val="center"/>
          </w:tcPr>
          <w:p>
            <w:pPr>
              <w:spacing w:before="20" w:after="20"/>
            </w:pPr>
            <w:r>
              <w:t xml:space="preserve">22</w:t>
            </w:r>
          </w:p>
        </w:tc>
        <w:tc>
          <w:tcPr>
            <w:tcW w:w="3120" w:type="dxa"/>
            <w:vAlign w:val="center"/>
          </w:tcPr>
          <w:p>
            <w:pPr>
              <w:spacing w:before="20" w:after="20"/>
            </w:pPr>
            <w:r>
              <w:t xml:space="preserve">22%</w:t>
            </w:r>
          </w:p>
        </w:tc>
      </w:tr>
      <w:tr>
        <w:tc>
          <w:tcPr>
            <w:tcW w:w="3120" w:type="dxa"/>
            <w:vAlign w:val="center"/>
          </w:tcPr>
          <w:p>
            <w:pPr>
              <w:spacing w:before="20" w:after="20"/>
            </w:pPr>
            <w:r>
              <w:t xml:space="preserve">Retirement planning</w:t>
            </w:r>
          </w:p>
        </w:tc>
        <w:tc>
          <w:tcPr>
            <w:tcW w:w="3120" w:type="dxa"/>
            <w:vAlign w:val="center"/>
          </w:tcPr>
          <w:p>
            <w:pPr>
              <w:spacing w:before="20" w:after="20"/>
            </w:pPr>
            <w:r>
              <w:t xml:space="preserve">12</w:t>
            </w:r>
          </w:p>
        </w:tc>
        <w:tc>
          <w:tcPr>
            <w:tcW w:w="3120" w:type="dxa"/>
            <w:vAlign w:val="center"/>
          </w:tcPr>
          <w:p>
            <w:pPr>
              <w:spacing w:before="20" w:after="20"/>
            </w:pPr>
            <w:r>
              <w:t xml:space="preserve">12%</w:t>
            </w:r>
          </w:p>
        </w:tc>
      </w:tr>
      <w:tr>
        <w:tc>
          <w:tcPr>
            <w:tcW w:w="3120" w:type="dxa"/>
            <w:vAlign w:val="center"/>
          </w:tcPr>
          <w:p>
            <w:pPr>
              <w:spacing w:before="20" w:after="20"/>
            </w:pPr>
            <w:r>
              <w:t xml:space="preserve">Child's future</w:t>
            </w:r>
          </w:p>
        </w:tc>
        <w:tc>
          <w:tcPr>
            <w:tcW w:w="3120" w:type="dxa"/>
            <w:vAlign w:val="center"/>
          </w:tcPr>
          <w:p>
            <w:pPr>
              <w:spacing w:before="20" w:after="20"/>
            </w:pPr>
            <w:r>
              <w:t xml:space="preserve">6</w:t>
            </w:r>
          </w:p>
        </w:tc>
        <w:tc>
          <w:tcPr>
            <w:tcW w:w="3120" w:type="dxa"/>
            <w:vAlign w:val="center"/>
          </w:tcPr>
          <w:p>
            <w:pPr>
              <w:spacing w:before="20" w:after="20"/>
            </w:pPr>
            <w:r>
              <w:t xml:space="preserve">6%</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Bar chart</w:t>
      </w:r>
    </w:p>
    <w:p>
      <w:pPr/>
      <w:r>
        <w:rPr>
          <w:b/>
        </w:rPr>
        <w:t xml:space="preserve">Interpretation</w:t>
      </w:r>
    </w:p>
    <w:p>
      <w:pPr/>
      <w:r>
        <w:t xml:space="preserve">Family security is the leading purpose at 36 percent, ahead of tax benefits at 24 percent and savings at 22 percent. Protection is the core driver, with tax relief a strong second.</w:t>
      </w:r>
    </w:p>
    <w:p>
      <w:pPr>
        <w:pStyle w:val="Heading2"/>
      </w:pPr>
      <w:r>
        <w:t xml:space="preserve">5.8 Preferred Insurance Company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Company</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LIC</w:t>
            </w:r>
          </w:p>
        </w:tc>
        <w:tc>
          <w:tcPr>
            <w:tcW w:w="3120" w:type="dxa"/>
            <w:vAlign w:val="center"/>
          </w:tcPr>
          <w:p>
            <w:pPr>
              <w:spacing w:before="20" w:after="20"/>
            </w:pPr>
            <w:r>
              <w:t xml:space="preserve">54</w:t>
            </w:r>
          </w:p>
        </w:tc>
        <w:tc>
          <w:tcPr>
            <w:tcW w:w="3120" w:type="dxa"/>
            <w:vAlign w:val="center"/>
          </w:tcPr>
          <w:p>
            <w:pPr>
              <w:spacing w:before="20" w:after="20"/>
            </w:pPr>
            <w:r>
              <w:t xml:space="preserve">54%</w:t>
            </w:r>
          </w:p>
        </w:tc>
      </w:tr>
      <w:tr>
        <w:tc>
          <w:tcPr>
            <w:tcW w:w="3120" w:type="dxa"/>
            <w:vAlign w:val="center"/>
          </w:tcPr>
          <w:p>
            <w:pPr>
              <w:spacing w:before="20" w:after="20"/>
            </w:pPr>
            <w:r>
              <w:t xml:space="preserve">HDFC Life</w:t>
            </w:r>
          </w:p>
        </w:tc>
        <w:tc>
          <w:tcPr>
            <w:tcW w:w="3120" w:type="dxa"/>
            <w:vAlign w:val="center"/>
          </w:tcPr>
          <w:p>
            <w:pPr>
              <w:spacing w:before="20" w:after="20"/>
            </w:pPr>
            <w:r>
              <w:t xml:space="preserve">12</w:t>
            </w:r>
          </w:p>
        </w:tc>
        <w:tc>
          <w:tcPr>
            <w:tcW w:w="3120" w:type="dxa"/>
            <w:vAlign w:val="center"/>
          </w:tcPr>
          <w:p>
            <w:pPr>
              <w:spacing w:before="20" w:after="20"/>
            </w:pPr>
            <w:r>
              <w:t xml:space="preserve">12%</w:t>
            </w:r>
          </w:p>
        </w:tc>
      </w:tr>
      <w:tr>
        <w:tc>
          <w:tcPr>
            <w:tcW w:w="3120" w:type="dxa"/>
            <w:vAlign w:val="center"/>
          </w:tcPr>
          <w:p>
            <w:pPr>
              <w:spacing w:before="20" w:after="20"/>
            </w:pPr>
            <w:r>
              <w:t xml:space="preserve">ICICI Prudential</w:t>
            </w:r>
          </w:p>
        </w:tc>
        <w:tc>
          <w:tcPr>
            <w:tcW w:w="3120" w:type="dxa"/>
            <w:vAlign w:val="center"/>
          </w:tcPr>
          <w:p>
            <w:pPr>
              <w:spacing w:before="20" w:after="20"/>
            </w:pPr>
            <w:r>
              <w:t xml:space="preserve">10</w:t>
            </w:r>
          </w:p>
        </w:tc>
        <w:tc>
          <w:tcPr>
            <w:tcW w:w="3120" w:type="dxa"/>
            <w:vAlign w:val="center"/>
          </w:tcPr>
          <w:p>
            <w:pPr>
              <w:spacing w:before="20" w:after="20"/>
            </w:pPr>
            <w:r>
              <w:t xml:space="preserve">10%</w:t>
            </w:r>
          </w:p>
        </w:tc>
      </w:tr>
      <w:tr>
        <w:tc>
          <w:tcPr>
            <w:tcW w:w="3120" w:type="dxa"/>
            <w:vAlign w:val="center"/>
          </w:tcPr>
          <w:p>
            <w:pPr>
              <w:spacing w:before="20" w:after="20"/>
            </w:pPr>
            <w:r>
              <w:t xml:space="preserve">SBI Life</w:t>
            </w:r>
          </w:p>
        </w:tc>
        <w:tc>
          <w:tcPr>
            <w:tcW w:w="3120" w:type="dxa"/>
            <w:vAlign w:val="center"/>
          </w:tcPr>
          <w:p>
            <w:pPr>
              <w:spacing w:before="20" w:after="20"/>
            </w:pPr>
            <w:r>
              <w:t xml:space="preserve">14</w:t>
            </w:r>
          </w:p>
        </w:tc>
        <w:tc>
          <w:tcPr>
            <w:tcW w:w="3120" w:type="dxa"/>
            <w:vAlign w:val="center"/>
          </w:tcPr>
          <w:p>
            <w:pPr>
              <w:spacing w:before="20" w:after="20"/>
            </w:pPr>
            <w:r>
              <w:t xml:space="preserve">14%</w:t>
            </w:r>
          </w:p>
        </w:tc>
      </w:tr>
      <w:tr>
        <w:tc>
          <w:tcPr>
            <w:tcW w:w="3120" w:type="dxa"/>
            <w:vAlign w:val="center"/>
          </w:tcPr>
          <w:p>
            <w:pPr>
              <w:spacing w:before="20" w:after="20"/>
            </w:pPr>
            <w:r>
              <w:t xml:space="preserve">Others (Private)</w:t>
            </w:r>
          </w:p>
        </w:tc>
        <w:tc>
          <w:tcPr>
            <w:tcW w:w="3120" w:type="dxa"/>
            <w:vAlign w:val="center"/>
          </w:tcPr>
          <w:p>
            <w:pPr>
              <w:spacing w:before="20" w:after="20"/>
            </w:pPr>
            <w:r>
              <w:t xml:space="preserve">10</w:t>
            </w:r>
          </w:p>
        </w:tc>
        <w:tc>
          <w:tcPr>
            <w:tcW w:w="3120" w:type="dxa"/>
            <w:vAlign w:val="center"/>
          </w:tcPr>
          <w:p>
            <w:pPr>
              <w:spacing w:before="20" w:after="20"/>
            </w:pPr>
            <w:r>
              <w:t xml:space="preserve">10%</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Pie chart</w:t>
      </w:r>
    </w:p>
    <w:p>
      <w:pPr/>
      <w:r>
        <w:rPr>
          <w:b/>
        </w:rPr>
        <w:t xml:space="preserve">Interpretation</w:t>
      </w:r>
    </w:p>
    <w:p>
      <w:pPr/>
      <w:r>
        <w:t xml:space="preserve">LIC is preferred by 54 percent of respondents, reflecting the trust it carries. The private insurers together account for 46 percent, which shows they are steadily gaining acceptance.</w:t>
      </w:r>
    </w:p>
    <w:p>
      <w:pPr>
        <w:pStyle w:val="Heading2"/>
      </w:pPr>
      <w:r>
        <w:t xml:space="preserve">5.9 Preferred Type of Plan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Type of Plan</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Endowment Plan</w:t>
            </w:r>
          </w:p>
        </w:tc>
        <w:tc>
          <w:tcPr>
            <w:tcW w:w="3120" w:type="dxa"/>
            <w:vAlign w:val="center"/>
          </w:tcPr>
          <w:p>
            <w:pPr>
              <w:spacing w:before="20" w:after="20"/>
            </w:pPr>
            <w:r>
              <w:t xml:space="preserve">30</w:t>
            </w:r>
          </w:p>
        </w:tc>
        <w:tc>
          <w:tcPr>
            <w:tcW w:w="3120" w:type="dxa"/>
            <w:vAlign w:val="center"/>
          </w:tcPr>
          <w:p>
            <w:pPr>
              <w:spacing w:before="20" w:after="20"/>
            </w:pPr>
            <w:r>
              <w:t xml:space="preserve">30%</w:t>
            </w:r>
          </w:p>
        </w:tc>
      </w:tr>
      <w:tr>
        <w:tc>
          <w:tcPr>
            <w:tcW w:w="3120" w:type="dxa"/>
            <w:vAlign w:val="center"/>
          </w:tcPr>
          <w:p>
            <w:pPr>
              <w:spacing w:before="20" w:after="20"/>
            </w:pPr>
            <w:r>
              <w:t xml:space="preserve">Term Insurance</w:t>
            </w:r>
          </w:p>
        </w:tc>
        <w:tc>
          <w:tcPr>
            <w:tcW w:w="3120" w:type="dxa"/>
            <w:vAlign w:val="center"/>
          </w:tcPr>
          <w:p>
            <w:pPr>
              <w:spacing w:before="20" w:after="20"/>
            </w:pPr>
            <w:r>
              <w:t xml:space="preserve">24</w:t>
            </w:r>
          </w:p>
        </w:tc>
        <w:tc>
          <w:tcPr>
            <w:tcW w:w="3120" w:type="dxa"/>
            <w:vAlign w:val="center"/>
          </w:tcPr>
          <w:p>
            <w:pPr>
              <w:spacing w:before="20" w:after="20"/>
            </w:pPr>
            <w:r>
              <w:t xml:space="preserve">24%</w:t>
            </w:r>
          </w:p>
        </w:tc>
      </w:tr>
      <w:tr>
        <w:tc>
          <w:tcPr>
            <w:tcW w:w="3120" w:type="dxa"/>
            <w:vAlign w:val="center"/>
          </w:tcPr>
          <w:p>
            <w:pPr>
              <w:spacing w:before="20" w:after="20"/>
            </w:pPr>
            <w:r>
              <w:t xml:space="preserve">Money-Back Plan</w:t>
            </w:r>
          </w:p>
        </w:tc>
        <w:tc>
          <w:tcPr>
            <w:tcW w:w="3120" w:type="dxa"/>
            <w:vAlign w:val="center"/>
          </w:tcPr>
          <w:p>
            <w:pPr>
              <w:spacing w:before="20" w:after="20"/>
            </w:pPr>
            <w:r>
              <w:t xml:space="preserve">18</w:t>
            </w:r>
          </w:p>
        </w:tc>
        <w:tc>
          <w:tcPr>
            <w:tcW w:w="3120" w:type="dxa"/>
            <w:vAlign w:val="center"/>
          </w:tcPr>
          <w:p>
            <w:pPr>
              <w:spacing w:before="20" w:after="20"/>
            </w:pPr>
            <w:r>
              <w:t xml:space="preserve">18%</w:t>
            </w:r>
          </w:p>
        </w:tc>
      </w:tr>
      <w:tr>
        <w:tc>
          <w:tcPr>
            <w:tcW w:w="3120" w:type="dxa"/>
            <w:vAlign w:val="center"/>
          </w:tcPr>
          <w:p>
            <w:pPr>
              <w:spacing w:before="20" w:after="20"/>
            </w:pPr>
            <w:r>
              <w:t xml:space="preserve">ULIP</w:t>
            </w:r>
          </w:p>
        </w:tc>
        <w:tc>
          <w:tcPr>
            <w:tcW w:w="3120" w:type="dxa"/>
            <w:vAlign w:val="center"/>
          </w:tcPr>
          <w:p>
            <w:pPr>
              <w:spacing w:before="20" w:after="20"/>
            </w:pPr>
            <w:r>
              <w:t xml:space="preserve">16</w:t>
            </w:r>
          </w:p>
        </w:tc>
        <w:tc>
          <w:tcPr>
            <w:tcW w:w="3120" w:type="dxa"/>
            <w:vAlign w:val="center"/>
          </w:tcPr>
          <w:p>
            <w:pPr>
              <w:spacing w:before="20" w:after="20"/>
            </w:pPr>
            <w:r>
              <w:t xml:space="preserve">16%</w:t>
            </w:r>
          </w:p>
        </w:tc>
      </w:tr>
      <w:tr>
        <w:tc>
          <w:tcPr>
            <w:tcW w:w="3120" w:type="dxa"/>
            <w:vAlign w:val="center"/>
          </w:tcPr>
          <w:p>
            <w:pPr>
              <w:spacing w:before="20" w:after="20"/>
            </w:pPr>
            <w:r>
              <w:t xml:space="preserve">Pension / Retirement Plan</w:t>
            </w:r>
          </w:p>
        </w:tc>
        <w:tc>
          <w:tcPr>
            <w:tcW w:w="3120" w:type="dxa"/>
            <w:vAlign w:val="center"/>
          </w:tcPr>
          <w:p>
            <w:pPr>
              <w:spacing w:before="20" w:after="20"/>
            </w:pPr>
            <w:r>
              <w:t xml:space="preserve">12</w:t>
            </w:r>
          </w:p>
        </w:tc>
        <w:tc>
          <w:tcPr>
            <w:tcW w:w="3120" w:type="dxa"/>
            <w:vAlign w:val="center"/>
          </w:tcPr>
          <w:p>
            <w:pPr>
              <w:spacing w:before="20" w:after="20"/>
            </w:pPr>
            <w:r>
              <w:t xml:space="preserve">12%</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Column chart</w:t>
      </w:r>
    </w:p>
    <w:p>
      <w:pPr/>
      <w:r>
        <w:rPr>
          <w:b/>
        </w:rPr>
        <w:t xml:space="preserve">Interpretation</w:t>
      </w:r>
    </w:p>
    <w:p>
      <w:pPr/>
      <w:r>
        <w:t xml:space="preserve">Endowment plans lead at 30 percent because they offer savings along with protection. Term insurance follows at 24 percent, helped by growing awareness of low-cost, high-cover plans.</w:t>
      </w:r>
    </w:p>
    <w:p>
      <w:pPr>
        <w:pStyle w:val="Heading2"/>
      </w:pPr>
      <w:r>
        <w:t xml:space="preserve">5.10 Most Important Factor Before Investing</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Factor</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Safety / Security</w:t>
            </w:r>
          </w:p>
        </w:tc>
        <w:tc>
          <w:tcPr>
            <w:tcW w:w="3120" w:type="dxa"/>
            <w:vAlign w:val="center"/>
          </w:tcPr>
          <w:p>
            <w:pPr>
              <w:spacing w:before="20" w:after="20"/>
            </w:pPr>
            <w:r>
              <w:t xml:space="preserve">30</w:t>
            </w:r>
          </w:p>
        </w:tc>
        <w:tc>
          <w:tcPr>
            <w:tcW w:w="3120" w:type="dxa"/>
            <w:vAlign w:val="center"/>
          </w:tcPr>
          <w:p>
            <w:pPr>
              <w:spacing w:before="20" w:after="20"/>
            </w:pPr>
            <w:r>
              <w:t xml:space="preserve">30%</w:t>
            </w:r>
          </w:p>
        </w:tc>
      </w:tr>
      <w:tr>
        <w:tc>
          <w:tcPr>
            <w:tcW w:w="3120" w:type="dxa"/>
            <w:vAlign w:val="center"/>
          </w:tcPr>
          <w:p>
            <w:pPr>
              <w:spacing w:before="20" w:after="20"/>
            </w:pPr>
            <w:r>
              <w:t xml:space="preserve">Returns / Bonus</w:t>
            </w:r>
          </w:p>
        </w:tc>
        <w:tc>
          <w:tcPr>
            <w:tcW w:w="3120" w:type="dxa"/>
            <w:vAlign w:val="center"/>
          </w:tcPr>
          <w:p>
            <w:pPr>
              <w:spacing w:before="20" w:after="20"/>
            </w:pPr>
            <w:r>
              <w:t xml:space="preserve">22</w:t>
            </w:r>
          </w:p>
        </w:tc>
        <w:tc>
          <w:tcPr>
            <w:tcW w:w="3120" w:type="dxa"/>
            <w:vAlign w:val="center"/>
          </w:tcPr>
          <w:p>
            <w:pPr>
              <w:spacing w:before="20" w:after="20"/>
            </w:pPr>
            <w:r>
              <w:t xml:space="preserve">22%</w:t>
            </w:r>
          </w:p>
        </w:tc>
      </w:tr>
      <w:tr>
        <w:tc>
          <w:tcPr>
            <w:tcW w:w="3120" w:type="dxa"/>
            <w:vAlign w:val="center"/>
          </w:tcPr>
          <w:p>
            <w:pPr>
              <w:spacing w:before="20" w:after="20"/>
            </w:pPr>
            <w:r>
              <w:t xml:space="preserve">Company reputation</w:t>
            </w:r>
          </w:p>
        </w:tc>
        <w:tc>
          <w:tcPr>
            <w:tcW w:w="3120" w:type="dxa"/>
            <w:vAlign w:val="center"/>
          </w:tcPr>
          <w:p>
            <w:pPr>
              <w:spacing w:before="20" w:after="20"/>
            </w:pPr>
            <w:r>
              <w:t xml:space="preserve">20</w:t>
            </w:r>
          </w:p>
        </w:tc>
        <w:tc>
          <w:tcPr>
            <w:tcW w:w="3120" w:type="dxa"/>
            <w:vAlign w:val="center"/>
          </w:tcPr>
          <w:p>
            <w:pPr>
              <w:spacing w:before="20" w:after="20"/>
            </w:pPr>
            <w:r>
              <w:t xml:space="preserve">20%</w:t>
            </w:r>
          </w:p>
        </w:tc>
      </w:tr>
      <w:tr>
        <w:tc>
          <w:tcPr>
            <w:tcW w:w="3120" w:type="dxa"/>
            <w:vAlign w:val="center"/>
          </w:tcPr>
          <w:p>
            <w:pPr>
              <w:spacing w:before="20" w:after="20"/>
            </w:pPr>
            <w:r>
              <w:t xml:space="preserve">Tax benefits</w:t>
            </w:r>
          </w:p>
        </w:tc>
        <w:tc>
          <w:tcPr>
            <w:tcW w:w="3120" w:type="dxa"/>
            <w:vAlign w:val="center"/>
          </w:tcPr>
          <w:p>
            <w:pPr>
              <w:spacing w:before="20" w:after="20"/>
            </w:pPr>
            <w:r>
              <w:t xml:space="preserve">16</w:t>
            </w:r>
          </w:p>
        </w:tc>
        <w:tc>
          <w:tcPr>
            <w:tcW w:w="3120" w:type="dxa"/>
            <w:vAlign w:val="center"/>
          </w:tcPr>
          <w:p>
            <w:pPr>
              <w:spacing w:before="20" w:after="20"/>
            </w:pPr>
            <w:r>
              <w:t xml:space="preserve">16%</w:t>
            </w:r>
          </w:p>
        </w:tc>
      </w:tr>
      <w:tr>
        <w:tc>
          <w:tcPr>
            <w:tcW w:w="3120" w:type="dxa"/>
            <w:vAlign w:val="center"/>
          </w:tcPr>
          <w:p>
            <w:pPr>
              <w:spacing w:before="20" w:after="20"/>
            </w:pPr>
            <w:r>
              <w:t xml:space="preserve">Liquidity</w:t>
            </w:r>
          </w:p>
        </w:tc>
        <w:tc>
          <w:tcPr>
            <w:tcW w:w="3120" w:type="dxa"/>
            <w:vAlign w:val="center"/>
          </w:tcPr>
          <w:p>
            <w:pPr>
              <w:spacing w:before="20" w:after="20"/>
            </w:pPr>
            <w:r>
              <w:t xml:space="preserve">12</w:t>
            </w:r>
          </w:p>
        </w:tc>
        <w:tc>
          <w:tcPr>
            <w:tcW w:w="3120" w:type="dxa"/>
            <w:vAlign w:val="center"/>
          </w:tcPr>
          <w:p>
            <w:pPr>
              <w:spacing w:before="20" w:after="20"/>
            </w:pPr>
            <w:r>
              <w:t xml:space="preserve">12%</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Bar chart</w:t>
      </w:r>
    </w:p>
    <w:p>
      <w:pPr/>
      <w:r>
        <w:rPr>
          <w:b/>
        </w:rPr>
        <w:t xml:space="preserve">Interpretation</w:t>
      </w:r>
    </w:p>
    <w:p>
      <w:pPr/>
      <w:r>
        <w:t xml:space="preserve">Safety stands first at 30 percent, ahead of returns at 22 percent and company reputation at 20 percent. Investors clearly value the safety of their money over the promise of high returns.</w:t>
      </w:r>
    </w:p>
    <w:p>
      <w:pPr>
        <w:pStyle w:val="Heading2"/>
      </w:pPr>
      <w:r>
        <w:t xml:space="preserve">5.11 Source of Awareness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Source</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Insurance Agents</w:t>
            </w:r>
          </w:p>
        </w:tc>
        <w:tc>
          <w:tcPr>
            <w:tcW w:w="3120" w:type="dxa"/>
            <w:vAlign w:val="center"/>
          </w:tcPr>
          <w:p>
            <w:pPr>
              <w:spacing w:before="20" w:after="20"/>
            </w:pPr>
            <w:r>
              <w:t xml:space="preserve">38</w:t>
            </w:r>
          </w:p>
        </w:tc>
        <w:tc>
          <w:tcPr>
            <w:tcW w:w="3120" w:type="dxa"/>
            <w:vAlign w:val="center"/>
          </w:tcPr>
          <w:p>
            <w:pPr>
              <w:spacing w:before="20" w:after="20"/>
            </w:pPr>
            <w:r>
              <w:t xml:space="preserve">38%</w:t>
            </w:r>
          </w:p>
        </w:tc>
      </w:tr>
      <w:tr>
        <w:tc>
          <w:tcPr>
            <w:tcW w:w="3120" w:type="dxa"/>
            <w:vAlign w:val="center"/>
          </w:tcPr>
          <w:p>
            <w:pPr>
              <w:spacing w:before="20" w:after="20"/>
            </w:pPr>
            <w:r>
              <w:t xml:space="preserve">Friends &amp; Relatives</w:t>
            </w:r>
          </w:p>
        </w:tc>
        <w:tc>
          <w:tcPr>
            <w:tcW w:w="3120" w:type="dxa"/>
            <w:vAlign w:val="center"/>
          </w:tcPr>
          <w:p>
            <w:pPr>
              <w:spacing w:before="20" w:after="20"/>
            </w:pPr>
            <w:r>
              <w:t xml:space="preserve">22</w:t>
            </w:r>
          </w:p>
        </w:tc>
        <w:tc>
          <w:tcPr>
            <w:tcW w:w="3120" w:type="dxa"/>
            <w:vAlign w:val="center"/>
          </w:tcPr>
          <w:p>
            <w:pPr>
              <w:spacing w:before="20" w:after="20"/>
            </w:pPr>
            <w:r>
              <w:t xml:space="preserve">22%</w:t>
            </w:r>
          </w:p>
        </w:tc>
      </w:tr>
      <w:tr>
        <w:tc>
          <w:tcPr>
            <w:tcW w:w="3120" w:type="dxa"/>
            <w:vAlign w:val="center"/>
          </w:tcPr>
          <w:p>
            <w:pPr>
              <w:spacing w:before="20" w:after="20"/>
            </w:pPr>
            <w:r>
              <w:t xml:space="preserve">Advertisements</w:t>
            </w:r>
          </w:p>
        </w:tc>
        <w:tc>
          <w:tcPr>
            <w:tcW w:w="3120" w:type="dxa"/>
            <w:vAlign w:val="center"/>
          </w:tcPr>
          <w:p>
            <w:pPr>
              <w:spacing w:before="20" w:after="20"/>
            </w:pPr>
            <w:r>
              <w:t xml:space="preserve">18</w:t>
            </w:r>
          </w:p>
        </w:tc>
        <w:tc>
          <w:tcPr>
            <w:tcW w:w="3120" w:type="dxa"/>
            <w:vAlign w:val="center"/>
          </w:tcPr>
          <w:p>
            <w:pPr>
              <w:spacing w:before="20" w:after="20"/>
            </w:pPr>
            <w:r>
              <w:t xml:space="preserve">18%</w:t>
            </w:r>
          </w:p>
        </w:tc>
      </w:tr>
      <w:tr>
        <w:tc>
          <w:tcPr>
            <w:tcW w:w="3120" w:type="dxa"/>
            <w:vAlign w:val="center"/>
          </w:tcPr>
          <w:p>
            <w:pPr>
              <w:spacing w:before="20" w:after="20"/>
            </w:pPr>
            <w:r>
              <w:t xml:space="preserve">Internet / Social Media</w:t>
            </w:r>
          </w:p>
        </w:tc>
        <w:tc>
          <w:tcPr>
            <w:tcW w:w="3120" w:type="dxa"/>
            <w:vAlign w:val="center"/>
          </w:tcPr>
          <w:p>
            <w:pPr>
              <w:spacing w:before="20" w:after="20"/>
            </w:pPr>
            <w:r>
              <w:t xml:space="preserve">16</w:t>
            </w:r>
          </w:p>
        </w:tc>
        <w:tc>
          <w:tcPr>
            <w:tcW w:w="3120" w:type="dxa"/>
            <w:vAlign w:val="center"/>
          </w:tcPr>
          <w:p>
            <w:pPr>
              <w:spacing w:before="20" w:after="20"/>
            </w:pPr>
            <w:r>
              <w:t xml:space="preserve">16%</w:t>
            </w:r>
          </w:p>
        </w:tc>
      </w:tr>
      <w:tr>
        <w:tc>
          <w:tcPr>
            <w:tcW w:w="3120" w:type="dxa"/>
            <w:vAlign w:val="center"/>
          </w:tcPr>
          <w:p>
            <w:pPr>
              <w:spacing w:before="20" w:after="20"/>
            </w:pPr>
            <w:r>
              <w:t xml:space="preserve">Bank / Bancassurance</w:t>
            </w:r>
          </w:p>
        </w:tc>
        <w:tc>
          <w:tcPr>
            <w:tcW w:w="3120" w:type="dxa"/>
            <w:vAlign w:val="center"/>
          </w:tcPr>
          <w:p>
            <w:pPr>
              <w:spacing w:before="20" w:after="20"/>
            </w:pPr>
            <w:r>
              <w:t xml:space="preserve">6</w:t>
            </w:r>
          </w:p>
        </w:tc>
        <w:tc>
          <w:tcPr>
            <w:tcW w:w="3120" w:type="dxa"/>
            <w:vAlign w:val="center"/>
          </w:tcPr>
          <w:p>
            <w:pPr>
              <w:spacing w:before="20" w:after="20"/>
            </w:pPr>
            <w:r>
              <w:t xml:space="preserve">6%</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Pie chart</w:t>
      </w:r>
    </w:p>
    <w:p>
      <w:pPr/>
      <w:r>
        <w:rPr>
          <w:b/>
        </w:rPr>
        <w:t xml:space="preserve">Interpretation</w:t>
      </w:r>
    </w:p>
    <w:p>
      <w:pPr/>
      <w:r>
        <w:t xml:space="preserve">Agents remain the main source of awareness at 38 percent, followed by friends and relatives at 22 percent. Personal contact still carries weight, though online sources at 16 percent are on the rise.</w:t>
      </w:r>
    </w:p>
    <w:p>
      <w:pPr>
        <w:pStyle w:val="Heading2"/>
      </w:pPr>
      <w:r>
        <w:t xml:space="preserve">5.12 Awareness of Different Products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Awareness Level</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Fully aware</w:t>
            </w:r>
          </w:p>
        </w:tc>
        <w:tc>
          <w:tcPr>
            <w:tcW w:w="3120" w:type="dxa"/>
            <w:vAlign w:val="center"/>
          </w:tcPr>
          <w:p>
            <w:pPr>
              <w:spacing w:before="20" w:after="20"/>
            </w:pPr>
            <w:r>
              <w:t xml:space="preserve">26</w:t>
            </w:r>
          </w:p>
        </w:tc>
        <w:tc>
          <w:tcPr>
            <w:tcW w:w="3120" w:type="dxa"/>
            <w:vAlign w:val="center"/>
          </w:tcPr>
          <w:p>
            <w:pPr>
              <w:spacing w:before="20" w:after="20"/>
            </w:pPr>
            <w:r>
              <w:t xml:space="preserve">26%</w:t>
            </w:r>
          </w:p>
        </w:tc>
      </w:tr>
      <w:tr>
        <w:tc>
          <w:tcPr>
            <w:tcW w:w="3120" w:type="dxa"/>
            <w:vAlign w:val="center"/>
          </w:tcPr>
          <w:p>
            <w:pPr>
              <w:spacing w:before="20" w:after="20"/>
            </w:pPr>
            <w:r>
              <w:t xml:space="preserve">Moderately aware</w:t>
            </w:r>
          </w:p>
        </w:tc>
        <w:tc>
          <w:tcPr>
            <w:tcW w:w="3120" w:type="dxa"/>
            <w:vAlign w:val="center"/>
          </w:tcPr>
          <w:p>
            <w:pPr>
              <w:spacing w:before="20" w:after="20"/>
            </w:pPr>
            <w:r>
              <w:t xml:space="preserve">48</w:t>
            </w:r>
          </w:p>
        </w:tc>
        <w:tc>
          <w:tcPr>
            <w:tcW w:w="3120" w:type="dxa"/>
            <w:vAlign w:val="center"/>
          </w:tcPr>
          <w:p>
            <w:pPr>
              <w:spacing w:before="20" w:after="20"/>
            </w:pPr>
            <w:r>
              <w:t xml:space="preserve">48%</w:t>
            </w:r>
          </w:p>
        </w:tc>
      </w:tr>
      <w:tr>
        <w:tc>
          <w:tcPr>
            <w:tcW w:w="3120" w:type="dxa"/>
            <w:vAlign w:val="center"/>
          </w:tcPr>
          <w:p>
            <w:pPr>
              <w:spacing w:before="20" w:after="20"/>
            </w:pPr>
            <w:r>
              <w:t xml:space="preserve">Not aware</w:t>
            </w:r>
          </w:p>
        </w:tc>
        <w:tc>
          <w:tcPr>
            <w:tcW w:w="3120" w:type="dxa"/>
            <w:vAlign w:val="center"/>
          </w:tcPr>
          <w:p>
            <w:pPr>
              <w:spacing w:before="20" w:after="20"/>
            </w:pPr>
            <w:r>
              <w:t xml:space="preserve">26</w:t>
            </w:r>
          </w:p>
        </w:tc>
        <w:tc>
          <w:tcPr>
            <w:tcW w:w="3120" w:type="dxa"/>
            <w:vAlign w:val="center"/>
          </w:tcPr>
          <w:p>
            <w:pPr>
              <w:spacing w:before="20" w:after="20"/>
            </w:pPr>
            <w:r>
              <w:t xml:space="preserve">26%</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Column chart</w:t>
      </w:r>
    </w:p>
    <w:p>
      <w:pPr/>
      <w:r>
        <w:rPr>
          <w:b/>
        </w:rPr>
        <w:t xml:space="preserve">Interpretation</w:t>
      </w:r>
    </w:p>
    <w:p>
      <w:pPr/>
      <w:r>
        <w:t xml:space="preserve">Almost half, 48 percent, are only moderately aware of the range of products, and 26 percent are not aware at all. This points to a clear need for customer education by insurers.</w:t>
      </w:r>
    </w:p>
    <w:p>
      <w:pPr>
        <w:pStyle w:val="Heading2"/>
      </w:pPr>
      <w:r>
        <w:t xml:space="preserve">5.13 Annual Premium Paid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Annual Premium (Rs.)</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Below 10,000</w:t>
            </w:r>
          </w:p>
        </w:tc>
        <w:tc>
          <w:tcPr>
            <w:tcW w:w="3120" w:type="dxa"/>
            <w:vAlign w:val="center"/>
          </w:tcPr>
          <w:p>
            <w:pPr>
              <w:spacing w:before="20" w:after="20"/>
            </w:pPr>
            <w:r>
              <w:t xml:space="preserve">28</w:t>
            </w:r>
          </w:p>
        </w:tc>
        <w:tc>
          <w:tcPr>
            <w:tcW w:w="3120" w:type="dxa"/>
            <w:vAlign w:val="center"/>
          </w:tcPr>
          <w:p>
            <w:pPr>
              <w:spacing w:before="20" w:after="20"/>
            </w:pPr>
            <w:r>
              <w:t xml:space="preserve">28%</w:t>
            </w:r>
          </w:p>
        </w:tc>
      </w:tr>
      <w:tr>
        <w:tc>
          <w:tcPr>
            <w:tcW w:w="3120" w:type="dxa"/>
            <w:vAlign w:val="center"/>
          </w:tcPr>
          <w:p>
            <w:pPr>
              <w:spacing w:before="20" w:after="20"/>
            </w:pPr>
            <w:r>
              <w:t xml:space="preserve">10,000 - 25,000</w:t>
            </w:r>
          </w:p>
        </w:tc>
        <w:tc>
          <w:tcPr>
            <w:tcW w:w="3120" w:type="dxa"/>
            <w:vAlign w:val="center"/>
          </w:tcPr>
          <w:p>
            <w:pPr>
              <w:spacing w:before="20" w:after="20"/>
            </w:pPr>
            <w:r>
              <w:t xml:space="preserve">40</w:t>
            </w:r>
          </w:p>
        </w:tc>
        <w:tc>
          <w:tcPr>
            <w:tcW w:w="3120" w:type="dxa"/>
            <w:vAlign w:val="center"/>
          </w:tcPr>
          <w:p>
            <w:pPr>
              <w:spacing w:before="20" w:after="20"/>
            </w:pPr>
            <w:r>
              <w:t xml:space="preserve">40%</w:t>
            </w:r>
          </w:p>
        </w:tc>
      </w:tr>
      <w:tr>
        <w:tc>
          <w:tcPr>
            <w:tcW w:w="3120" w:type="dxa"/>
            <w:vAlign w:val="center"/>
          </w:tcPr>
          <w:p>
            <w:pPr>
              <w:spacing w:before="20" w:after="20"/>
            </w:pPr>
            <w:r>
              <w:t xml:space="preserve">25,001 - 50,000</w:t>
            </w:r>
          </w:p>
        </w:tc>
        <w:tc>
          <w:tcPr>
            <w:tcW w:w="3120" w:type="dxa"/>
            <w:vAlign w:val="center"/>
          </w:tcPr>
          <w:p>
            <w:pPr>
              <w:spacing w:before="20" w:after="20"/>
            </w:pPr>
            <w:r>
              <w:t xml:space="preserve">22</w:t>
            </w:r>
          </w:p>
        </w:tc>
        <w:tc>
          <w:tcPr>
            <w:tcW w:w="3120" w:type="dxa"/>
            <w:vAlign w:val="center"/>
          </w:tcPr>
          <w:p>
            <w:pPr>
              <w:spacing w:before="20" w:after="20"/>
            </w:pPr>
            <w:r>
              <w:t xml:space="preserve">22%</w:t>
            </w:r>
          </w:p>
        </w:tc>
      </w:tr>
      <w:tr>
        <w:tc>
          <w:tcPr>
            <w:tcW w:w="3120" w:type="dxa"/>
            <w:vAlign w:val="center"/>
          </w:tcPr>
          <w:p>
            <w:pPr>
              <w:spacing w:before="20" w:after="20"/>
            </w:pPr>
            <w:r>
              <w:t xml:space="preserve">Above 50,000</w:t>
            </w:r>
          </w:p>
        </w:tc>
        <w:tc>
          <w:tcPr>
            <w:tcW w:w="3120" w:type="dxa"/>
            <w:vAlign w:val="center"/>
          </w:tcPr>
          <w:p>
            <w:pPr>
              <w:spacing w:before="20" w:after="20"/>
            </w:pPr>
            <w:r>
              <w:t xml:space="preserve">10</w:t>
            </w:r>
          </w:p>
        </w:tc>
        <w:tc>
          <w:tcPr>
            <w:tcW w:w="3120" w:type="dxa"/>
            <w:vAlign w:val="center"/>
          </w:tcPr>
          <w:p>
            <w:pPr>
              <w:spacing w:before="20" w:after="20"/>
            </w:pPr>
            <w:r>
              <w:t xml:space="preserve">10%</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Bar chart</w:t>
      </w:r>
    </w:p>
    <w:p>
      <w:pPr/>
      <w:r>
        <w:rPr>
          <w:b/>
        </w:rPr>
        <w:t xml:space="preserve">Interpretation</w:t>
      </w:r>
    </w:p>
    <w:p>
      <w:pPr/>
      <w:r>
        <w:t xml:space="preserve">Most respondents, 40 percent, pay a premium of Rs. 10,000 to Rs. 25,000 a year, which fits the middle-income profile of the sample.</w:t>
      </w:r>
    </w:p>
    <w:p>
      <w:pPr>
        <w:pStyle w:val="Heading2"/>
      </w:pPr>
      <w:r>
        <w:t xml:space="preserve">5.14 Level of Satisfaction with the Insurer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Satisfaction Level</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Highly satisfied</w:t>
            </w:r>
          </w:p>
        </w:tc>
        <w:tc>
          <w:tcPr>
            <w:tcW w:w="3120" w:type="dxa"/>
            <w:vAlign w:val="center"/>
          </w:tcPr>
          <w:p>
            <w:pPr>
              <w:spacing w:before="20" w:after="20"/>
            </w:pPr>
            <w:r>
              <w:t xml:space="preserve">22</w:t>
            </w:r>
          </w:p>
        </w:tc>
        <w:tc>
          <w:tcPr>
            <w:tcW w:w="3120" w:type="dxa"/>
            <w:vAlign w:val="center"/>
          </w:tcPr>
          <w:p>
            <w:pPr>
              <w:spacing w:before="20" w:after="20"/>
            </w:pPr>
            <w:r>
              <w:t xml:space="preserve">22%</w:t>
            </w:r>
          </w:p>
        </w:tc>
      </w:tr>
      <w:tr>
        <w:tc>
          <w:tcPr>
            <w:tcW w:w="3120" w:type="dxa"/>
            <w:vAlign w:val="center"/>
          </w:tcPr>
          <w:p>
            <w:pPr>
              <w:spacing w:before="20" w:after="20"/>
            </w:pPr>
            <w:r>
              <w:t xml:space="preserve">Satisfied</w:t>
            </w:r>
          </w:p>
        </w:tc>
        <w:tc>
          <w:tcPr>
            <w:tcW w:w="3120" w:type="dxa"/>
            <w:vAlign w:val="center"/>
          </w:tcPr>
          <w:p>
            <w:pPr>
              <w:spacing w:before="20" w:after="20"/>
            </w:pPr>
            <w:r>
              <w:t xml:space="preserve">46</w:t>
            </w:r>
          </w:p>
        </w:tc>
        <w:tc>
          <w:tcPr>
            <w:tcW w:w="3120" w:type="dxa"/>
            <w:vAlign w:val="center"/>
          </w:tcPr>
          <w:p>
            <w:pPr>
              <w:spacing w:before="20" w:after="20"/>
            </w:pPr>
            <w:r>
              <w:t xml:space="preserve">46%</w:t>
            </w:r>
          </w:p>
        </w:tc>
      </w:tr>
      <w:tr>
        <w:tc>
          <w:tcPr>
            <w:tcW w:w="3120" w:type="dxa"/>
            <w:vAlign w:val="center"/>
          </w:tcPr>
          <w:p>
            <w:pPr>
              <w:spacing w:before="20" w:after="20"/>
            </w:pPr>
            <w:r>
              <w:t xml:space="preserve">Neutral</w:t>
            </w:r>
          </w:p>
        </w:tc>
        <w:tc>
          <w:tcPr>
            <w:tcW w:w="3120" w:type="dxa"/>
            <w:vAlign w:val="center"/>
          </w:tcPr>
          <w:p>
            <w:pPr>
              <w:spacing w:before="20" w:after="20"/>
            </w:pPr>
            <w:r>
              <w:t xml:space="preserve">20</w:t>
            </w:r>
          </w:p>
        </w:tc>
        <w:tc>
          <w:tcPr>
            <w:tcW w:w="3120" w:type="dxa"/>
            <w:vAlign w:val="center"/>
          </w:tcPr>
          <w:p>
            <w:pPr>
              <w:spacing w:before="20" w:after="20"/>
            </w:pPr>
            <w:r>
              <w:t xml:space="preserve">20%</w:t>
            </w:r>
          </w:p>
        </w:tc>
      </w:tr>
      <w:tr>
        <w:tc>
          <w:tcPr>
            <w:tcW w:w="3120" w:type="dxa"/>
            <w:vAlign w:val="center"/>
          </w:tcPr>
          <w:p>
            <w:pPr>
              <w:spacing w:before="20" w:after="20"/>
            </w:pPr>
            <w:r>
              <w:t xml:space="preserve">Dissatisfied</w:t>
            </w:r>
          </w:p>
        </w:tc>
        <w:tc>
          <w:tcPr>
            <w:tcW w:w="3120" w:type="dxa"/>
            <w:vAlign w:val="center"/>
          </w:tcPr>
          <w:p>
            <w:pPr>
              <w:spacing w:before="20" w:after="20"/>
            </w:pPr>
            <w:r>
              <w:t xml:space="preserve">8</w:t>
            </w:r>
          </w:p>
        </w:tc>
        <w:tc>
          <w:tcPr>
            <w:tcW w:w="3120" w:type="dxa"/>
            <w:vAlign w:val="center"/>
          </w:tcPr>
          <w:p>
            <w:pPr>
              <w:spacing w:before="20" w:after="20"/>
            </w:pPr>
            <w:r>
              <w:t xml:space="preserve">8%</w:t>
            </w:r>
          </w:p>
        </w:tc>
      </w:tr>
      <w:tr>
        <w:tc>
          <w:tcPr>
            <w:tcW w:w="3120" w:type="dxa"/>
            <w:vAlign w:val="center"/>
          </w:tcPr>
          <w:p>
            <w:pPr>
              <w:spacing w:before="20" w:after="20"/>
            </w:pPr>
            <w:r>
              <w:t xml:space="preserve">Highly dissatisfied</w:t>
            </w:r>
          </w:p>
        </w:tc>
        <w:tc>
          <w:tcPr>
            <w:tcW w:w="3120" w:type="dxa"/>
            <w:vAlign w:val="center"/>
          </w:tcPr>
          <w:p>
            <w:pPr>
              <w:spacing w:before="20" w:after="20"/>
            </w:pPr>
            <w:r>
              <w:t xml:space="preserve">4</w:t>
            </w:r>
          </w:p>
        </w:tc>
        <w:tc>
          <w:tcPr>
            <w:tcW w:w="3120" w:type="dxa"/>
            <w:vAlign w:val="center"/>
          </w:tcPr>
          <w:p>
            <w:pPr>
              <w:spacing w:before="20" w:after="20"/>
            </w:pPr>
            <w:r>
              <w:t xml:space="preserve">4%</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Column chart</w:t>
      </w:r>
    </w:p>
    <w:p>
      <w:pPr/>
      <w:r>
        <w:rPr>
          <w:b/>
        </w:rPr>
        <w:t xml:space="preserve">Interpretation</w:t>
      </w:r>
    </w:p>
    <w:p>
      <w:pPr/>
      <w:r>
        <w:t xml:space="preserve">Taken together, 68 percent are satisfied or highly satisfied, while 12 percent are dissatisfied. The mood is positive, with room to win over the neutral and dissatisfied groups through better service.</w:t>
      </w:r>
    </w:p>
    <w:p>
      <w:pPr>
        <w:pStyle w:val="Heading2"/>
      </w:pPr>
      <w:r>
        <w:t xml:space="preserve">5.15 Willingness to Recommend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3120"/>
        <w:gridCol w:w="3120"/>
        <w:gridCol w:w="3120"/>
      </w:tblGrid>
      <w:tr>
        <w:trPr>
          <w:tblHeader/>
        </w:trPr>
        <w:tc>
          <w:tcPr>
            <w:tcW w:w="3120" w:type="dxa"/>
            <w:shd w:val="clear" w:color="auto" w:fill="1F4E78"/>
            <w:vAlign w:val="center"/>
          </w:tcPr>
          <w:p>
            <w:pPr>
              <w:spacing w:before="20" w:after="20"/>
            </w:pPr>
            <w:r>
              <w:rPr>
                <w:b/>
                <w:color w:val="FFFFFF"/>
              </w:rPr>
              <w:t xml:space="preserve">Response</w:t>
            </w:r>
          </w:p>
        </w:tc>
        <w:tc>
          <w:tcPr>
            <w:tcW w:w="3120" w:type="dxa"/>
            <w:shd w:val="clear" w:color="auto" w:fill="1F4E78"/>
            <w:vAlign w:val="center"/>
          </w:tcPr>
          <w:p>
            <w:pPr>
              <w:spacing w:before="20" w:after="20"/>
            </w:pPr>
            <w:r>
              <w:rPr>
                <w:b/>
                <w:color w:val="FFFFFF"/>
              </w:rPr>
              <w:t xml:space="preserve">Respondents</w:t>
            </w:r>
          </w:p>
        </w:tc>
        <w:tc>
          <w:tcPr>
            <w:tcW w:w="3120" w:type="dxa"/>
            <w:shd w:val="clear" w:color="auto" w:fill="1F4E78"/>
            <w:vAlign w:val="center"/>
          </w:tcPr>
          <w:p>
            <w:pPr>
              <w:spacing w:before="20" w:after="20"/>
            </w:pPr>
            <w:r>
              <w:rPr>
                <w:b/>
                <w:color w:val="FFFFFF"/>
              </w:rPr>
              <w:t xml:space="preserve">Percentage</w:t>
            </w:r>
          </w:p>
        </w:tc>
      </w:tr>
      <w:tr>
        <w:tc>
          <w:tcPr>
            <w:tcW w:w="3120" w:type="dxa"/>
            <w:vAlign w:val="center"/>
          </w:tcPr>
          <w:p>
            <w:pPr>
              <w:spacing w:before="20" w:after="20"/>
            </w:pPr>
            <w:r>
              <w:t xml:space="preserve">Yes</w:t>
            </w:r>
          </w:p>
        </w:tc>
        <w:tc>
          <w:tcPr>
            <w:tcW w:w="3120" w:type="dxa"/>
            <w:vAlign w:val="center"/>
          </w:tcPr>
          <w:p>
            <w:pPr>
              <w:spacing w:before="20" w:after="20"/>
            </w:pPr>
            <w:r>
              <w:t xml:space="preserve">78</w:t>
            </w:r>
          </w:p>
        </w:tc>
        <w:tc>
          <w:tcPr>
            <w:tcW w:w="3120" w:type="dxa"/>
            <w:vAlign w:val="center"/>
          </w:tcPr>
          <w:p>
            <w:pPr>
              <w:spacing w:before="20" w:after="20"/>
            </w:pPr>
            <w:r>
              <w:t xml:space="preserve">78%</w:t>
            </w:r>
          </w:p>
        </w:tc>
      </w:tr>
      <w:tr>
        <w:tc>
          <w:tcPr>
            <w:tcW w:w="3120" w:type="dxa"/>
            <w:vAlign w:val="center"/>
          </w:tcPr>
          <w:p>
            <w:pPr>
              <w:spacing w:before="20" w:after="20"/>
            </w:pPr>
            <w:r>
              <w:t xml:space="preserve">No</w:t>
            </w:r>
          </w:p>
        </w:tc>
        <w:tc>
          <w:tcPr>
            <w:tcW w:w="3120" w:type="dxa"/>
            <w:vAlign w:val="center"/>
          </w:tcPr>
          <w:p>
            <w:pPr>
              <w:spacing w:before="20" w:after="20"/>
            </w:pPr>
            <w:r>
              <w:t xml:space="preserve">9</w:t>
            </w:r>
          </w:p>
        </w:tc>
        <w:tc>
          <w:tcPr>
            <w:tcW w:w="3120" w:type="dxa"/>
            <w:vAlign w:val="center"/>
          </w:tcPr>
          <w:p>
            <w:pPr>
              <w:spacing w:before="20" w:after="20"/>
            </w:pPr>
            <w:r>
              <w:t xml:space="preserve">9%</w:t>
            </w:r>
          </w:p>
        </w:tc>
      </w:tr>
      <w:tr>
        <w:tc>
          <w:tcPr>
            <w:tcW w:w="3120" w:type="dxa"/>
            <w:vAlign w:val="center"/>
          </w:tcPr>
          <w:p>
            <w:pPr>
              <w:spacing w:before="20" w:after="20"/>
            </w:pPr>
            <w:r>
              <w:t xml:space="preserve">Maybe</w:t>
            </w:r>
          </w:p>
        </w:tc>
        <w:tc>
          <w:tcPr>
            <w:tcW w:w="3120" w:type="dxa"/>
            <w:vAlign w:val="center"/>
          </w:tcPr>
          <w:p>
            <w:pPr>
              <w:spacing w:before="20" w:after="20"/>
            </w:pPr>
            <w:r>
              <w:t xml:space="preserve">13</w:t>
            </w:r>
          </w:p>
        </w:tc>
        <w:tc>
          <w:tcPr>
            <w:tcW w:w="3120" w:type="dxa"/>
            <w:vAlign w:val="center"/>
          </w:tcPr>
          <w:p>
            <w:pPr>
              <w:spacing w:before="20" w:after="20"/>
            </w:pPr>
            <w:r>
              <w:t xml:space="preserve">13%</w:t>
            </w:r>
          </w:p>
        </w:tc>
      </w:tr>
      <w:tr>
        <w:tc>
          <w:tcPr>
            <w:tcW w:w="3120" w:type="dxa"/>
            <w:vAlign w:val="center"/>
          </w:tcPr>
          <w:p>
            <w:pPr>
              <w:spacing w:before="20" w:after="20"/>
            </w:pPr>
            <w:r>
              <w:t xml:space="preserve">Total</w:t>
            </w:r>
          </w:p>
        </w:tc>
        <w:tc>
          <w:tcPr>
            <w:tcW w:w="3120" w:type="dxa"/>
            <w:vAlign w:val="center"/>
          </w:tcPr>
          <w:p>
            <w:pPr>
              <w:spacing w:before="20" w:after="20"/>
            </w:pPr>
            <w:r>
              <w:t xml:space="preserve">100</w:t>
            </w:r>
          </w:p>
        </w:tc>
        <w:tc>
          <w:tcPr>
            <w:tcW w:w="3120" w:type="dxa"/>
            <w:vAlign w:val="center"/>
          </w:tcPr>
          <w:p>
            <w:pPr>
              <w:spacing w:before="20" w:after="20"/>
            </w:pPr>
            <w:r>
              <w:t xml:space="preserve">100%</w:t>
            </w:r>
          </w:p>
        </w:tc>
      </w:tr>
    </w:tbl>
    <w:p>
      <w:pPr>
        <w:spacing w:after="120"/>
      </w:pPr>
    </w:p>
    <w:p>
      <w:pPr/>
      <w:r>
        <w:t xml:space="preserve">Suggested chart: Pie chart</w:t>
      </w:r>
    </w:p>
    <w:p>
      <w:pPr/>
      <w:r>
        <w:rPr>
          <w:b/>
        </w:rPr>
        <w:t xml:space="preserve">Interpretation</w:t>
      </w:r>
    </w:p>
    <w:p>
      <w:pPr/>
      <w:r>
        <w:t xml:space="preserve">A strong 78 percent would recommend life insurance to others, which reflects a generally positive view of it as a protection-and-savings instrument.</w:t>
      </w:r>
    </w:p>
    <w:p>
      <w:pPr>
        <w:pStyle w:val="Heading2"/>
      </w:pPr>
      <w:r>
        <w:t xml:space="preserve">5.16 Weighted Average Score for Satisfaction</w:t>
      </w:r>
    </w:p>
    <w:p>
      <w:pPr/>
      <w:r>
        <w:t xml:space="preserve">To express overall satisfaction as a single number, each level is given a weight from 5 (highly satisfied) down to 1 (highly dissatisfied). The score for each level is the weight multiplied by the number of respondents; the weighted average is the total score divided by 100.</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2340"/>
        <w:gridCol w:w="2340"/>
        <w:gridCol w:w="2340"/>
        <w:gridCol w:w="2340"/>
      </w:tblGrid>
      <w:tr>
        <w:trPr>
          <w:tblHeader/>
        </w:trPr>
        <w:tc>
          <w:tcPr>
            <w:tcW w:w="2340" w:type="dxa"/>
            <w:shd w:val="clear" w:color="auto" w:fill="1F4E78"/>
            <w:vAlign w:val="center"/>
          </w:tcPr>
          <w:p>
            <w:pPr>
              <w:spacing w:before="20" w:after="20"/>
            </w:pPr>
            <w:r>
              <w:rPr>
                <w:b/>
                <w:color w:val="FFFFFF"/>
              </w:rPr>
              <w:t xml:space="preserve">Satisfaction Level</w:t>
            </w:r>
          </w:p>
        </w:tc>
        <w:tc>
          <w:tcPr>
            <w:tcW w:w="2340" w:type="dxa"/>
            <w:shd w:val="clear" w:color="auto" w:fill="1F4E78"/>
            <w:vAlign w:val="center"/>
          </w:tcPr>
          <w:p>
            <w:pPr>
              <w:spacing w:before="20" w:after="20"/>
            </w:pPr>
            <w:r>
              <w:rPr>
                <w:b/>
                <w:color w:val="FFFFFF"/>
              </w:rPr>
              <w:t xml:space="preserve">Weight (W)</w:t>
            </w:r>
          </w:p>
        </w:tc>
        <w:tc>
          <w:tcPr>
            <w:tcW w:w="2340" w:type="dxa"/>
            <w:shd w:val="clear" w:color="auto" w:fill="1F4E78"/>
            <w:vAlign w:val="center"/>
          </w:tcPr>
          <w:p>
            <w:pPr>
              <w:spacing w:before="20" w:after="20"/>
            </w:pPr>
            <w:r>
              <w:rPr>
                <w:b/>
                <w:color w:val="FFFFFF"/>
              </w:rPr>
              <w:t xml:space="preserve">Respondents (F)</w:t>
            </w:r>
          </w:p>
        </w:tc>
        <w:tc>
          <w:tcPr>
            <w:tcW w:w="2340" w:type="dxa"/>
            <w:shd w:val="clear" w:color="auto" w:fill="1F4E78"/>
            <w:vAlign w:val="center"/>
          </w:tcPr>
          <w:p>
            <w:pPr>
              <w:spacing w:before="20" w:after="20"/>
            </w:pPr>
            <w:r>
              <w:rPr>
                <w:b/>
                <w:color w:val="FFFFFF"/>
              </w:rPr>
              <w:t xml:space="preserve">Score (W x F)</w:t>
            </w:r>
          </w:p>
        </w:tc>
      </w:tr>
      <w:tr>
        <w:tc>
          <w:tcPr>
            <w:tcW w:w="2340" w:type="dxa"/>
            <w:vAlign w:val="center"/>
          </w:tcPr>
          <w:p>
            <w:pPr>
              <w:spacing w:before="20" w:after="20"/>
            </w:pPr>
            <w:r>
              <w:t xml:space="preserve">Highly satisfied</w:t>
            </w:r>
          </w:p>
        </w:tc>
        <w:tc>
          <w:tcPr>
            <w:tcW w:w="2340" w:type="dxa"/>
            <w:vAlign w:val="center"/>
          </w:tcPr>
          <w:p>
            <w:pPr>
              <w:spacing w:before="20" w:after="20"/>
            </w:pPr>
            <w:r>
              <w:t xml:space="preserve">5</w:t>
            </w:r>
          </w:p>
        </w:tc>
        <w:tc>
          <w:tcPr>
            <w:tcW w:w="2340" w:type="dxa"/>
            <w:vAlign w:val="center"/>
          </w:tcPr>
          <w:p>
            <w:pPr>
              <w:spacing w:before="20" w:after="20"/>
            </w:pPr>
            <w:r>
              <w:t xml:space="preserve">22</w:t>
            </w:r>
          </w:p>
        </w:tc>
        <w:tc>
          <w:tcPr>
            <w:tcW w:w="2340" w:type="dxa"/>
            <w:vAlign w:val="center"/>
          </w:tcPr>
          <w:p>
            <w:pPr>
              <w:spacing w:before="20" w:after="20"/>
            </w:pPr>
            <w:r>
              <w:t xml:space="preserve">110</w:t>
            </w:r>
          </w:p>
        </w:tc>
      </w:tr>
      <w:tr>
        <w:tc>
          <w:tcPr>
            <w:tcW w:w="2340" w:type="dxa"/>
            <w:vAlign w:val="center"/>
          </w:tcPr>
          <w:p>
            <w:pPr>
              <w:spacing w:before="20" w:after="20"/>
            </w:pPr>
            <w:r>
              <w:t xml:space="preserve">Satisfied</w:t>
            </w:r>
          </w:p>
        </w:tc>
        <w:tc>
          <w:tcPr>
            <w:tcW w:w="2340" w:type="dxa"/>
            <w:vAlign w:val="center"/>
          </w:tcPr>
          <w:p>
            <w:pPr>
              <w:spacing w:before="20" w:after="20"/>
            </w:pPr>
            <w:r>
              <w:t xml:space="preserve">4</w:t>
            </w:r>
          </w:p>
        </w:tc>
        <w:tc>
          <w:tcPr>
            <w:tcW w:w="2340" w:type="dxa"/>
            <w:vAlign w:val="center"/>
          </w:tcPr>
          <w:p>
            <w:pPr>
              <w:spacing w:before="20" w:after="20"/>
            </w:pPr>
            <w:r>
              <w:t xml:space="preserve">46</w:t>
            </w:r>
          </w:p>
        </w:tc>
        <w:tc>
          <w:tcPr>
            <w:tcW w:w="2340" w:type="dxa"/>
            <w:vAlign w:val="center"/>
          </w:tcPr>
          <w:p>
            <w:pPr>
              <w:spacing w:before="20" w:after="20"/>
            </w:pPr>
            <w:r>
              <w:t xml:space="preserve">184</w:t>
            </w:r>
          </w:p>
        </w:tc>
      </w:tr>
      <w:tr>
        <w:tc>
          <w:tcPr>
            <w:tcW w:w="2340" w:type="dxa"/>
            <w:vAlign w:val="center"/>
          </w:tcPr>
          <w:p>
            <w:pPr>
              <w:spacing w:before="20" w:after="20"/>
            </w:pPr>
            <w:r>
              <w:t xml:space="preserve">Neutral</w:t>
            </w:r>
          </w:p>
        </w:tc>
        <w:tc>
          <w:tcPr>
            <w:tcW w:w="2340" w:type="dxa"/>
            <w:vAlign w:val="center"/>
          </w:tcPr>
          <w:p>
            <w:pPr>
              <w:spacing w:before="20" w:after="20"/>
            </w:pPr>
            <w:r>
              <w:t xml:space="preserve">3</w:t>
            </w:r>
          </w:p>
        </w:tc>
        <w:tc>
          <w:tcPr>
            <w:tcW w:w="2340" w:type="dxa"/>
            <w:vAlign w:val="center"/>
          </w:tcPr>
          <w:p>
            <w:pPr>
              <w:spacing w:before="20" w:after="20"/>
            </w:pPr>
            <w:r>
              <w:t xml:space="preserve">20</w:t>
            </w:r>
          </w:p>
        </w:tc>
        <w:tc>
          <w:tcPr>
            <w:tcW w:w="2340" w:type="dxa"/>
            <w:vAlign w:val="center"/>
          </w:tcPr>
          <w:p>
            <w:pPr>
              <w:spacing w:before="20" w:after="20"/>
            </w:pPr>
            <w:r>
              <w:t xml:space="preserve">60</w:t>
            </w:r>
          </w:p>
        </w:tc>
      </w:tr>
      <w:tr>
        <w:tc>
          <w:tcPr>
            <w:tcW w:w="2340" w:type="dxa"/>
            <w:vAlign w:val="center"/>
          </w:tcPr>
          <w:p>
            <w:pPr>
              <w:spacing w:before="20" w:after="20"/>
            </w:pPr>
            <w:r>
              <w:t xml:space="preserve">Dissatisfied</w:t>
            </w:r>
          </w:p>
        </w:tc>
        <w:tc>
          <w:tcPr>
            <w:tcW w:w="2340" w:type="dxa"/>
            <w:vAlign w:val="center"/>
          </w:tcPr>
          <w:p>
            <w:pPr>
              <w:spacing w:before="20" w:after="20"/>
            </w:pPr>
            <w:r>
              <w:t xml:space="preserve">2</w:t>
            </w:r>
          </w:p>
        </w:tc>
        <w:tc>
          <w:tcPr>
            <w:tcW w:w="2340" w:type="dxa"/>
            <w:vAlign w:val="center"/>
          </w:tcPr>
          <w:p>
            <w:pPr>
              <w:spacing w:before="20" w:after="20"/>
            </w:pPr>
            <w:r>
              <w:t xml:space="preserve">8</w:t>
            </w:r>
          </w:p>
        </w:tc>
        <w:tc>
          <w:tcPr>
            <w:tcW w:w="2340" w:type="dxa"/>
            <w:vAlign w:val="center"/>
          </w:tcPr>
          <w:p>
            <w:pPr>
              <w:spacing w:before="20" w:after="20"/>
            </w:pPr>
            <w:r>
              <w:t xml:space="preserve">16</w:t>
            </w:r>
          </w:p>
        </w:tc>
      </w:tr>
      <w:tr>
        <w:tc>
          <w:tcPr>
            <w:tcW w:w="2340" w:type="dxa"/>
            <w:vAlign w:val="center"/>
          </w:tcPr>
          <w:p>
            <w:pPr>
              <w:spacing w:before="20" w:after="20"/>
            </w:pPr>
            <w:r>
              <w:t xml:space="preserve">Highly dissatisfied</w:t>
            </w:r>
          </w:p>
        </w:tc>
        <w:tc>
          <w:tcPr>
            <w:tcW w:w="2340" w:type="dxa"/>
            <w:vAlign w:val="center"/>
          </w:tcPr>
          <w:p>
            <w:pPr>
              <w:spacing w:before="20" w:after="20"/>
            </w:pPr>
            <w:r>
              <w:t xml:space="preserve">1</w:t>
            </w:r>
          </w:p>
        </w:tc>
        <w:tc>
          <w:tcPr>
            <w:tcW w:w="2340" w:type="dxa"/>
            <w:vAlign w:val="center"/>
          </w:tcPr>
          <w:p>
            <w:pPr>
              <w:spacing w:before="20" w:after="20"/>
            </w:pPr>
            <w:r>
              <w:t xml:space="preserve">4</w:t>
            </w:r>
          </w:p>
        </w:tc>
        <w:tc>
          <w:tcPr>
            <w:tcW w:w="2340" w:type="dxa"/>
            <w:vAlign w:val="center"/>
          </w:tcPr>
          <w:p>
            <w:pPr>
              <w:spacing w:before="20" w:after="20"/>
            </w:pPr>
            <w:r>
              <w:t xml:space="preserve">4</w:t>
            </w:r>
          </w:p>
        </w:tc>
      </w:tr>
      <w:tr>
        <w:tc>
          <w:tcPr>
            <w:tcW w:w="2340" w:type="dxa"/>
            <w:vAlign w:val="center"/>
          </w:tcPr>
          <w:p>
            <w:pPr>
              <w:spacing w:before="20" w:after="20"/>
            </w:pPr>
            <w:r>
              <w:t xml:space="preserve">Total</w:t>
            </w:r>
          </w:p>
        </w:tc>
        <w:tc>
          <w:tcPr>
            <w:tcW w:w="2340" w:type="dxa"/>
            <w:vAlign w:val="center"/>
          </w:tcPr>
          <w:p>
            <w:pPr>
              <w:spacing w:before="20" w:after="20"/>
            </w:pPr>
            <w:r>
              <w:t xml:space="preserve"/>
            </w:r>
          </w:p>
        </w:tc>
        <w:tc>
          <w:tcPr>
            <w:tcW w:w="2340" w:type="dxa"/>
            <w:vAlign w:val="center"/>
          </w:tcPr>
          <w:p>
            <w:pPr>
              <w:spacing w:before="20" w:after="20"/>
            </w:pPr>
            <w:r>
              <w:t xml:space="preserve">100</w:t>
            </w:r>
          </w:p>
        </w:tc>
        <w:tc>
          <w:tcPr>
            <w:tcW w:w="2340" w:type="dxa"/>
            <w:vAlign w:val="center"/>
          </w:tcPr>
          <w:p>
            <w:pPr>
              <w:spacing w:before="20" w:after="20"/>
            </w:pPr>
            <w:r>
              <w:t xml:space="preserve">374</w:t>
            </w:r>
          </w:p>
        </w:tc>
      </w:tr>
    </w:tbl>
    <w:p>
      <w:pPr>
        <w:spacing w:after="120"/>
      </w:pPr>
    </w:p>
    <w:p>
      <w:pPr/>
      <w:r>
        <w:t xml:space="preserve">Weighted average = 374 / 100 = 3.74 on a 5-point scale. A score of 3.74 sits between “neutral” and “satisfied”, leaning towards satisfied. This confirms a positive but improvable level of satisfaction among investors.</w:t>
      </w:r>
    </w:p>
    <w:p>
      <w:pPr>
        <w:pStyle w:val="Heading2"/>
      </w:pPr>
      <w:r>
        <w:t xml:space="preserve">5.17 Hypothesis Testing - Chi-square Test</w:t>
      </w:r>
    </w:p>
    <w:p>
      <w:pPr/>
      <w:r>
        <w:t xml:space="preserve">Hypothesis set 1 is tested here to check whether the age of investors and their preference for the type of insurer are associated. For clarity the data is grouped into two age classes and two preference classes.</w:t>
      </w:r>
    </w:p>
    <w:p>
      <w:pPr/>
      <w:r>
        <w:rPr>
          <w:b/>
        </w:rPr>
        <w:t xml:space="preserve">H0: There is no significant association between age and insurer preference.</w:t>
      </w:r>
    </w:p>
    <w:p>
      <w:pPr/>
      <w:r>
        <w:rPr>
          <w:b/>
        </w:rPr>
        <w:t xml:space="preserve">H1: There is a significant association between age and insurer preference.</w:t>
      </w:r>
    </w:p>
    <w:p>
      <w:pPr/>
      <w:r>
        <w:t xml:space="preserve">Observed frequencies (illustrative):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2340"/>
        <w:gridCol w:w="2340"/>
        <w:gridCol w:w="2340"/>
        <w:gridCol w:w="2340"/>
      </w:tblGrid>
      <w:tr>
        <w:trPr>
          <w:tblHeader/>
        </w:trPr>
        <w:tc>
          <w:tcPr>
            <w:tcW w:w="2340" w:type="dxa"/>
            <w:shd w:val="clear" w:color="auto" w:fill="1F4E78"/>
            <w:vAlign w:val="center"/>
          </w:tcPr>
          <w:p>
            <w:pPr>
              <w:spacing w:before="20" w:after="20"/>
            </w:pPr>
            <w:r>
              <w:rPr>
                <w:b/>
                <w:color w:val="FFFFFF"/>
              </w:rPr>
              <w:t xml:space="preserve">Age Group</w:t>
            </w:r>
          </w:p>
        </w:tc>
        <w:tc>
          <w:tcPr>
            <w:tcW w:w="2340" w:type="dxa"/>
            <w:shd w:val="clear" w:color="auto" w:fill="1F4E78"/>
            <w:vAlign w:val="center"/>
          </w:tcPr>
          <w:p>
            <w:pPr>
              <w:spacing w:before="20" w:after="20"/>
            </w:pPr>
            <w:r>
              <w:rPr>
                <w:b/>
                <w:color w:val="FFFFFF"/>
              </w:rPr>
              <w:t xml:space="preserve">Prefer LIC</w:t>
            </w:r>
          </w:p>
        </w:tc>
        <w:tc>
          <w:tcPr>
            <w:tcW w:w="2340" w:type="dxa"/>
            <w:shd w:val="clear" w:color="auto" w:fill="1F4E78"/>
            <w:vAlign w:val="center"/>
          </w:tcPr>
          <w:p>
            <w:pPr>
              <w:spacing w:before="20" w:after="20"/>
            </w:pPr>
            <w:r>
              <w:rPr>
                <w:b/>
                <w:color w:val="FFFFFF"/>
              </w:rPr>
              <w:t xml:space="preserve">Prefer Private</w:t>
            </w:r>
          </w:p>
        </w:tc>
        <w:tc>
          <w:tcPr>
            <w:tcW w:w="2340" w:type="dxa"/>
            <w:shd w:val="clear" w:color="auto" w:fill="1F4E78"/>
            <w:vAlign w:val="center"/>
          </w:tcPr>
          <w:p>
            <w:pPr>
              <w:spacing w:before="20" w:after="20"/>
            </w:pPr>
            <w:r>
              <w:rPr>
                <w:b/>
                <w:color w:val="FFFFFF"/>
              </w:rPr>
              <w:t xml:space="preserve">Row Total</w:t>
            </w:r>
          </w:p>
        </w:tc>
      </w:tr>
      <w:tr>
        <w:tc>
          <w:tcPr>
            <w:tcW w:w="2340" w:type="dxa"/>
            <w:vAlign w:val="center"/>
          </w:tcPr>
          <w:p>
            <w:pPr>
              <w:spacing w:before="20" w:after="20"/>
            </w:pPr>
            <w:r>
              <w:t xml:space="preserve">Up to 35 years</w:t>
            </w:r>
          </w:p>
        </w:tc>
        <w:tc>
          <w:tcPr>
            <w:tcW w:w="2340" w:type="dxa"/>
            <w:vAlign w:val="center"/>
          </w:tcPr>
          <w:p>
            <w:pPr>
              <w:spacing w:before="20" w:after="20"/>
            </w:pPr>
            <w:r>
              <w:t xml:space="preserve">24</w:t>
            </w:r>
          </w:p>
        </w:tc>
        <w:tc>
          <w:tcPr>
            <w:tcW w:w="2340" w:type="dxa"/>
            <w:vAlign w:val="center"/>
          </w:tcPr>
          <w:p>
            <w:pPr>
              <w:spacing w:before="20" w:after="20"/>
            </w:pPr>
            <w:r>
              <w:t xml:space="preserve">28</w:t>
            </w:r>
          </w:p>
        </w:tc>
        <w:tc>
          <w:tcPr>
            <w:tcW w:w="2340" w:type="dxa"/>
            <w:vAlign w:val="center"/>
          </w:tcPr>
          <w:p>
            <w:pPr>
              <w:spacing w:before="20" w:after="20"/>
            </w:pPr>
            <w:r>
              <w:t xml:space="preserve">52</w:t>
            </w:r>
          </w:p>
        </w:tc>
      </w:tr>
      <w:tr>
        <w:tc>
          <w:tcPr>
            <w:tcW w:w="2340" w:type="dxa"/>
            <w:vAlign w:val="center"/>
          </w:tcPr>
          <w:p>
            <w:pPr>
              <w:spacing w:before="20" w:after="20"/>
            </w:pPr>
            <w:r>
              <w:t xml:space="preserve">Above 35 years</w:t>
            </w:r>
          </w:p>
        </w:tc>
        <w:tc>
          <w:tcPr>
            <w:tcW w:w="2340" w:type="dxa"/>
            <w:vAlign w:val="center"/>
          </w:tcPr>
          <w:p>
            <w:pPr>
              <w:spacing w:before="20" w:after="20"/>
            </w:pPr>
            <w:r>
              <w:t xml:space="preserve">30</w:t>
            </w:r>
          </w:p>
        </w:tc>
        <w:tc>
          <w:tcPr>
            <w:tcW w:w="2340" w:type="dxa"/>
            <w:vAlign w:val="center"/>
          </w:tcPr>
          <w:p>
            <w:pPr>
              <w:spacing w:before="20" w:after="20"/>
            </w:pPr>
            <w:r>
              <w:t xml:space="preserve">18</w:t>
            </w:r>
          </w:p>
        </w:tc>
        <w:tc>
          <w:tcPr>
            <w:tcW w:w="2340" w:type="dxa"/>
            <w:vAlign w:val="center"/>
          </w:tcPr>
          <w:p>
            <w:pPr>
              <w:spacing w:before="20" w:after="20"/>
            </w:pPr>
            <w:r>
              <w:t xml:space="preserve">48</w:t>
            </w:r>
          </w:p>
        </w:tc>
      </w:tr>
      <w:tr>
        <w:tc>
          <w:tcPr>
            <w:tcW w:w="2340" w:type="dxa"/>
            <w:vAlign w:val="center"/>
          </w:tcPr>
          <w:p>
            <w:pPr>
              <w:spacing w:before="20" w:after="20"/>
            </w:pPr>
            <w:r>
              <w:t xml:space="preserve">Column Total</w:t>
            </w:r>
          </w:p>
        </w:tc>
        <w:tc>
          <w:tcPr>
            <w:tcW w:w="2340" w:type="dxa"/>
            <w:vAlign w:val="center"/>
          </w:tcPr>
          <w:p>
            <w:pPr>
              <w:spacing w:before="20" w:after="20"/>
            </w:pPr>
            <w:r>
              <w:t xml:space="preserve">54</w:t>
            </w:r>
          </w:p>
        </w:tc>
        <w:tc>
          <w:tcPr>
            <w:tcW w:w="2340" w:type="dxa"/>
            <w:vAlign w:val="center"/>
          </w:tcPr>
          <w:p>
            <w:pPr>
              <w:spacing w:before="20" w:after="20"/>
            </w:pPr>
            <w:r>
              <w:t xml:space="preserve">46</w:t>
            </w:r>
          </w:p>
        </w:tc>
        <w:tc>
          <w:tcPr>
            <w:tcW w:w="2340" w:type="dxa"/>
            <w:vAlign w:val="center"/>
          </w:tcPr>
          <w:p>
            <w:pPr>
              <w:spacing w:before="20" w:after="20"/>
            </w:pPr>
            <w:r>
              <w:t xml:space="preserve">100</w:t>
            </w:r>
          </w:p>
        </w:tc>
      </w:tr>
    </w:tbl>
    <w:p>
      <w:pPr>
        <w:spacing w:after="120"/>
      </w:pPr>
    </w:p>
    <w:p>
      <w:pPr/>
      <w:r>
        <w:t xml:space="preserve">Expected frequency for each cell = (row total x column total) / grand total. For example, the first cell is (52 x 54) / 100 = 28.08. The full set of expected values is 28.08, 23.92, 25.92, and 22.08.</w:t>
      </w:r>
    </w:p>
    <w:p>
      <w:pPr/>
      <w:r>
        <w:t xml:space="preserve">The Chi-square value is the sum of (observed minus expected) squared divided by expected across the four cells, which works out to about 2.98. With (rows minus 1) times (columns minus 1) equal to 1 degree of freedom, the table value at the 5 percent level is 3.84.</w:t>
      </w:r>
    </w:p>
    <w:p>
      <w:pPr/>
      <w:r>
        <w:t xml:space="preserve">Since the calculated value (2.98) is less than the table value (3.84), the null hypothesis is accepted at the 5 percent level. For this illustrative data set, age and insurer preference are not significantly associated. Recalculate this test with your own data, as your result may differ.</w:t>
      </w:r>
    </w:p>
    <w:p>
      <w:r>
        <w:br w:type="page"/>
      </w:r>
    </w:p>
    <w:p>
      <w:pPr>
        <w:pStyle w:val="Heading1"/>
      </w:pPr>
      <w:r>
        <w:t xml:space="preserve">CHAPTER 6: FINDINGS, SUGGESTIONS AND CONCLUSION</w:t>
      </w:r>
    </w:p>
    <w:p>
      <w:pPr>
        <w:pStyle w:val="Heading2"/>
      </w:pPr>
      <w:r>
        <w:t xml:space="preserve">6.1 Findings of the Study</w:t>
      </w:r>
    </w:p>
    <w:p>
      <w:pPr>
        <w:pStyle w:val="ListNumber"/>
      </w:pPr>
      <w:r>
        <w:t xml:space="preserve">Men slightly outnumber women in the sample, at 58 percent against 42 percent.</w:t>
      </w:r>
    </w:p>
    <w:p>
      <w:pPr>
        <w:pStyle w:val="ListNumber"/>
      </w:pPr>
      <w:r>
        <w:t xml:space="preserve">The 25 to 35 age group is the most active, making up 34 percent of respondents.</w:t>
      </w:r>
    </w:p>
    <w:p>
      <w:pPr>
        <w:pStyle w:val="ListNumber"/>
      </w:pPr>
      <w:r>
        <w:t xml:space="preserve">The sample is largely educated, with 46 percent graduates and 32 percent post-graduates.</w:t>
      </w:r>
    </w:p>
    <w:p>
      <w:pPr>
        <w:pStyle w:val="ListNumber"/>
      </w:pPr>
      <w:r>
        <w:t xml:space="preserve">Private sector employees form the largest occupational group at 38 percent.</w:t>
      </w:r>
    </w:p>
    <w:p>
      <w:pPr>
        <w:pStyle w:val="ListNumber"/>
      </w:pPr>
      <w:r>
        <w:t xml:space="preserve">The middle-income band of Rs. 25,000 to Rs. 50,000 a month dominates, at 40 percent.</w:t>
      </w:r>
    </w:p>
    <w:p>
      <w:pPr>
        <w:pStyle w:val="ListNumber"/>
      </w:pPr>
      <w:r>
        <w:t xml:space="preserve">Coverage is high, with 84 percent of respondents already holding a policy.</w:t>
      </w:r>
    </w:p>
    <w:p>
      <w:pPr>
        <w:pStyle w:val="ListNumber"/>
      </w:pPr>
      <w:r>
        <w:t xml:space="preserve">Family protection is the leading reason to invest, cited by 36 percent.</w:t>
      </w:r>
    </w:p>
    <w:p>
      <w:pPr>
        <w:pStyle w:val="ListNumber"/>
      </w:pPr>
      <w:r>
        <w:t xml:space="preserve">LIC is the most preferred insurer at 54 percent, while private players together hold 46 percent.</w:t>
      </w:r>
    </w:p>
    <w:p>
      <w:pPr>
        <w:pStyle w:val="ListNumber"/>
      </w:pPr>
      <w:r>
        <w:t xml:space="preserve">Endowment plans are preferred by 30 percent, with term insurance next at 24 percent.</w:t>
      </w:r>
    </w:p>
    <w:p>
      <w:pPr>
        <w:pStyle w:val="ListNumber"/>
      </w:pPr>
      <w:r>
        <w:t xml:space="preserve">Safety is the most important factor before investing, for 30 percent of respondents.</w:t>
      </w:r>
    </w:p>
    <w:p>
      <w:pPr>
        <w:pStyle w:val="ListNumber"/>
      </w:pPr>
      <w:r>
        <w:t xml:space="preserve">Agents are the leading source of awareness, at 38 percent.</w:t>
      </w:r>
    </w:p>
    <w:p>
      <w:pPr>
        <w:pStyle w:val="ListNumber"/>
      </w:pPr>
      <w:r>
        <w:t xml:space="preserve">Product awareness is thin, with 48 percent only moderately aware and 26 percent not aware.</w:t>
      </w:r>
    </w:p>
    <w:p>
      <w:pPr>
        <w:pStyle w:val="ListNumber"/>
      </w:pPr>
      <w:r>
        <w:t xml:space="preserve">Most respondents, 40 percent, pay an annual premium of Rs. 10,000 to Rs. 25,000.</w:t>
      </w:r>
    </w:p>
    <w:p>
      <w:pPr>
        <w:pStyle w:val="ListNumber"/>
      </w:pPr>
      <w:r>
        <w:t xml:space="preserve">Satisfaction is positive, with a weighted average score of 3.74 on a 5-point scale.</w:t>
      </w:r>
    </w:p>
    <w:p>
      <w:pPr>
        <w:pStyle w:val="ListNumber"/>
      </w:pPr>
      <w:r>
        <w:t xml:space="preserve">A strong 78 percent would recommend life insurance to others.</w:t>
      </w:r>
    </w:p>
    <w:p>
      <w:pPr>
        <w:pStyle w:val="ListNumber"/>
      </w:pPr>
      <w:r>
        <w:t xml:space="preserve">The Chi-square test on the illustrative data showed no significant link between age and insurer preference.</w:t>
      </w:r>
    </w:p>
    <w:p>
      <w:pPr>
        <w:pStyle w:val="Heading2"/>
      </w:pPr>
      <w:r>
        <w:t xml:space="preserve">6.2 Suggestions</w:t>
      </w:r>
    </w:p>
    <w:p>
      <w:pPr>
        <w:pStyle w:val="ListNumber"/>
      </w:pPr>
      <w:r>
        <w:t xml:space="preserve">Run awareness and financial-literacy drives, since nearly three-quarters of respondents are only moderately aware or unaware of the products available, and explain plainly how protection plans differ from savings plans.</w:t>
      </w:r>
    </w:p>
    <w:p>
      <w:pPr>
        <w:pStyle w:val="ListNumber"/>
      </w:pPr>
      <w:r>
        <w:t xml:space="preserve">Promote affordable term plans more actively, because protection is the main motive yet term cover is not the most preferred plan.</w:t>
      </w:r>
    </w:p>
    <w:p>
      <w:pPr>
        <w:pStyle w:val="ListNumber"/>
      </w:pPr>
      <w:r>
        <w:t xml:space="preserve">Communicate returns, bonuses, and charges clearly, as investors place safety and returns high on their list.</w:t>
      </w:r>
    </w:p>
    <w:p>
      <w:pPr>
        <w:pStyle w:val="ListNumber"/>
      </w:pPr>
      <w:r>
        <w:t xml:space="preserve">Strengthen digital service, given that online sources already account for a notable share of awareness.</w:t>
      </w:r>
    </w:p>
    <w:p>
      <w:pPr>
        <w:pStyle w:val="ListNumber"/>
      </w:pPr>
      <w:r>
        <w:t xml:space="preserve">Settle claims quickly and without fuss, since prompt service lifts satisfaction and word-of-mouth.</w:t>
      </w:r>
    </w:p>
    <w:p>
      <w:pPr>
        <w:pStyle w:val="ListNumber"/>
      </w:pPr>
      <w:r>
        <w:t xml:space="preserve">Train and monitor agents so that the advice reaching customers is sound and honest.</w:t>
      </w:r>
    </w:p>
    <w:p>
      <w:pPr>
        <w:pStyle w:val="ListNumber"/>
      </w:pPr>
      <w:r>
        <w:t xml:space="preserve">Target the 16 percent without a policy, especially younger earners, through focused campaigns.</w:t>
      </w:r>
    </w:p>
    <w:p>
      <w:pPr>
        <w:pStyle w:val="ListNumber"/>
      </w:pPr>
      <w:r>
        <w:t xml:space="preserve">Design plans for specific needs and life stages, including child and retirement plans.</w:t>
      </w:r>
    </w:p>
    <w:p>
      <w:pPr>
        <w:pStyle w:val="Heading2"/>
      </w:pPr>
      <w:r>
        <w:t xml:space="preserve">6.3 Conclusion</w:t>
      </w:r>
    </w:p>
    <w:p>
      <w:pPr/>
      <w:r>
        <w:t xml:space="preserve">The study shows that investors treat life insurance as an important tool for both financial security and saving. Protecting the family stands out as the main reason to buy, with tax relief and savings following close behind.</w:t>
      </w:r>
    </w:p>
    <w:p>
      <w:pPr/>
      <w:r>
        <w:t xml:space="preserve">LIC continues to lead on preference because of the trust it has earned, but private insurers are gaining ground, particularly among younger and city-based buyers. The general view of life insurance is positive, seen in the satisfaction score of 3.74 and the high willingness to recommend. The clearest weakness is awareness: many policyholders understand little beyond the plan they already own.</w:t>
      </w:r>
    </w:p>
    <w:p>
      <w:pPr/>
      <w:r>
        <w:t xml:space="preserve">Insurers can build on this positive base by teaching customers more about their products, being open about returns and charges, settling claims promptly, and making digital service easier. With incomes rising and financial awareness growing, the life insurance market in India has room to grow further, provided the awareness gap is closed.</w:t>
      </w:r>
    </w:p>
    <w:p>
      <w:r>
        <w:br w:type="page"/>
      </w:r>
    </w:p>
    <w:p>
      <w:pPr>
        <w:pStyle w:val="Heading1"/>
      </w:pPr>
      <w:r>
        <w:t xml:space="preserve">LIMITATIONS OF THE STUDY</w:t>
      </w:r>
    </w:p>
    <w:p>
      <w:pPr>
        <w:pStyle w:val="ListNumber"/>
      </w:pPr>
      <w:r>
        <w:t xml:space="preserve">The study rests on 100 respondents, so the findings may not represent the whole population.</w:t>
      </w:r>
    </w:p>
    <w:p>
      <w:pPr>
        <w:pStyle w:val="ListNumber"/>
      </w:pPr>
      <w:r>
        <w:t xml:space="preserve">The fieldwork is confined to [City / Region], which limits how widely the results can be applied.</w:t>
      </w:r>
    </w:p>
    <w:p>
      <w:pPr>
        <w:pStyle w:val="ListNumber"/>
      </w:pPr>
      <w:r>
        <w:t xml:space="preserve">Convenience sampling was used, which can introduce some bias into the sample.</w:t>
      </w:r>
    </w:p>
    <w:p>
      <w:pPr>
        <w:pStyle w:val="ListNumber"/>
      </w:pPr>
      <w:r>
        <w:t xml:space="preserve">The accuracy of the findings depends on how honestly respondents answered.</w:t>
      </w:r>
    </w:p>
    <w:p>
      <w:pPr>
        <w:pStyle w:val="ListNumber"/>
      </w:pPr>
      <w:r>
        <w:t xml:space="preserve">The work was carried out over a limited period, which restricted the depth of analysis.</w:t>
      </w:r>
    </w:p>
    <w:p>
      <w:pPr>
        <w:pStyle w:val="ListNumber"/>
      </w:pPr>
      <w:r>
        <w:t xml:space="preserve">Some respondents were reluctant to share exact financial details.</w:t>
      </w:r>
    </w:p>
    <w:p>
      <w:r>
        <w:br w:type="page"/>
      </w:r>
    </w:p>
    <w:p>
      <w:pPr>
        <w:pStyle w:val="Heading1"/>
      </w:pPr>
      <w:r>
        <w:t xml:space="preserve">ANNEXURE - QUESTIONNAIRE</w:t>
      </w:r>
    </w:p>
    <w:p>
      <w:pPr/>
      <w:r>
        <w:t xml:space="preserve">Dear Respondent, I am [Your Name], a student of [College Name]. As part of my MBA internship project I am studying how investors view life insurance. Kindly spare a few minutes to answer the questions below. Your responses will be used only for academic purposes and will be kept confidential. Thank you.</w:t>
      </w:r>
    </w:p>
    <w:p>
      <w:pPr/>
      <w:r>
        <w:t xml:space="preserve">Name (optional): ____________________________</w:t>
      </w:r>
    </w:p>
    <w:p>
      <w:pPr/>
      <w:r>
        <w:rPr>
          <w:b/>
        </w:rPr>
        <w:t xml:space="preserve">1. Gender:</w:t>
      </w:r>
    </w:p>
    <w:p>
      <w:pPr/>
      <w:r>
        <w:t xml:space="preserve">Male / Female</w:t>
      </w:r>
    </w:p>
    <w:p>
      <w:pPr/>
      <w:r>
        <w:rPr>
          <w:b/>
        </w:rPr>
        <w:t xml:space="preserve">2. Age (years):</w:t>
      </w:r>
    </w:p>
    <w:p>
      <w:pPr/>
      <w:r>
        <w:t xml:space="preserve">Below 25 / 25-35 / 36-45 / 46-55 / Above 55</w:t>
      </w:r>
    </w:p>
    <w:p>
      <w:pPr/>
      <w:r>
        <w:rPr>
          <w:b/>
        </w:rPr>
        <w:t xml:space="preserve">3. Educational qualification:</w:t>
      </w:r>
    </w:p>
    <w:p>
      <w:pPr/>
      <w:r>
        <w:t xml:space="preserve">Up to Higher Secondary / Graduate / Post Graduate / Professional / Others</w:t>
      </w:r>
    </w:p>
    <w:p>
      <w:pPr/>
      <w:r>
        <w:rPr>
          <w:b/>
        </w:rPr>
        <w:t xml:space="preserve">4. Occupation:</w:t>
      </w:r>
    </w:p>
    <w:p>
      <w:pPr/>
      <w:r>
        <w:t xml:space="preserve">Government Employee / Private Employee / Business / Professional / Student / Others</w:t>
      </w:r>
    </w:p>
    <w:p>
      <w:pPr/>
      <w:r>
        <w:rPr>
          <w:b/>
        </w:rPr>
        <w:t xml:space="preserve">5. Monthly income (Rs.):</w:t>
      </w:r>
    </w:p>
    <w:p>
      <w:pPr/>
      <w:r>
        <w:t xml:space="preserve">Below 25,000 / 25,000-50,000 / 50,001-75,000 / Above 75,000</w:t>
      </w:r>
    </w:p>
    <w:p>
      <w:pPr/>
      <w:r>
        <w:rPr>
          <w:b/>
        </w:rPr>
        <w:t xml:space="preserve">6. Do you hold a life insurance policy?</w:t>
      </w:r>
    </w:p>
    <w:p>
      <w:pPr/>
      <w:r>
        <w:t xml:space="preserve">Yes / No</w:t>
      </w:r>
    </w:p>
    <w:p>
      <w:pPr/>
      <w:r>
        <w:rPr>
          <w:b/>
        </w:rPr>
        <w:t xml:space="preserve">7. Main purpose of investing in life insurance:</w:t>
      </w:r>
    </w:p>
    <w:p>
      <w:pPr/>
      <w:r>
        <w:t xml:space="preserve">Family security / Tax benefits / Savings / Retirement / Child's future</w:t>
      </w:r>
    </w:p>
    <w:p>
      <w:pPr/>
      <w:r>
        <w:rPr>
          <w:b/>
        </w:rPr>
        <w:t xml:space="preserve">8. Which company's policy do you prefer?</w:t>
      </w:r>
    </w:p>
    <w:p>
      <w:pPr/>
      <w:r>
        <w:t xml:space="preserve">LIC / HDFC Life / ICICI Prudential / SBI Life / Others</w:t>
      </w:r>
    </w:p>
    <w:p>
      <w:pPr/>
      <w:r>
        <w:rPr>
          <w:b/>
        </w:rPr>
        <w:t xml:space="preserve">9. Which type of plan do you prefer?</w:t>
      </w:r>
    </w:p>
    <w:p>
      <w:pPr/>
      <w:r>
        <w:t xml:space="preserve">Endowment / Term / Money-Back / ULIP / Pension</w:t>
      </w:r>
    </w:p>
    <w:p>
      <w:pPr/>
      <w:r>
        <w:rPr>
          <w:b/>
        </w:rPr>
        <w:t xml:space="preserve">10. Most important factor before investing:</w:t>
      </w:r>
    </w:p>
    <w:p>
      <w:pPr/>
      <w:r>
        <w:t xml:space="preserve">Safety / Returns / Company reputation / Tax benefits / Liquidity</w:t>
      </w:r>
    </w:p>
    <w:p>
      <w:pPr/>
      <w:r>
        <w:rPr>
          <w:b/>
        </w:rPr>
        <w:t xml:space="preserve">11. Main source of awareness:</w:t>
      </w:r>
    </w:p>
    <w:p>
      <w:pPr/>
      <w:r>
        <w:t xml:space="preserve">Agents / Friends &amp; Relatives / Advertisements / Internet / Bank</w:t>
      </w:r>
    </w:p>
    <w:p>
      <w:pPr/>
      <w:r>
        <w:rPr>
          <w:b/>
        </w:rPr>
        <w:t xml:space="preserve">12. Your awareness of different products:</w:t>
      </w:r>
    </w:p>
    <w:p>
      <w:pPr/>
      <w:r>
        <w:t xml:space="preserve">Fully aware / Moderately aware / Not aware</w:t>
      </w:r>
    </w:p>
    <w:p>
      <w:pPr/>
      <w:r>
        <w:rPr>
          <w:b/>
        </w:rPr>
        <w:t xml:space="preserve">13. Annual premium you pay (Rs.):</w:t>
      </w:r>
    </w:p>
    <w:p>
      <w:pPr/>
      <w:r>
        <w:t xml:space="preserve">Below 10,000 / 10,000-25,000 / 25,001-50,000 / Above 50,000</w:t>
      </w:r>
    </w:p>
    <w:p>
      <w:pPr/>
      <w:r>
        <w:rPr>
          <w:b/>
        </w:rPr>
        <w:t xml:space="preserve">14. Level of satisfaction with your insurer:</w:t>
      </w:r>
    </w:p>
    <w:p>
      <w:pPr/>
      <w:r>
        <w:t xml:space="preserve">Highly satisfied / Satisfied / Neutral / Dissatisfied / Highly dissatisfied</w:t>
      </w:r>
    </w:p>
    <w:p>
      <w:pPr/>
      <w:r>
        <w:rPr>
          <w:b/>
        </w:rPr>
        <w:t xml:space="preserve">15. Would you recommend life insurance to others?</w:t>
      </w:r>
    </w:p>
    <w:p>
      <w:pPr/>
      <w:r>
        <w:t xml:space="preserve">Yes / No / Maybe</w:t>
      </w:r>
    </w:p>
    <w:p>
      <w:pPr/>
      <w:r>
        <w:rPr>
          <w:b/>
        </w:rPr>
        <w:t xml:space="preserve">16. Any suggestions or comments:</w:t>
      </w:r>
    </w:p>
    <w:p>
      <w:pPr/>
      <w:r>
        <w:t xml:space="preserve">________________________________________________________________</w:t>
      </w:r>
    </w:p>
    <w:p>
      <w:pPr/>
      <w:r>
        <w:t xml:space="preserve">Thank you for your time and cooperation.</w:t>
      </w:r>
    </w:p>
    <w:p>
      <w:r>
        <w:br w:type="page"/>
      </w:r>
    </w:p>
    <w:p>
      <w:pPr>
        <w:pStyle w:val="Heading1"/>
      </w:pPr>
      <w:r>
        <w:t xml:space="preserve">BIBLIOGRAPHY</w:t>
      </w:r>
    </w:p>
    <w:p>
      <w:pPr/>
      <w:r>
        <w:rPr>
          <w:b/>
        </w:rPr>
        <w:t xml:space="preserve">Note: replace and expand these entries with the sources you actually used, and format them in the style your college requires (APA or MLA). Check each one before submitting.</w:t>
      </w:r>
    </w:p>
    <w:p>
      <w:pPr/>
      <w:r>
        <w:rPr>
          <w:b/>
        </w:rPr>
        <w:t xml:space="preserve">Books</w:t>
      </w:r>
    </w:p>
    <w:p>
      <w:pPr>
        <w:pStyle w:val="ListNumber"/>
      </w:pPr>
      <w:r>
        <w:t xml:space="preserve">Gupta, P. K. - Insurance and Risk Management, Himalaya Publishing House.</w:t>
      </w:r>
    </w:p>
    <w:p>
      <w:pPr>
        <w:pStyle w:val="ListNumber"/>
      </w:pPr>
      <w:r>
        <w:t xml:space="preserve">Mishra, M. N. and Mishra, S. B. - Insurance Principles and Practice, S. Chand Publishing.</w:t>
      </w:r>
    </w:p>
    <w:p>
      <w:pPr>
        <w:pStyle w:val="ListNumber"/>
      </w:pPr>
      <w:r>
        <w:t xml:space="preserve">Kothari, C. R. - Research Methodology: Methods and Techniques, New Age International.</w:t>
      </w:r>
    </w:p>
    <w:p>
      <w:pPr/>
      <w:r>
        <w:rPr>
          <w:b/>
        </w:rPr>
        <w:t xml:space="preserve">Journals and Reports</w:t>
      </w:r>
    </w:p>
    <w:p>
      <w:pPr>
        <w:pStyle w:val="ListNumber"/>
      </w:pPr>
      <w:r>
        <w:t xml:space="preserve">IRDAI Annual Report - Insurance Regulatory and Development Authority of India.</w:t>
      </w:r>
    </w:p>
    <w:p>
      <w:pPr>
        <w:pStyle w:val="ListNumber"/>
      </w:pPr>
      <w:r>
        <w:t xml:space="preserve">Relevant papers from management and marketing journals.</w:t>
      </w:r>
    </w:p>
    <w:p>
      <w:pPr/>
      <w:r>
        <w:rPr>
          <w:b/>
        </w:rPr>
        <w:t xml:space="preserve">Websites</w:t>
      </w:r>
    </w:p>
    <w:p>
      <w:pPr>
        <w:pStyle w:val="ListNumber"/>
      </w:pPr>
      <w:r>
        <w:t xml:space="preserve">www.irdai.gov.in</w:t>
      </w:r>
    </w:p>
    <w:p>
      <w:pPr>
        <w:pStyle w:val="ListNumber"/>
      </w:pPr>
      <w:r>
        <w:t xml:space="preserve">www.licindia.in</w:t>
      </w:r>
    </w:p>
    <w:p>
      <w:pPr>
        <w:pStyle w:val="ListNumber"/>
      </w:pPr>
      <w:r>
        <w:t xml:space="preserve">www.policybazaar.com</w:t>
      </w:r>
    </w:p>
    <w:p>
      <w:pPr>
        <w:pStyle w:val="ListNumber"/>
      </w:pPr>
      <w:r>
        <w:t xml:space="preserve">www.investopedia.com</w:t>
      </w:r>
    </w:p>
    <w:sectPr>
      <w:pgSz w:w="11906" w:h="16838"/>
      <w:pgMar w:top="1440" w:right="1440" w:bottom="1440" w:left="180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60" w:line="276" w:lineRule="auto"/>
        <w:jc w:val="both"/>
      </w:pPr>
    </w:pPrDefault>
  </w:docDefaults>
  <w:style w:type="paragraph" w:default="1" w:styleId="Normal">
    <w:name w:val="Normal"/>
  </w:style>
  <w:style w:type="paragraph" w:styleId="MyTitle">
    <w:name w:val="MyTitle"/>
    <w:pPr>
      <w:jc w:val="center"/>
      <w:spacing w:before="240" w:after="240"/>
    </w:pPr>
    <w:rPr>
      <w:b/>
      <w:sz w:val="40"/>
      <w:szCs w:val="40"/>
      <w:color w:val="1F4E78"/>
    </w:rPr>
  </w:style>
  <w:style w:type="paragraph" w:styleId="MySubtitle">
    <w:name w:val="MySubtitle"/>
    <w:pPr>
      <w:jc w:val="center"/>
    </w:pPr>
    <w:rPr>
      <w:b/>
      <w:sz w:val="28"/>
    </w:rPr>
  </w:style>
  <w:style w:type="paragraph" w:styleId="Heading1">
    <w:name w:val="heading 1"/>
    <w:basedOn w:val="Normal"/>
    <w:next w:val="Normal"/>
    <w:pPr>
      <w:keepNext/>
      <w:spacing w:before="360" w:after="160"/>
      <w:jc w:val="left"/>
      <w:outlineLvl w:val="0"/>
    </w:pPr>
    <w:rPr>
      <w:b/>
      <w:sz w:val="32"/>
      <w:szCs w:val="32"/>
      <w:color w:val="1F4E78"/>
    </w:rPr>
  </w:style>
  <w:style w:type="paragraph" w:styleId="Heading2">
    <w:name w:val="heading 2"/>
    <w:basedOn w:val="Normal"/>
    <w:next w:val="Normal"/>
    <w:pPr>
      <w:keepNext/>
      <w:spacing w:before="240" w:after="120"/>
      <w:jc w:val="left"/>
      <w:outlineLvl w:val="1"/>
    </w:pPr>
    <w:rPr>
      <w:b/>
      <w:sz w:val="28"/>
      <w:szCs w:val="28"/>
      <w:color w:val="2E74B5"/>
    </w:rPr>
  </w:style>
  <w:style w:type="paragraph" w:styleId="Heading3">
    <w:name w:val="heading 3"/>
    <w:basedOn w:val="Normal"/>
    <w:next w:val="Normal"/>
    <w:pPr>
      <w:keepNext/>
      <w:spacing w:before="200" w:after="100"/>
      <w:jc w:val="left"/>
      <w:outlineLvl w:val="2"/>
    </w:pPr>
    <w:rPr>
      <w:b/>
      <w:sz w:val="26"/>
      <w:szCs w:val="26"/>
    </w:rPr>
  </w:style>
  <w:style w:type="paragraph" w:styleId="ListBullet">
    <w:name w:val="List Bullet"/>
    <w:basedOn w:val="Normal"/>
    <w:pPr>
      <w:numPr>
        <w:numId w:val="1"/>
      </w:numPr>
      <w:spacing w:after="80"/>
      <w:ind w:left="720" w:hanging="360"/>
    </w:pPr>
  </w:style>
  <w:style w:type="paragraph" w:styleId="ListNumber">
    <w:name w:val="List Number"/>
    <w:basedOn w:val="Normal"/>
    <w:pPr>
      <w:numPr>
        <w:numId w:val="2"/>
      </w:numPr>
      <w:spacing w:after="80"/>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