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Fewer False Alarms, More Missed Defects:</w:t>
      </w:r>
    </w:p>
    <w:p>
      <w:pPr>
        <w:spacing w:after="60"/>
        <w:jc w:val="center"/>
      </w:pPr>
      <w:r>
        <w:rPr>
          <w:b/>
          <w:bCs/>
          <w:sz w:val="32"/>
          <w:szCs w:val="32"/>
        </w:rPr>
        <w:t xml:space="preserve">Benchmarking Vision-Language Models and Verification Agents</w:t>
      </w:r>
    </w:p>
    <w:p>
      <w:pPr>
        <w:spacing w:after="60"/>
        <w:jc w:val="center"/>
      </w:pPr>
      <w:r>
        <w:rPr>
          <w:b/>
          <w:bCs/>
          <w:sz w:val="32"/>
          <w:szCs w:val="32"/>
        </w:rPr>
        <w:t xml:space="preserve">for Power-Line Inspection on InsPLAD</w:t>
      </w:r>
    </w:p>
    <w:p>
      <w:pPr>
        <w:spacing w:after="300" w:before="200"/>
        <w:jc w:val="center"/>
      </w:pPr>
      <w:r>
        <w:rPr>
          <w:i/>
          <w:iCs/>
        </w:rPr>
        <w:t xml:space="preserve">Anonymous authors</w:t>
      </w:r>
    </w:p>
    <w:p>
      <w:pPr>
        <w:spacing w:after="100"/>
        <w:jc w:val="center"/>
      </w:pPr>
      <w:r>
        <w:rPr>
          <w:b/>
          <w:bCs/>
        </w:rPr>
        <w:t xml:space="preserve">Abstract</w:t>
      </w:r>
    </w:p>
    <w:p>
      <w:pPr>
        <w:spacing w:after="120" w:line="276"/>
        <w:ind w:left="400" w:right="400"/>
        <w:jc w:val="both"/>
      </w:pPr>
      <w:r>
        <w:t xml:space="preserve">Large vision-language models (LVLMs) are increasingly proposed as zero-shot inspectors, but power-line inspection has no benchmark that tests whether they detect a defect, name it, and stay consistent across these questions. We build </w:t>
      </w:r>
      <w:r>
        <w:rPr>
          <w:i/>
          <w:iCs/>
        </w:rPr>
        <w:t xml:space="preserve">InsPLAD-QA</w:t>
      </w:r>
      <w:r>
        <w:t xml:space="preserve">, an MMAD-style question-answering benchmark on the public InsPLAD UAV dataset. We align its anomaly-detection and fault-classification releases by exact image hashes and manually review a frozen gold set of 246 images and 534 questions. Under one prompt, output schema and evaluator, we compare four open LVLMs from different model lines and one API pipeline. All five are tested image-only; the four open models are also tested with a normal reference, a defect reference, both, and 20 vision-expert cues. A normal reference raises anomaly-detection F1 for every open model, although MiniCPM-V-4.5 gets there by flagging most normal images (balanced accuracy .656 </w:t>
      </w:r>
      <w:r>
        <w:t xml:space="preserve">→</w:t>
      </w:r>
      <w:r>
        <w:t xml:space="preserve"> .587). Expert cues mostly raise defect-type F1 but lower anomaly-detection F1, and no cue improves both for every model. We then evaluate a question-independent verification agent that was chosen on a disjoint development set and run once on gold. It raises defect-type macro-F1 from .522 to .640 (</w:t>
      </w:r>
      <w:r>
        <w:t xml:space="preserve">+.118</w:t>
      </w:r>
      <w:r>
        <w:t xml:space="preserve">, paired 95% CI </w:t>
      </w:r>
      <w:r>
        <w:t xml:space="preserve">[+.043,+.199]</w:t>
      </w:r>
      <w:r>
        <w:t xml:space="preserve">) and region-presence balanced accuracy from .551 to .828 (</w:t>
      </w:r>
      <w:r>
        <w:t xml:space="preserve">+.277</w:t>
      </w:r>
      <w:r>
        <w:t xml:space="preserve">, </w:t>
      </w:r>
      <w:r>
        <w:t xml:space="preserve">[+.222,+.328]</w:t>
      </w:r>
      <w:r>
        <w:t xml:space="preserve">). Normal false alarms fall from 93/107 to 16/107. A control that re-asks with the same number of calls but without the agent's definitions and staging falls well short (</w:t>
      </w:r>
      <w:r>
        <w:t xml:space="preserve">−.164</w:t>
      </w:r>
      <w:r>
        <w:t xml:space="preserve"> Q2 macro-F1 and </w:t>
      </w:r>
      <w:r>
        <w:t xml:space="preserve">−.203</w:t>
      </w:r>
      <w:r>
        <w:t xml:space="preserve"> presence BAcc versus the agent, CIs exclude zero), so the gain is not explained by extra calls. The same agent, however, misses more defects (4/139 </w:t>
      </w:r>
      <w:r>
        <w:t xml:space="preserve">→</w:t>
      </w:r>
      <w:r>
        <w:t xml:space="preserve"> 27/139). For missing insulator caps it reports a defect region in only 9 of 27 images (direct question: 23) and names the defect in 5 of 27 (direct: 7); a revised variant names it in only 2. Follow-up attempts with higher resolution, other LVLMs, anomaly detectors and part-evidence tools did not reliably recover these defects. The LVLM did not report them even when shown a crop of the annotated location; only an asset-specific supervised classifier detected them. We release the benchmark, code and per-question model answers, and argue that inspection benchmarks must report false alarms and misses separately rather than a single accuracy. </w:t>
      </w:r>
    </w:p>
    <w:p>
      <w:pPr>
        <w:pStyle w:val="Heading1"/>
        <w:keepNext/>
      </w:pPr>
      <w:r>
        <w:t xml:space="preserve">1 </w:t>
      </w:r>
      <w:r>
        <w:t xml:space="preserve">Introduction</w:t>
      </w:r>
    </w:p>
    <w:p>
      <w:pPr>
        <w:spacing w:after="120" w:line="276"/>
        <w:jc w:val="both"/>
      </w:pPr>
      <w:r>
        <w:t xml:space="preserve">Utilities inspect thousands of kilometres of transmission line with unmanned aerial vehicles (UAVs), and the resulting images are reviewed largely by hand. LVLMs promise to answer open questions about such images without task-specific training. Industrial anomaly-detection benchmarks for LVLMs, notably MMAD </w:t>
      </w:r>
      <w:r>
        <w:t xml:space="preserve">[1]</w:t>
      </w:r>
      <w:r>
        <w:t xml:space="preserve">, show that general models still lag behind human inspectors on manufactured objects. Power-line assets differ from bench-top industrial objects: they are photographed outdoors from varying viewpoints, against cluttered backgrounds, and their defects range from surface rust to entirely missing components.</w:t>
      </w:r>
    </w:p>
    <w:p>
      <w:pPr>
        <w:spacing w:after="120" w:line="276"/>
        <w:jc w:val="both"/>
      </w:pPr>
      <w:r>
        <w:t xml:space="preserve">This paper asks three questions. (i) How well do current open LVLMs detect and classify defects on power-line assets under a fair, shared contract? (ii) Do a normal reference image or anomaly-detector (“vision expert”) cues help? (iii) Does a training-free verification agent improve the answers, and at what cost? The agent re-examines each question separately. For the defect type it adds option definitions and the question's own earlier answer, and for the defect region it asks a presence question before a position question.</w:t>
      </w:r>
    </w:p>
    <w:p>
      <w:pPr>
        <w:spacing w:after="120" w:line="276"/>
        <w:jc w:val="both"/>
      </w:pPr>
      <w:r>
        <w:t xml:space="preserve">Our contributions are:</w:t>
      </w:r>
    </w:p>
    <w:p>
      <w:pPr>
        <w:pStyle w:val="ListParagraph"/>
        <w:numPr>
          <w:ilvl w:val="0"/>
          <w:numId w:val="2"/>
        </w:numPr>
        <w:spacing w:after="80" w:line="276"/>
        <w:jc w:val="both"/>
      </w:pPr>
      <w:r>
        <w:rPr>
          <w:b/>
          <w:bCs/>
        </w:rPr>
        <w:t xml:space="preserve">InsPLAD-QA</w:t>
      </w:r>
      <w:r>
        <w:t xml:space="preserve">, a reproducible benchmark built from InsPLAD </w:t>
      </w:r>
      <w:r>
        <w:t xml:space="preserve">[2]</w:t>
      </w:r>
      <w:r>
        <w:t xml:space="preserve">. It has two tracks, an exact-hash </w:t>
      </w:r>
      <w:r>
        <w:rPr>
          <w:i/>
          <w:iCs/>
        </w:rPr>
        <w:t xml:space="preserve">Aligned Core</w:t>
      </w:r>
      <w:r>
        <w:t xml:space="preserve"> of 1,378 images shared by both releases, and a manually reviewed, frozen gold set (246 images, 534 questions). Leakage controls cover reference selection and the development split (Section </w:t>
      </w:r>
      <w:r>
        <w:t xml:space="preserve">3</w:t>
      </w:r>
      <w:r>
        <w:t xml:space="preserve">).</w:t>
      </w:r>
    </w:p>
    <w:p>
      <w:pPr>
        <w:pStyle w:val="ListParagraph"/>
        <w:numPr>
          <w:ilvl w:val="0"/>
          <w:numId w:val="2"/>
        </w:numPr>
        <w:spacing w:after="80" w:line="276"/>
        <w:jc w:val="both"/>
      </w:pPr>
      <w:r>
        <w:t xml:space="preserve">A controlled comparison of four open LVLMs and an API pipeline under identical prompts, schema and scoring. All five are tested image-only. Each of the four open models is also tested with normal, defect and combined references and with 20 vision-expert configurations. We report consistency between questions as well as accuracy (Section </w:t>
      </w:r>
      <w:r>
        <w:t xml:space="preserve">4</w:t>
      </w:r>
      <w:r>
        <w:t xml:space="preserve">).</w:t>
      </w:r>
    </w:p>
    <w:p>
      <w:pPr>
        <w:pStyle w:val="ListParagraph"/>
        <w:numPr>
          <w:ilvl w:val="0"/>
          <w:numId w:val="2"/>
        </w:numPr>
        <w:spacing w:after="80" w:line="276"/>
        <w:jc w:val="both"/>
      </w:pPr>
      <w:r>
        <w:t xml:space="preserve">A question-independent verification agent evaluated once on gold after selection on a disjoint development set. Its gains in defect typing and region presence come with a measured increase in missed defects, which we report as a trade-off rather than a net improvement (Section </w:t>
      </w:r>
      <w:r>
        <w:t xml:space="preserve">5</w:t>
      </w:r>
      <w:r>
        <w:t xml:space="preserve">). A matched-call control shows that the gain is not explained by the extra calls. Re-asking with the same number of calls but without definitions or staging does not reproduce it, and re-asking alone shifts answers towards “normal”.</w:t>
      </w:r>
    </w:p>
    <w:p>
      <w:pPr>
        <w:pStyle w:val="ListParagraph"/>
        <w:numPr>
          <w:ilvl w:val="0"/>
          <w:numId w:val="2"/>
        </w:numPr>
        <w:spacing w:after="80" w:line="276"/>
        <w:jc w:val="both"/>
      </w:pPr>
      <w:r>
        <w:t xml:space="preserve">An analysis of missing-component defects. Training-free interventions did not reliably recover them, and the LVLM did not report them even when shown a crop of the annotated location (Section </w:t>
      </w:r>
      <w:r>
        <w:t xml:space="preserve">6</w:t>
      </w:r>
      <w:r>
        <w:t xml:space="preserve">).</w:t>
      </w:r>
    </w:p>
    <w:p>
      <w:pPr>
        <w:pStyle w:val="Heading1"/>
        <w:keepNext/>
      </w:pPr>
      <w:r>
        <w:t xml:space="preserve">2 </w:t>
      </w:r>
      <w:r>
        <w:t xml:space="preserve">Related Work</w:t>
      </w:r>
    </w:p>
    <w:p>
      <w:pPr>
        <w:spacing w:after="120" w:line="276"/>
        <w:jc w:val="both"/>
      </w:pPr>
      <w:r>
        <w:rPr>
          <w:b/>
          <w:bCs/>
        </w:rPr>
        <w:t xml:space="preserve">LVLMs for industrial anomaly detection. </w:t>
      </w:r>
      <w:r>
        <w:t xml:space="preserve">AnomalyGPT </w:t>
      </w:r>
      <w:r>
        <w:t xml:space="preserve">[3]</w:t>
      </w:r>
      <w:r>
        <w:t xml:space="preserve"> fine-tunes an LVLM with simulated anomalies, while MMAD </w:t>
      </w:r>
      <w:r>
        <w:t xml:space="preserve">[1]</w:t>
      </w:r>
      <w:r>
        <w:t xml:space="preserve"> benchmarks general LVLMs with multiple-choice questions on industrial objects. MMAD also studies agent-style aids such as expert anomaly maps and retrieved domain knowledge. We adopt MMAD's question format and its normal-reference (one-shot) setting, apply them to power-line UAV imagery, and add explicit cross-question consistency metrics.</w:t>
      </w:r>
    </w:p>
    <w:p>
      <w:pPr>
        <w:spacing w:after="120" w:line="276"/>
        <w:jc w:val="both"/>
      </w:pPr>
      <w:r>
        <w:rPr>
          <w:b/>
          <w:bCs/>
        </w:rPr>
        <w:t xml:space="preserve">Anomaly detectors as experts. </w:t>
      </w:r>
      <w:r>
        <w:t xml:space="preserve">PatchCore </w:t>
      </w:r>
      <w:r>
        <w:t xml:space="preserve">[4]</w:t>
      </w:r>
      <w:r>
        <w:t xml:space="preserve">, Dinomaly </w:t>
      </w:r>
      <w:r>
        <w:t xml:space="preserve">[5]</w:t>
      </w:r>
      <w:r>
        <w:t xml:space="preserve"> and AnomalyCLIP </w:t>
      </w:r>
      <w:r>
        <w:t xml:space="preserve">[6]</w:t>
      </w:r>
      <w:r>
        <w:t xml:space="preserve"> produce image scores and anomaly maps without defect-type supervision. We pass their outputs to LVLMs as text scores, regions of interest or heatmaps.</w:t>
      </w:r>
    </w:p>
    <w:p>
      <w:pPr>
        <w:spacing w:after="120" w:line="276"/>
        <w:jc w:val="both"/>
      </w:pPr>
      <w:r>
        <w:rPr>
          <w:b/>
          <w:bCs/>
        </w:rPr>
        <w:t xml:space="preserve">Self-verification. </w:t>
      </w:r>
      <w:r>
        <w:t xml:space="preserve">Iterative self-feedback can improve LLM outputs </w:t>
      </w:r>
      <w:r>
        <w:t xml:space="preserve">[7]</w:t>
      </w:r>
      <w:r>
        <w:t xml:space="preserve">, but asking a model to reconsider without new information can also degrade correct answers </w:t>
      </w:r>
      <w:r>
        <w:t xml:space="preserve">[8]</w:t>
      </w:r>
      <w:r>
        <w:t xml:space="preserve">. This motivates our matched re-ask control: it spends the same number of calls as the agent but supplies no new evidence.</w:t>
      </w:r>
    </w:p>
    <w:p>
      <w:pPr>
        <w:pStyle w:val="Heading1"/>
        <w:keepNext/>
      </w:pPr>
      <w:r>
        <w:t xml:space="preserve">3 </w:t>
      </w:r>
      <w:r>
        <w:t xml:space="preserve">Benchmark</w:t>
      </w:r>
    </w:p>
    <w:p>
      <w:pPr>
        <w:pStyle w:val="Heading2"/>
        <w:keepNext/>
      </w:pPr>
      <w:r>
        <w:t xml:space="preserve">3.1 </w:t>
      </w:r>
      <w:r>
        <w:t xml:space="preserve">Source data and label policy</w:t>
      </w:r>
    </w:p>
    <w:p>
      <w:pPr>
        <w:spacing w:after="120" w:line="276"/>
        <w:jc w:val="both"/>
      </w:pPr>
      <w:r>
        <w:t xml:space="preserve">InsPLAD </w:t>
      </w:r>
      <w:r>
        <w:t xml:space="preserve">[2]</w:t>
      </w:r>
      <w:r>
        <w:t xml:space="preserve"> provides two releases. The unsupervised anomaly-detection release covers 17 asset categories and 27,620 JPEG images split into train and test (6,481 test images). Three of its assets (</w:t>
      </w:r>
      <w:r>
        <w:rPr>
          <w:rFonts w:ascii="Consolas" w:eastAsia="Malgun Gothic" w:hAnsi="Consolas"/>
        </w:rPr>
        <w:t xml:space="preserve">damper-preformed</w:t>
      </w:r>
      <w:r>
        <w:t xml:space="preserve">, </w:t>
      </w:r>
      <w:r>
        <w:rPr>
          <w:rFonts w:ascii="Consolas" w:eastAsia="Malgun Gothic" w:hAnsi="Consolas"/>
        </w:rPr>
        <w:t xml:space="preserve">spacer</w:t>
      </w:r>
      <w:r>
        <w:t xml:space="preserve">, </w:t>
      </w:r>
      <w:r>
        <w:rPr>
          <w:rFonts w:ascii="Consolas" w:eastAsia="Malgun Gothic" w:hAnsi="Consolas"/>
        </w:rPr>
        <w:t xml:space="preserve">yoke</w:t>
      </w:r>
      <w:r>
        <w:t xml:space="preserve">) are normal-only in test. The supervised fault-classification release covers 5 assets and 11,525 images in train and val (6,417 val images); it has no test split. Folders named </w:t>
      </w:r>
      <w:r>
        <w:rPr>
          <w:rFonts w:ascii="Consolas" w:eastAsia="Malgun Gothic" w:hAnsi="Consolas"/>
        </w:rPr>
        <w:t xml:space="preserve">good</w:t>
      </w:r>
      <w:r>
        <w:t xml:space="preserve"> or </w:t>
      </w:r>
      <w:r>
        <w:rPr>
          <w:rFonts w:ascii="Consolas" w:eastAsia="Malgun Gothic" w:hAnsi="Consolas"/>
        </w:rPr>
        <w:t xml:space="preserve">normal</w:t>
      </w:r>
      <w:r>
        <w:t xml:space="preserve"> map to </w:t>
      </w:r>
      <w:r>
        <w:rPr>
          <w:i/>
          <w:iCs/>
        </w:rPr>
        <w:t xml:space="preserve">normal</w:t>
      </w:r>
      <w:r>
        <w:t xml:space="preserve">, and every defect folder maps to </w:t>
      </w:r>
      <w:r>
        <w:rPr>
          <w:i/>
          <w:iCs/>
        </w:rPr>
        <w:t xml:space="preserve">anomalous</w:t>
      </w:r>
      <w:r>
        <w:t xml:space="preserve">. We only slug-normalize </w:t>
      </w:r>
      <w:r>
        <w:rPr>
          <w:rFonts w:ascii="Consolas" w:eastAsia="Malgun Gothic" w:hAnsi="Consolas"/>
        </w:rPr>
        <w:t xml:space="preserve">corrosão</w:t>
      </w:r>
      <w:r>
        <w:t xml:space="preserve"> to </w:t>
      </w:r>
      <w:r>
        <w:rPr>
          <w:rFonts w:ascii="Consolas" w:eastAsia="Malgun Gothic" w:hAnsi="Consolas"/>
        </w:rPr>
        <w:t xml:space="preserve">corrosao</w:t>
      </w:r>
      <w:r>
        <w:t xml:space="preserve"> and never merge it with </w:t>
      </w:r>
      <w:r>
        <w:rPr>
          <w:rFonts w:ascii="Consolas" w:eastAsia="Malgun Gothic" w:hAnsi="Consolas"/>
        </w:rPr>
        <w:t xml:space="preserve">rust</w:t>
      </w:r>
      <w:r>
        <w:t xml:space="preserve">. The integer IDs in the supervised annotation file are asset-local class indices, not binary labels, so semantic labels come from folder names.</w:t>
      </w:r>
    </w:p>
    <w:p>
      <w:pPr>
        <w:pStyle w:val="Heading2"/>
        <w:keepNext/>
      </w:pPr>
      <w:r>
        <w:t xml:space="preserve">3.2 </w:t>
      </w:r>
      <w:r>
        <w:t xml:space="preserve">Tracks and Aligned Core</w:t>
      </w:r>
    </w:p>
    <w:p>
      <w:pPr>
        <w:spacing w:after="120" w:line="276"/>
        <w:jc w:val="both"/>
      </w:pPr>
      <w:r>
        <w:t xml:space="preserve">Track A (general anomaly detection) uses all 6,481 unsupervised test images in zero-shot and one-shot (normal reference) form. Track B (structured fault understanding) uses the 6,417 supervised val images and asks for both the anomaly label and the defect class. The two releases share 8,990 SHA-256-identical images; 1,384 of them lie in both unsupervised test and supervised val. Six of these carry conflicting binary labels and are excluded, which leaves an </w:t>
      </w:r>
      <w:r>
        <w:rPr>
          <w:i/>
          <w:iCs/>
        </w:rPr>
        <w:t xml:space="preserve">Aligned Core</w:t>
      </w:r>
      <w:r>
        <w:t xml:space="preserve"> of 1,378 images. On these images zero-shot, one-shot and structured answers can be compared byte for byte.</w:t>
      </w:r>
    </w:p>
    <w:p>
      <w:pPr>
        <w:pStyle w:val="Heading2"/>
        <w:keepNext/>
      </w:pPr>
      <w:r>
        <w:t xml:space="preserve">3.3 </w:t>
      </w:r>
      <w:r>
        <w:t xml:space="preserve">Gold v2 QA set</w:t>
      </w:r>
    </w:p>
    <w:p>
      <w:pPr>
        <w:spacing w:after="120" w:line="276"/>
        <w:jc w:val="both"/>
      </w:pPr>
      <w:r>
        <w:t xml:space="preserve">Running every model on every configuration over the full tracks is costly, and several labels needed manual checking. We therefore built a gold set from the Aligned Core: all 139 of its defective images, plus normal images capped per asset at the median and chosen for diversity with DINOv2 </w:t>
      </w:r>
      <w:r>
        <w:t xml:space="preserve">[9]</w:t>
      </w:r>
      <w:r>
        <w:t xml:space="preserve"> embeddings. Every image was manually reviewed and none was excluded. The set was then frozen (Table </w:t>
      </w:r>
      <w:r>
        <w:t xml:space="preserve">1</w:t>
      </w:r>
      <w:r>
        <w:t xml:space="preserve">). Each image has a binary question (Q1: “Is the target power-line asset normal or anomalous?”) and a four-way defect-type question (Q2: rust/corrosion, bird nest, missing cap, normal). Forty-two images also carry an MMAD-style four-option localization question (Q3), for 534 questions in total. Option order is fixed per question and independent of the answer.</w:t>
      </w:r>
    </w:p>
    <w:p>
      <w:pPr>
        <w:keepNext/>
        <w:spacing w:after="80" w:before="200"/>
      </w:pPr>
      <w:r>
        <w:rPr>
          <w:b/>
          <w:bCs/>
          <w:sz w:val="19"/>
          <w:szCs w:val="19"/>
        </w:rPr>
        <w:t xml:space="preserve">Table 1. </w:t>
      </w:r>
      <w:r>
        <w:rPr>
          <w:sz w:val="19"/>
          <w:szCs w:val="19"/>
        </w:rPr>
        <w:t xml:space="preserve">Frozen gold v2 composition (images). All 27 missing-cap images are glass insulators, an asset with only five normal images.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4305"/>
        <w:gridCol w:w="833"/>
        <w:gridCol w:w="833"/>
        <w:gridCol w:w="555"/>
        <w:gridCol w:w="1250"/>
        <w:gridCol w:w="1530"/>
      </w:tblGrid>
      <w:tr>
        <w:trPr>
          <w:tblHeader/>
        </w:trPr>
        <w:tc>
          <w:tcPr>
            <w:tcW w:type="dxa" w:w="4305"/>
            <w:gridSpan w:val="1"/>
            <w:tcBorders>
              <w:top w:val="single" w:color="000000" w:sz="8"/>
              <w:left w:val="none" w:color="FFFFFF" w:sz="0"/>
              <w:bottom w:val="single" w:color="000000" w:sz="8"/>
              <w:right w:val="none" w:color="FFFFFF" w:sz="0"/>
            </w:tcBorders>
            <w:shd w:fill="EDEDED" w:color="auto" w:val="clear"/>
            <w:tcMar>
              <w:top w:type="dxa" w:w="40"/>
              <w:left w:type="dxa" w:w="80"/>
              <w:bottom w:type="dxa" w:w="40"/>
              <w:right w:type="dxa" w:w="80"/>
            </w:tcMar>
          </w:tcPr>
          <w:p>
            <w:pPr>
              <w:spacing w:after="0" w:before="0"/>
              <w:jc w:val="left"/>
            </w:pPr>
            <w:r>
              <w:rPr>
                <w:b/>
                <w:bCs/>
                <w:sz w:val="17"/>
                <w:szCs w:val="17"/>
              </w:rPr>
              <w:t xml:space="preserve">Asset</w:t>
            </w:r>
          </w:p>
        </w:tc>
        <w:tc>
          <w:tcPr>
            <w:tcW w:type="dxa" w:w="833"/>
            <w:gridSpan w:val="1"/>
            <w:tcBorders>
              <w:top w:val="single" w:color="000000" w:sz="8"/>
              <w:left w:val="none" w:color="FFFFFF" w:sz="0"/>
              <w:bottom w:val="single" w:color="000000" w:sz="8"/>
              <w:right w:val="none" w:color="FFFFFF" w:sz="0"/>
            </w:tcBorders>
            <w:shd w:fill="EDEDED" w:color="auto" w:val="clear"/>
            <w:tcMar>
              <w:top w:type="dxa" w:w="40"/>
              <w:left w:type="dxa" w:w="80"/>
              <w:bottom w:type="dxa" w:w="40"/>
              <w:right w:type="dxa" w:w="80"/>
            </w:tcMar>
          </w:tcPr>
          <w:p>
            <w:pPr>
              <w:spacing w:after="0" w:before="0"/>
              <w:jc w:val="right"/>
            </w:pPr>
            <w:r>
              <w:rPr>
                <w:b/>
                <w:bCs/>
                <w:sz w:val="17"/>
                <w:szCs w:val="17"/>
              </w:rPr>
              <w:t xml:space="preserve">Images</w:t>
            </w:r>
          </w:p>
        </w:tc>
        <w:tc>
          <w:tcPr>
            <w:tcW w:type="dxa" w:w="833"/>
            <w:gridSpan w:val="1"/>
            <w:tcBorders>
              <w:top w:val="single" w:color="000000" w:sz="8"/>
              <w:left w:val="none" w:color="FFFFFF" w:sz="0"/>
              <w:bottom w:val="single" w:color="000000" w:sz="8"/>
              <w:right w:val="none" w:color="FFFFFF" w:sz="0"/>
            </w:tcBorders>
            <w:shd w:fill="EDEDED" w:color="auto" w:val="clear"/>
            <w:tcMar>
              <w:top w:type="dxa" w:w="40"/>
              <w:left w:type="dxa" w:w="80"/>
              <w:bottom w:type="dxa" w:w="40"/>
              <w:right w:type="dxa" w:w="80"/>
            </w:tcMar>
          </w:tcPr>
          <w:p>
            <w:pPr>
              <w:spacing w:after="0" w:before="0"/>
              <w:jc w:val="right"/>
            </w:pPr>
            <w:r>
              <w:rPr>
                <w:b/>
                <w:bCs/>
                <w:sz w:val="17"/>
                <w:szCs w:val="17"/>
              </w:rPr>
              <w:t xml:space="preserve">Normal</w:t>
            </w:r>
          </w:p>
        </w:tc>
        <w:tc>
          <w:tcPr>
            <w:tcW w:type="dxa" w:w="555"/>
            <w:gridSpan w:val="1"/>
            <w:tcBorders>
              <w:top w:val="single" w:color="000000" w:sz="8"/>
              <w:left w:val="none" w:color="FFFFFF" w:sz="0"/>
              <w:bottom w:val="single" w:color="000000" w:sz="8"/>
              <w:right w:val="none" w:color="FFFFFF" w:sz="0"/>
            </w:tcBorders>
            <w:shd w:fill="EDEDED" w:color="auto" w:val="clear"/>
            <w:tcMar>
              <w:top w:type="dxa" w:w="40"/>
              <w:left w:type="dxa" w:w="80"/>
              <w:bottom w:type="dxa" w:w="40"/>
              <w:right w:type="dxa" w:w="80"/>
            </w:tcMar>
          </w:tcPr>
          <w:p>
            <w:pPr>
              <w:spacing w:after="0" w:before="0"/>
              <w:jc w:val="right"/>
            </w:pPr>
            <w:r>
              <w:rPr>
                <w:b/>
                <w:bCs/>
                <w:sz w:val="17"/>
                <w:szCs w:val="17"/>
              </w:rPr>
              <w:t xml:space="preserve">Rust</w:t>
            </w:r>
          </w:p>
        </w:tc>
        <w:tc>
          <w:tcPr>
            <w:tcW w:type="dxa" w:w="1250"/>
            <w:gridSpan w:val="1"/>
            <w:tcBorders>
              <w:top w:val="single" w:color="000000" w:sz="8"/>
              <w:left w:val="none" w:color="FFFFFF" w:sz="0"/>
              <w:bottom w:val="single" w:color="000000" w:sz="8"/>
              <w:right w:val="none" w:color="FFFFFF" w:sz="0"/>
            </w:tcBorders>
            <w:shd w:fill="EDEDED" w:color="auto" w:val="clear"/>
            <w:tcMar>
              <w:top w:type="dxa" w:w="40"/>
              <w:left w:type="dxa" w:w="80"/>
              <w:bottom w:type="dxa" w:w="40"/>
              <w:right w:type="dxa" w:w="80"/>
            </w:tcMar>
          </w:tcPr>
          <w:p>
            <w:pPr>
              <w:spacing w:after="0" w:before="0"/>
              <w:jc w:val="right"/>
            </w:pPr>
            <w:r>
              <w:rPr>
                <w:b/>
                <w:bCs/>
                <w:sz w:val="17"/>
                <w:szCs w:val="17"/>
              </w:rPr>
              <w:t xml:space="preserve">Bird nest</w:t>
            </w:r>
          </w:p>
        </w:tc>
        <w:tc>
          <w:tcPr>
            <w:tcW w:type="dxa" w:w="1530"/>
            <w:gridSpan w:val="1"/>
            <w:tcBorders>
              <w:top w:val="single" w:color="000000" w:sz="8"/>
              <w:left w:val="none" w:color="FFFFFF" w:sz="0"/>
              <w:bottom w:val="single" w:color="000000" w:sz="8"/>
              <w:right w:val="none" w:color="FFFFFF" w:sz="0"/>
            </w:tcBorders>
            <w:shd w:fill="EDEDED" w:color="auto" w:val="clear"/>
            <w:tcMar>
              <w:top w:type="dxa" w:w="40"/>
              <w:left w:type="dxa" w:w="80"/>
              <w:bottom w:type="dxa" w:w="40"/>
              <w:right w:type="dxa" w:w="80"/>
            </w:tcMar>
          </w:tcPr>
          <w:p>
            <w:pPr>
              <w:spacing w:after="0" w:before="0"/>
              <w:jc w:val="right"/>
            </w:pPr>
            <w:r>
              <w:rPr>
                <w:b/>
                <w:bCs/>
                <w:sz w:val="17"/>
                <w:szCs w:val="17"/>
              </w:rPr>
              <w:t xml:space="preserve">Missing cap</w:t>
            </w:r>
          </w:p>
        </w:tc>
      </w:tr>
      <w:tr>
        <w:trPr>
          <w:tblHeader w:val="off"/>
        </w:trPr>
        <w:tc>
          <w:tcPr>
            <w:tcW w:type="dxa" w:w="4305"/>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glass-insulator</w:t>
            </w:r>
          </w:p>
        </w:tc>
        <w:tc>
          <w:tcPr>
            <w:tcW w:type="dxa" w:w="833"/>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32</w:t>
            </w:r>
          </w:p>
        </w:tc>
        <w:tc>
          <w:tcPr>
            <w:tcW w:type="dxa" w:w="833"/>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5</w:t>
            </w:r>
          </w:p>
        </w:tc>
        <w:tc>
          <w:tcPr>
            <w:tcW w:type="dxa" w:w="555"/>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w:t>
            </w:r>
          </w:p>
        </w:tc>
        <w:tc>
          <w:tcPr>
            <w:tcW w:type="dxa" w:w="1250"/>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w:t>
            </w:r>
          </w:p>
        </w:tc>
        <w:tc>
          <w:tcPr>
            <w:tcW w:type="dxa" w:w="1530"/>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27</w:t>
            </w:r>
          </w:p>
        </w:tc>
      </w:tr>
      <w:tr>
        <w:trPr>
          <w:tblHeader w:val="off"/>
        </w:trPr>
        <w:tc>
          <w:tcPr>
            <w:tcW w:type="dxa" w:w="4305"/>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lightning-rod-suspension</w:t>
            </w:r>
          </w:p>
        </w:tc>
        <w:tc>
          <w:tcPr>
            <w:tcW w:type="dxa" w:w="833"/>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53</w:t>
            </w:r>
          </w:p>
        </w:tc>
        <w:tc>
          <w:tcPr>
            <w:tcW w:type="dxa" w:w="833"/>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33</w:t>
            </w:r>
          </w:p>
        </w:tc>
        <w:tc>
          <w:tcPr>
            <w:tcW w:type="dxa" w:w="555"/>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20</w:t>
            </w:r>
          </w:p>
        </w:tc>
        <w:tc>
          <w:tcPr>
            <w:tcW w:type="dxa" w:w="125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w:t>
            </w:r>
          </w:p>
        </w:tc>
        <w:tc>
          <w:tcPr>
            <w:tcW w:type="dxa" w:w="153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w:t>
            </w:r>
          </w:p>
        </w:tc>
      </w:tr>
      <w:tr>
        <w:trPr>
          <w:tblHeader w:val="off"/>
        </w:trPr>
        <w:tc>
          <w:tcPr>
            <w:tcW w:type="dxa" w:w="4305"/>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polymer-insulator-upper-shackle</w:t>
            </w:r>
          </w:p>
        </w:tc>
        <w:tc>
          <w:tcPr>
            <w:tcW w:type="dxa" w:w="833"/>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32</w:t>
            </w:r>
          </w:p>
        </w:tc>
        <w:tc>
          <w:tcPr>
            <w:tcW w:type="dxa" w:w="833"/>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3</w:t>
            </w:r>
          </w:p>
        </w:tc>
        <w:tc>
          <w:tcPr>
            <w:tcW w:type="dxa" w:w="555"/>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29</w:t>
            </w:r>
          </w:p>
        </w:tc>
        <w:tc>
          <w:tcPr>
            <w:tcW w:type="dxa" w:w="125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w:t>
            </w:r>
          </w:p>
        </w:tc>
        <w:tc>
          <w:tcPr>
            <w:tcW w:type="dxa" w:w="153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w:t>
            </w:r>
          </w:p>
        </w:tc>
      </w:tr>
      <w:tr>
        <w:trPr>
          <w:tblHeader w:val="off"/>
        </w:trPr>
        <w:tc>
          <w:tcPr>
            <w:tcW w:type="dxa" w:w="4305"/>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vari-grip</w:t>
            </w:r>
          </w:p>
        </w:tc>
        <w:tc>
          <w:tcPr>
            <w:tcW w:type="dxa" w:w="833"/>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76</w:t>
            </w:r>
          </w:p>
        </w:tc>
        <w:tc>
          <w:tcPr>
            <w:tcW w:type="dxa" w:w="833"/>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33</w:t>
            </w:r>
          </w:p>
        </w:tc>
        <w:tc>
          <w:tcPr>
            <w:tcW w:type="dxa" w:w="555"/>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20</w:t>
            </w:r>
          </w:p>
        </w:tc>
        <w:tc>
          <w:tcPr>
            <w:tcW w:type="dxa" w:w="125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23</w:t>
            </w:r>
          </w:p>
        </w:tc>
        <w:tc>
          <w:tcPr>
            <w:tcW w:type="dxa" w:w="153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w:t>
            </w:r>
          </w:p>
        </w:tc>
      </w:tr>
      <w:tr>
        <w:trPr>
          <w:tblHeader w:val="off"/>
        </w:trPr>
        <w:tc>
          <w:tcPr>
            <w:tcW w:type="dxa" w:w="4305"/>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yoke-suspension</w:t>
            </w:r>
          </w:p>
        </w:tc>
        <w:tc>
          <w:tcPr>
            <w:tcW w:type="dxa" w:w="833"/>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53</w:t>
            </w:r>
          </w:p>
        </w:tc>
        <w:tc>
          <w:tcPr>
            <w:tcW w:type="dxa" w:w="833"/>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33</w:t>
            </w:r>
          </w:p>
        </w:tc>
        <w:tc>
          <w:tcPr>
            <w:tcW w:type="dxa" w:w="555"/>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20</w:t>
            </w:r>
          </w:p>
        </w:tc>
        <w:tc>
          <w:tcPr>
            <w:tcW w:type="dxa" w:w="125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w:t>
            </w:r>
          </w:p>
        </w:tc>
        <w:tc>
          <w:tcPr>
            <w:tcW w:type="dxa" w:w="153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w:t>
            </w:r>
          </w:p>
        </w:tc>
      </w:tr>
      <w:tr>
        <w:trPr>
          <w:tblHeader w:val="off"/>
        </w:trPr>
        <w:tc>
          <w:tcPr>
            <w:tcW w:type="dxa" w:w="4305"/>
            <w:gridSpan w:val="1"/>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Total</w:t>
            </w:r>
          </w:p>
        </w:tc>
        <w:tc>
          <w:tcPr>
            <w:tcW w:type="dxa" w:w="833"/>
            <w:gridSpan w:val="1"/>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246</w:t>
            </w:r>
          </w:p>
        </w:tc>
        <w:tc>
          <w:tcPr>
            <w:tcW w:type="dxa" w:w="833"/>
            <w:gridSpan w:val="1"/>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107</w:t>
            </w:r>
          </w:p>
        </w:tc>
        <w:tc>
          <w:tcPr>
            <w:tcW w:type="dxa" w:w="555"/>
            <w:gridSpan w:val="1"/>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89</w:t>
            </w:r>
          </w:p>
        </w:tc>
        <w:tc>
          <w:tcPr>
            <w:tcW w:type="dxa" w:w="1250"/>
            <w:gridSpan w:val="1"/>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23</w:t>
            </w:r>
          </w:p>
        </w:tc>
        <w:tc>
          <w:tcPr>
            <w:tcW w:type="dxa" w:w="1530"/>
            <w:gridSpan w:val="1"/>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27</w:t>
            </w:r>
          </w:p>
        </w:tc>
      </w:tr>
    </w:tbl>
    <w:p>
      <w:pPr>
        <w:spacing w:after="120"/>
      </w:pPr>
    </w:p>
    <w:p>
      <w:pPr>
        <w:pStyle w:val="Heading2"/>
        <w:keepNext/>
      </w:pPr>
      <w:r>
        <w:t xml:space="preserve">3.4 </w:t>
      </w:r>
      <w:r>
        <w:t xml:space="preserve">Development set and protocol</w:t>
      </w:r>
    </w:p>
    <w:p>
      <w:pPr>
        <w:spacing w:after="120" w:line="276"/>
        <w:jc w:val="both"/>
      </w:pPr>
      <w:r>
        <w:t xml:space="preserve">Every method choice was made on a separate development set. It has 240 images (480 Q1/Q2 questions; 125 normal, 115 defective) drawn with seed 42 from the supervised </w:t>
      </w:r>
      <w:r>
        <w:rPr>
          <w:i/>
          <w:iCs/>
        </w:rPr>
        <w:t xml:space="preserve">train</w:t>
      </w:r>
      <w:r>
        <w:t xml:space="preserve"> split, because the Aligned Core's defective images are all in gold. Dev excludes any image whose size and CRC32 fingerprint occurs in unsupervised test, in a fixed reference, or in gold. Configurations were frozen in a committed file before their single gold run, and gold scores never fed back into configuration choices. Gold had been used for earlier baseline comparisons, so we do not call it an untouched holdout.</w:t>
      </w:r>
    </w:p>
    <w:p>
      <w:pPr>
        <w:pStyle w:val="Heading2"/>
        <w:keepNext/>
      </w:pPr>
      <w:r>
        <w:t xml:space="preserve">3.5 </w:t>
      </w:r>
      <w:r>
        <w:t xml:space="preserve">References and leakage controls</w:t>
      </w:r>
    </w:p>
    <w:p>
      <w:pPr>
        <w:spacing w:after="120" w:line="276"/>
        <w:jc w:val="both"/>
      </w:pPr>
      <w:r>
        <w:t xml:space="preserve">A one-shot reference is a normal image of the same asset from unsupervised </w:t>
      </w:r>
      <w:r>
        <w:rPr>
          <w:i/>
          <w:iCs/>
        </w:rPr>
        <w:t xml:space="preserve">train</w:t>
      </w:r>
      <w:r>
        <w:t xml:space="preserve">. We exclude any candidate whose fingerprint appears in test. The </w:t>
      </w:r>
      <w:r>
        <w:rPr>
          <w:i/>
          <w:iCs/>
        </w:rPr>
        <w:t xml:space="preserve">fixed</w:t>
      </w:r>
      <w:r>
        <w:t xml:space="preserve"> reference is drawn once per asset with seed 42. The </w:t>
      </w:r>
      <w:r>
        <w:rPr>
          <w:i/>
          <w:iCs/>
        </w:rPr>
        <w:t xml:space="preserve">retrieved</w:t>
      </w:r>
      <w:r>
        <w:t xml:space="preserve"> reference is the DINOv2-base cosine nearest neighbour of the target (pinned weights). Retrieval exposed a shortcut on dev: normal targets often retrieved a reference from the same capture date (44% vs. 16% for defective targets), and cosine similarity alone separated normal from defective images with AUROC .886. These numbers are recomputed from the committed dev image list. We therefore exclude same-capture-date candidates (</w:t>
      </w:r>
      <w:r>
        <w:rPr>
          <w:i/>
          <w:iCs/>
        </w:rPr>
        <w:t xml:space="preserve">diffdate</w:t>
      </w:r>
      <w:r>
        <w:t xml:space="preserve">) in every retrieved condition used by the agent.</w:t>
      </w:r>
    </w:p>
    <w:p>
      <w:pPr>
        <w:pStyle w:val="Heading2"/>
        <w:keepNext/>
      </w:pPr>
      <w:r>
        <w:t xml:space="preserve">3.6 </w:t>
      </w:r>
      <w:r>
        <w:t xml:space="preserve">Metrics</w:t>
      </w:r>
    </w:p>
    <w:p>
      <w:pPr>
        <w:spacing w:after="120" w:line="276"/>
        <w:jc w:val="both"/>
      </w:pPr>
      <w:r>
        <w:t xml:space="preserve">For Q1 we report accuracy and F1; balanced accuracy (BAcc), precision, recall and TP/FP/TN/FN are in the released result files. For Q2 we report accuracy and macro-F1 over the classes present, and the agent tables also report defect BAcc (mean recall over the classes present). Invalid outputs count as wrong. For Q1, an invalid answer on a defective image is a false negative. On a normal image it is kept separate from false positives, so it lowers specificity but not precision. </w:t>
      </w:r>
      <w:r>
        <w:rPr>
          <w:i/>
          <w:iCs/>
        </w:rPr>
        <w:t xml:space="preserve">Joint accuracy</w:t>
      </w:r>
      <w:r>
        <w:t xml:space="preserve"> counts images where Q1 and Q2 are both correct. </w:t>
      </w:r>
      <w:r>
        <w:rPr>
          <w:i/>
          <w:iCs/>
        </w:rPr>
        <w:t xml:space="preserve">Consistency error</w:t>
      </w:r>
      <w:r>
        <w:t xml:space="preserve"> is the share of images with valid answers where Q1 and Q2 disagree (normal with a defect type, or anomalous with “normal”). </w:t>
      </w:r>
      <w:r>
        <w:rPr>
          <w:i/>
          <w:iCs/>
        </w:rPr>
        <w:t xml:space="preserve">False defect rate</w:t>
      </w:r>
      <w:r>
        <w:t xml:space="preserve"> is the share of normal images given a defect type. Differences between policies use a paired bootstrap over images with 2,000 resamples </w:t>
      </w:r>
      <w:r>
        <w:t xml:space="preserve">[10]</w:t>
      </w:r>
      <w:r>
        <w:t xml:space="preserve">.</w:t>
      </w:r>
    </w:p>
    <w:p>
      <w:pPr>
        <w:pStyle w:val="Heading1"/>
        <w:keepNext/>
      </w:pPr>
      <w:r>
        <w:t xml:space="preserve">4 </w:t>
      </w:r>
      <w:r>
        <w:t xml:space="preserve">Models and Baselines</w:t>
      </w:r>
    </w:p>
    <w:p>
      <w:pPr>
        <w:pStyle w:val="Heading2"/>
        <w:keepNext/>
      </w:pPr>
      <w:r>
        <w:t xml:space="preserve">4.1 </w:t>
      </w:r>
      <w:r>
        <w:t xml:space="preserve">Setup</w:t>
      </w:r>
    </w:p>
    <w:p>
      <w:pPr>
        <w:spacing w:after="120" w:line="276"/>
        <w:jc w:val="both"/>
      </w:pPr>
      <w:r>
        <w:t xml:space="preserve">We keep one model per model line: Qwen3.5-4B </w:t>
      </w:r>
      <w:r>
        <w:t xml:space="preserve">[11]</w:t>
      </w:r>
      <w:r>
        <w:t xml:space="preserve"> with thinking disabled, InternVL3.5-8B </w:t>
      </w:r>
      <w:r>
        <w:t xml:space="preserve">[12]</w:t>
      </w:r>
      <w:r>
        <w:t xml:space="preserve"> through its official chat path, MiniCPM-V-4.5 </w:t>
      </w:r>
      <w:r>
        <w:t xml:space="preserve">[13]</w:t>
      </w:r>
      <w:r>
        <w:t xml:space="preserve"> and LLaVA-OneVision-Qwen2-7B </w:t>
      </w:r>
      <w:r>
        <w:t xml:space="preserve">[14]</w:t>
      </w:r>
      <w:r>
        <w:t xml:space="preserve">. Three of the four use Qwen-series language backbones, so they are not fully independent. We also include a two-stage API pipeline (Luxia document vision followed by a 32B language model). All open models run unquantized with greedy decoding, using Transformers 5.14.0 as pinned in the Colab notebooks, on a GPU with at least 20 GB of memory. The notebooks allow an L4 or an A100; the agent, matched-call and MiniCPM re-runs record an NVIDIA L4 (22 GB). MiniCPM-V-4.5's chat interface samples by default (temperature 0.7), and we found this only after its first gold runs. We therefore re-ran its image-only and three reference conditions greedily with unchanged prompts, images and references (2,136 calls, 0 errors, 0 invalid outputs). Its rows in Tables </w:t>
      </w:r>
      <w:r>
        <w:t xml:space="preserve">2</w:t>
      </w:r>
      <w:r>
        <w:t xml:space="preserve"> and </w:t>
      </w:r>
      <w:r>
        <w:t xml:space="preserve">3</w:t>
      </w:r>
      <w:r>
        <w:t xml:space="preserve"> are these greedy runs. Only its 20 vision-expert configurations remain single sampled runs (marked </w:t>
      </w:r>
      <w:r>
        <w:t xml:space="preserve">†</w:t>
      </w:r>
      <w:r>
        <w:t xml:space="preserve">). Greedy decoding changed 54 of 534 image-only answers. Sampling had inflated its image-only inconsistency: the consistency error drops from .341 to .280 and the false defect rate from .411 to .308 under greedy decoding. In the reference conditions the table metrics move by at most .02 (Q3 accuracy by .05; Appendix Table </w:t>
      </w:r>
      <w:r>
        <w:t xml:space="preserve">9</w:t>
      </w:r>
      <w:r>
        <w:t xml:space="preserve">). All agent experiments are greedy. InternVL uses a fixed total budget of six visual tiles per sample, divided among the images (each multi-tile image also gets a thumbnail). Adding one reference halves the target's tiles, and adding two leaves it a third. We treat this as a fixed visual-token budget rather than a free resolution increase.</w:t>
      </w:r>
    </w:p>
    <w:p>
      <w:pPr>
        <w:pStyle w:val="Heading2"/>
        <w:keepNext/>
      </w:pPr>
      <w:r>
        <w:t xml:space="preserve">4.2 </w:t>
      </w:r>
      <w:r>
        <w:t xml:space="preserve">Image-only baselines</w:t>
      </w:r>
    </w:p>
    <w:p>
      <w:pPr>
        <w:spacing w:after="120" w:line="276"/>
        <w:jc w:val="both"/>
      </w:pPr>
      <w:r>
        <w:t xml:space="preserve">Table </w:t>
      </w:r>
      <w:r>
        <w:t xml:space="preserve">2</w:t>
      </w:r>
      <w:r>
        <w:t xml:space="preserve"> shows that image-only Q1 F1 ranges from .555 to .718 and Q2 macro-F1 from .360 to .505. The original four-option Q3 is not informative. Its answers are only “no region” (22) or “center” (20), so a constant “no region” answer already scores .524. The best models (.667) beat it by just 6 of 42 questions. We therefore treat Q3 as auxiliary and later replace it with a presence-scored nine-region question.</w:t>
      </w:r>
    </w:p>
    <w:p>
      <w:pPr>
        <w:keepNext/>
        <w:spacing w:after="80" w:before="200"/>
      </w:pPr>
      <w:r>
        <w:rPr>
          <w:b/>
          <w:bCs/>
          <w:sz w:val="19"/>
          <w:szCs w:val="19"/>
        </w:rPr>
        <w:t xml:space="preserve">Table 2. </w:t>
      </w:r>
      <w:r>
        <w:rPr>
          <w:sz w:val="19"/>
          <w:szCs w:val="19"/>
        </w:rPr>
        <w:t xml:space="preserve">Image-only baselines on gold v2 (534 questions). Q3: 42 four-option localization questions. All open models greedy (MiniCPM-V-4.5 re-run, see text).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822"/>
        <w:gridCol w:w="830"/>
        <w:gridCol w:w="997"/>
        <w:gridCol w:w="830"/>
        <w:gridCol w:w="997"/>
        <w:gridCol w:w="830"/>
        <w:gridCol w:w="1000"/>
      </w:tblGrid>
      <w:tr>
        <w:trPr>
          <w:tblHeader/>
        </w:trPr>
        <w:tc>
          <w:tcPr>
            <w:tcW w:type="dxa" w:w="3822"/>
            <w:gridSpan w:val="1"/>
            <w:tcBorders>
              <w:top w:val="single" w:color="000000" w:sz="8"/>
              <w:left w:val="none" w:color="FFFFFF" w:sz="0"/>
              <w:bottom w:val="single" w:color="000000" w:sz="8"/>
              <w:right w:val="none" w:color="FFFFFF" w:sz="0"/>
            </w:tcBorders>
            <w:shd w:fill="EDEDED" w:color="auto" w:val="clear"/>
            <w:tcMar>
              <w:top w:type="dxa" w:w="40"/>
              <w:left w:type="dxa" w:w="80"/>
              <w:bottom w:type="dxa" w:w="40"/>
              <w:right w:type="dxa" w:w="80"/>
            </w:tcMar>
          </w:tcPr>
          <w:p>
            <w:pPr>
              <w:spacing w:after="0" w:before="0"/>
              <w:jc w:val="left"/>
            </w:pPr>
            <w:r>
              <w:rPr>
                <w:b/>
                <w:bCs/>
                <w:sz w:val="17"/>
                <w:szCs w:val="17"/>
              </w:rPr>
              <w:t xml:space="preserve">Model</w:t>
            </w:r>
          </w:p>
        </w:tc>
        <w:tc>
          <w:tcPr>
            <w:tcW w:type="dxa" w:w="830"/>
            <w:gridSpan w:val="1"/>
            <w:tcBorders>
              <w:top w:val="single" w:color="000000" w:sz="8"/>
              <w:left w:val="none" w:color="FFFFFF" w:sz="0"/>
              <w:bottom w:val="single" w:color="000000" w:sz="8"/>
              <w:right w:val="none" w:color="FFFFFF" w:sz="0"/>
            </w:tcBorders>
            <w:shd w:fill="EDEDED" w:color="auto" w:val="clear"/>
            <w:tcMar>
              <w:top w:type="dxa" w:w="40"/>
              <w:left w:type="dxa" w:w="80"/>
              <w:bottom w:type="dxa" w:w="40"/>
              <w:right w:type="dxa" w:w="80"/>
            </w:tcMar>
          </w:tcPr>
          <w:p>
            <w:pPr>
              <w:spacing w:after="0" w:before="0"/>
              <w:jc w:val="right"/>
            </w:pPr>
            <w:r>
              <w:rPr>
                <w:b/>
                <w:bCs/>
                <w:sz w:val="17"/>
                <w:szCs w:val="17"/>
              </w:rPr>
              <w:t xml:space="preserve">Valid</w:t>
            </w:r>
          </w:p>
        </w:tc>
        <w:tc>
          <w:tcPr>
            <w:tcW w:type="dxa" w:w="997"/>
            <w:gridSpan w:val="1"/>
            <w:tcBorders>
              <w:top w:val="single" w:color="000000" w:sz="8"/>
              <w:left w:val="none" w:color="FFFFFF" w:sz="0"/>
              <w:bottom w:val="single" w:color="000000" w:sz="8"/>
              <w:right w:val="none" w:color="FFFFFF" w:sz="0"/>
            </w:tcBorders>
            <w:shd w:fill="EDEDED" w:color="auto" w:val="clear"/>
            <w:tcMar>
              <w:top w:type="dxa" w:w="40"/>
              <w:left w:type="dxa" w:w="80"/>
              <w:bottom w:type="dxa" w:w="40"/>
              <w:right w:type="dxa" w:w="80"/>
            </w:tcMar>
          </w:tcPr>
          <w:p>
            <w:pPr>
              <w:spacing w:after="0" w:before="0"/>
              <w:jc w:val="right"/>
            </w:pPr>
            <w:r>
              <w:rPr>
                <w:b/>
                <w:bCs/>
                <w:sz w:val="17"/>
                <w:szCs w:val="17"/>
              </w:rPr>
              <w:t xml:space="preserve">Q1 Acc</w:t>
            </w:r>
          </w:p>
        </w:tc>
        <w:tc>
          <w:tcPr>
            <w:tcW w:type="dxa" w:w="830"/>
            <w:gridSpan w:val="1"/>
            <w:tcBorders>
              <w:top w:val="single" w:color="000000" w:sz="8"/>
              <w:left w:val="none" w:color="FFFFFF" w:sz="0"/>
              <w:bottom w:val="single" w:color="000000" w:sz="8"/>
              <w:right w:val="none" w:color="FFFFFF" w:sz="0"/>
            </w:tcBorders>
            <w:shd w:fill="EDEDED" w:color="auto" w:val="clear"/>
            <w:tcMar>
              <w:top w:type="dxa" w:w="40"/>
              <w:left w:type="dxa" w:w="80"/>
              <w:bottom w:type="dxa" w:w="40"/>
              <w:right w:type="dxa" w:w="80"/>
            </w:tcMar>
          </w:tcPr>
          <w:p>
            <w:pPr>
              <w:spacing w:after="0" w:before="0"/>
              <w:jc w:val="right"/>
            </w:pPr>
            <w:r>
              <w:rPr>
                <w:b/>
                <w:bCs/>
                <w:sz w:val="17"/>
                <w:szCs w:val="17"/>
              </w:rPr>
              <w:t xml:space="preserve">Q1 F1</w:t>
            </w:r>
          </w:p>
        </w:tc>
        <w:tc>
          <w:tcPr>
            <w:tcW w:type="dxa" w:w="997"/>
            <w:gridSpan w:val="1"/>
            <w:tcBorders>
              <w:top w:val="single" w:color="000000" w:sz="8"/>
              <w:left w:val="none" w:color="FFFFFF" w:sz="0"/>
              <w:bottom w:val="single" w:color="000000" w:sz="8"/>
              <w:right w:val="none" w:color="FFFFFF" w:sz="0"/>
            </w:tcBorders>
            <w:shd w:fill="EDEDED" w:color="auto" w:val="clear"/>
            <w:tcMar>
              <w:top w:type="dxa" w:w="40"/>
              <w:left w:type="dxa" w:w="80"/>
              <w:bottom w:type="dxa" w:w="40"/>
              <w:right w:type="dxa" w:w="80"/>
            </w:tcMar>
          </w:tcPr>
          <w:p>
            <w:pPr>
              <w:spacing w:after="0" w:before="0"/>
              <w:jc w:val="right"/>
            </w:pPr>
            <w:r>
              <w:rPr>
                <w:b/>
                <w:bCs/>
                <w:sz w:val="17"/>
                <w:szCs w:val="17"/>
              </w:rPr>
              <w:t xml:space="preserve">Q2 Acc</w:t>
            </w:r>
          </w:p>
        </w:tc>
        <w:tc>
          <w:tcPr>
            <w:tcW w:type="dxa" w:w="830"/>
            <w:gridSpan w:val="1"/>
            <w:tcBorders>
              <w:top w:val="single" w:color="000000" w:sz="8"/>
              <w:left w:val="none" w:color="FFFFFF" w:sz="0"/>
              <w:bottom w:val="single" w:color="000000" w:sz="8"/>
              <w:right w:val="none" w:color="FFFFFF" w:sz="0"/>
            </w:tcBorders>
            <w:shd w:fill="EDEDED" w:color="auto" w:val="clear"/>
            <w:tcMar>
              <w:top w:type="dxa" w:w="40"/>
              <w:left w:type="dxa" w:w="80"/>
              <w:bottom w:type="dxa" w:w="40"/>
              <w:right w:type="dxa" w:w="80"/>
            </w:tcMar>
          </w:tcPr>
          <w:p>
            <w:pPr>
              <w:spacing w:after="0" w:before="0"/>
              <w:jc w:val="right"/>
            </w:pPr>
            <w:r>
              <w:rPr>
                <w:b/>
                <w:bCs/>
                <w:sz w:val="17"/>
                <w:szCs w:val="17"/>
              </w:rPr>
              <w:t xml:space="preserve">Q2 F1</w:t>
            </w:r>
          </w:p>
        </w:tc>
        <w:tc>
          <w:tcPr>
            <w:tcW w:type="dxa" w:w="1000"/>
            <w:gridSpan w:val="1"/>
            <w:tcBorders>
              <w:top w:val="single" w:color="000000" w:sz="8"/>
              <w:left w:val="none" w:color="FFFFFF" w:sz="0"/>
              <w:bottom w:val="single" w:color="000000" w:sz="8"/>
              <w:right w:val="none" w:color="FFFFFF" w:sz="0"/>
            </w:tcBorders>
            <w:shd w:fill="EDEDED" w:color="auto" w:val="clear"/>
            <w:tcMar>
              <w:top w:type="dxa" w:w="40"/>
              <w:left w:type="dxa" w:w="80"/>
              <w:bottom w:type="dxa" w:w="40"/>
              <w:right w:type="dxa" w:w="80"/>
            </w:tcMar>
          </w:tcPr>
          <w:p>
            <w:pPr>
              <w:spacing w:after="0" w:before="0"/>
              <w:jc w:val="right"/>
            </w:pPr>
            <w:r>
              <w:rPr>
                <w:b/>
                <w:bCs/>
                <w:sz w:val="17"/>
                <w:szCs w:val="17"/>
              </w:rPr>
              <w:t xml:space="preserve">Q3 Acc</w:t>
            </w:r>
          </w:p>
        </w:tc>
      </w:tr>
      <w:tr>
        <w:trPr>
          <w:tblHeader w:val="off"/>
        </w:trPr>
        <w:tc>
          <w:tcPr>
            <w:tcW w:type="dxa" w:w="3822"/>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Qwen3.5-4B</w:t>
            </w:r>
          </w:p>
        </w:tc>
        <w:tc>
          <w:tcPr>
            <w:tcW w:type="dxa" w:w="830"/>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1.000</w:t>
            </w:r>
          </w:p>
        </w:tc>
        <w:tc>
          <w:tcPr>
            <w:tcW w:type="dxa" w:w="997"/>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.589</w:t>
            </w:r>
          </w:p>
        </w:tc>
        <w:tc>
          <w:tcPr>
            <w:tcW w:type="dxa" w:w="830"/>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.646</w:t>
            </w:r>
          </w:p>
        </w:tc>
        <w:tc>
          <w:tcPr>
            <w:tcW w:type="dxa" w:w="997"/>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.553</w:t>
            </w:r>
          </w:p>
        </w:tc>
        <w:tc>
          <w:tcPr>
            <w:tcW w:type="dxa" w:w="830"/>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.445</w:t>
            </w:r>
          </w:p>
        </w:tc>
        <w:tc>
          <w:tcPr>
            <w:tcW w:type="dxa" w:w="1000"/>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.667</w:t>
            </w:r>
          </w:p>
        </w:tc>
      </w:tr>
      <w:tr>
        <w:trPr>
          <w:tblHeader w:val="off"/>
        </w:trPr>
        <w:tc>
          <w:tcPr>
            <w:tcW w:type="dxa" w:w="3822"/>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InternVL3.5-8B</w:t>
            </w:r>
          </w:p>
        </w:tc>
        <w:tc>
          <w:tcPr>
            <w:tcW w:type="dxa" w:w="83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1.000</w:t>
            </w:r>
          </w:p>
        </w:tc>
        <w:tc>
          <w:tcPr>
            <w:tcW w:type="dxa" w:w="997"/>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.638</w:t>
            </w:r>
          </w:p>
        </w:tc>
        <w:tc>
          <w:tcPr>
            <w:tcW w:type="dxa" w:w="83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.597</w:t>
            </w:r>
          </w:p>
        </w:tc>
        <w:tc>
          <w:tcPr>
            <w:tcW w:type="dxa" w:w="997"/>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.577</w:t>
            </w:r>
          </w:p>
        </w:tc>
        <w:tc>
          <w:tcPr>
            <w:tcW w:type="dxa" w:w="83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.438</w:t>
            </w:r>
          </w:p>
        </w:tc>
        <w:tc>
          <w:tcPr>
            <w:tcW w:type="dxa" w:w="100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.548</w:t>
            </w:r>
          </w:p>
        </w:tc>
      </w:tr>
      <w:tr>
        <w:trPr>
          <w:tblHeader w:val="off"/>
        </w:trPr>
        <w:tc>
          <w:tcPr>
            <w:tcW w:type="dxa" w:w="3822"/>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MiniCPM-V-4.5</w:t>
            </w:r>
          </w:p>
        </w:tc>
        <w:tc>
          <w:tcPr>
            <w:tcW w:type="dxa" w:w="83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1.000</w:t>
            </w:r>
          </w:p>
        </w:tc>
        <w:tc>
          <w:tcPr>
            <w:tcW w:type="dxa" w:w="997"/>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.638</w:t>
            </w:r>
          </w:p>
        </w:tc>
        <w:tc>
          <w:tcPr>
            <w:tcW w:type="dxa" w:w="83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.618</w:t>
            </w:r>
          </w:p>
        </w:tc>
        <w:tc>
          <w:tcPr>
            <w:tcW w:type="dxa" w:w="997"/>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.679</w:t>
            </w:r>
          </w:p>
        </w:tc>
        <w:tc>
          <w:tcPr>
            <w:tcW w:type="dxa" w:w="83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.483</w:t>
            </w:r>
          </w:p>
        </w:tc>
        <w:tc>
          <w:tcPr>
            <w:tcW w:type="dxa" w:w="100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.667</w:t>
            </w:r>
          </w:p>
        </w:tc>
      </w:tr>
      <w:tr>
        <w:trPr>
          <w:tblHeader w:val="off"/>
        </w:trPr>
        <w:tc>
          <w:tcPr>
            <w:tcW w:type="dxa" w:w="3822"/>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LLaVA-OneVision-7B</w:t>
            </w:r>
          </w:p>
        </w:tc>
        <w:tc>
          <w:tcPr>
            <w:tcW w:type="dxa" w:w="83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1.000</w:t>
            </w:r>
          </w:p>
        </w:tc>
        <w:tc>
          <w:tcPr>
            <w:tcW w:type="dxa" w:w="997"/>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.630</w:t>
            </w:r>
          </w:p>
        </w:tc>
        <w:tc>
          <w:tcPr>
            <w:tcW w:type="dxa" w:w="83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.718</w:t>
            </w:r>
          </w:p>
        </w:tc>
        <w:tc>
          <w:tcPr>
            <w:tcW w:type="dxa" w:w="997"/>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.695</w:t>
            </w:r>
          </w:p>
        </w:tc>
        <w:tc>
          <w:tcPr>
            <w:tcW w:type="dxa" w:w="83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.505</w:t>
            </w:r>
          </w:p>
        </w:tc>
        <w:tc>
          <w:tcPr>
            <w:tcW w:type="dxa" w:w="100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.524</w:t>
            </w:r>
          </w:p>
        </w:tc>
      </w:tr>
      <w:tr>
        <w:trPr>
          <w:tblHeader w:val="off"/>
        </w:trPr>
        <w:tc>
          <w:tcPr>
            <w:tcW w:type="dxa" w:w="3822"/>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Luxia (API, two-stage)</w:t>
            </w:r>
          </w:p>
        </w:tc>
        <w:tc>
          <w:tcPr>
            <w:tcW w:type="dxa" w:w="83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.949</w:t>
            </w:r>
          </w:p>
        </w:tc>
        <w:tc>
          <w:tcPr>
            <w:tcW w:type="dxa" w:w="997"/>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.549</w:t>
            </w:r>
          </w:p>
        </w:tc>
        <w:tc>
          <w:tcPr>
            <w:tcW w:type="dxa" w:w="83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.555</w:t>
            </w:r>
          </w:p>
        </w:tc>
        <w:tc>
          <w:tcPr>
            <w:tcW w:type="dxa" w:w="997"/>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.545</w:t>
            </w:r>
          </w:p>
        </w:tc>
        <w:tc>
          <w:tcPr>
            <w:tcW w:type="dxa" w:w="83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.360</w:t>
            </w:r>
          </w:p>
        </w:tc>
        <w:tc>
          <w:tcPr>
            <w:tcW w:type="dxa" w:w="100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.524</w:t>
            </w:r>
          </w:p>
        </w:tc>
      </w:tr>
      <w:tr>
        <w:trPr>
          <w:tblHeader w:val="off"/>
        </w:trPr>
        <w:tc>
          <w:tcPr>
            <w:tcW w:type="dxa" w:w="3822"/>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Always “no region” (Q3)</w:t>
            </w:r>
          </w:p>
        </w:tc>
        <w:tc>
          <w:tcPr>
            <w:tcW w:type="dxa" w:w="830"/>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w:t>
            </w:r>
          </w:p>
        </w:tc>
        <w:tc>
          <w:tcPr>
            <w:tcW w:type="dxa" w:w="997"/>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w:t>
            </w:r>
          </w:p>
        </w:tc>
        <w:tc>
          <w:tcPr>
            <w:tcW w:type="dxa" w:w="830"/>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w:t>
            </w:r>
          </w:p>
        </w:tc>
        <w:tc>
          <w:tcPr>
            <w:tcW w:type="dxa" w:w="997"/>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w:t>
            </w:r>
          </w:p>
        </w:tc>
        <w:tc>
          <w:tcPr>
            <w:tcW w:type="dxa" w:w="830"/>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w:t>
            </w:r>
          </w:p>
        </w:tc>
        <w:tc>
          <w:tcPr>
            <w:tcW w:type="dxa" w:w="1000"/>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.524</w:t>
            </w:r>
          </w:p>
        </w:tc>
      </w:tr>
      <w:tr>
        <w:trPr>
          <w:tblHeader w:val="off"/>
        </w:trPr>
        <w:tc>
          <w:tcPr>
            <w:tcW w:type="dxa" w:w="3822"/>
            <w:gridSpan w:val="1"/>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Always “center” (Q3)</w:t>
            </w:r>
          </w:p>
        </w:tc>
        <w:tc>
          <w:tcPr>
            <w:tcW w:type="dxa" w:w="830"/>
            <w:gridSpan w:val="1"/>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w:t>
            </w:r>
          </w:p>
        </w:tc>
        <w:tc>
          <w:tcPr>
            <w:tcW w:type="dxa" w:w="997"/>
            <w:gridSpan w:val="1"/>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w:t>
            </w:r>
          </w:p>
        </w:tc>
        <w:tc>
          <w:tcPr>
            <w:tcW w:type="dxa" w:w="830"/>
            <w:gridSpan w:val="1"/>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w:t>
            </w:r>
          </w:p>
        </w:tc>
        <w:tc>
          <w:tcPr>
            <w:tcW w:type="dxa" w:w="997"/>
            <w:gridSpan w:val="1"/>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w:t>
            </w:r>
          </w:p>
        </w:tc>
        <w:tc>
          <w:tcPr>
            <w:tcW w:type="dxa" w:w="830"/>
            <w:gridSpan w:val="1"/>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w:t>
            </w:r>
          </w:p>
        </w:tc>
        <w:tc>
          <w:tcPr>
            <w:tcW w:type="dxa" w:w="1000"/>
            <w:gridSpan w:val="1"/>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.476</w:t>
            </w:r>
          </w:p>
        </w:tc>
      </w:tr>
    </w:tbl>
    <w:p>
      <w:pPr>
        <w:spacing w:after="120"/>
      </w:pPr>
    </w:p>
    <w:p>
      <w:pPr>
        <w:pStyle w:val="Heading2"/>
        <w:keepNext/>
      </w:pPr>
      <w:r>
        <w:t xml:space="preserve">4.3 </w:t>
      </w:r>
      <w:r>
        <w:t xml:space="preserve">References and vision experts</w:t>
      </w:r>
    </w:p>
    <w:p>
      <w:pPr>
        <w:spacing w:after="120" w:line="276"/>
        <w:jc w:val="both"/>
      </w:pPr>
      <w:r>
        <w:t xml:space="preserve">Table </w:t>
      </w:r>
      <w:r>
        <w:t xml:space="preserve">3</w:t>
      </w:r>
      <w:r>
        <w:t xml:space="preserve"> adds reference images and expert cues for the four open models. The first is the fixed normal reference. The second is a </w:t>
      </w:r>
      <w:r>
        <w:rPr>
          <w:i/>
          <w:iCs/>
        </w:rPr>
        <w:t xml:space="preserve">defect</w:t>
      </w:r>
      <w:r>
        <w:t xml:space="preserve"> reference, the DINOv2-nearest anomalous image of the same asset from supervised train, chosen without the target label. The third gives both references together. The fourth is 20 vision-expert cues: four detectors (PatchCore, Dinomaly, AnomalyCLIP and a light ReconPatch variant) crossed with five presentations (score, ROI, heatmap, score+ROI, score+heatmap).</w:t>
      </w:r>
    </w:p>
    <w:p>
      <w:pPr>
        <w:spacing w:after="120" w:line="276"/>
        <w:jc w:val="both"/>
      </w:pPr>
      <w:r>
        <w:t xml:space="preserve">A normal reference raises Q1 F1 for all four open models, for example InternVL from .597 to .794. For MiniCPM, F1 overstates the gain: it now flags 86 of 107 normal images instead of 22 (recall .518 </w:t>
      </w:r>
      <w:r>
        <w:t xml:space="preserve">→</w:t>
      </w:r>
      <w:r>
        <w:t xml:space="preserve"> .978, specificity .794 </w:t>
      </w:r>
      <w:r>
        <w:t xml:space="preserve">→</w:t>
      </w:r>
      <w:r>
        <w:t xml:space="preserve"> .196), so its Q1 balanced accuracy falls from .656 to .587. Its effect on coherence is mixed. Consistency error falls for InternVL (.301</w:t>
      </w:r>
      <w:r>
        <w:t xml:space="preserve">→</w:t>
      </w:r>
      <w:r>
        <w:t xml:space="preserve">.215) and MiniCPM (.280</w:t>
      </w:r>
      <w:r>
        <w:t xml:space="preserve">→</w:t>
      </w:r>
      <w:r>
        <w:t xml:space="preserve">.110). It rises for Qwen (.264</w:t>
      </w:r>
      <w:r>
        <w:t xml:space="preserve">→</w:t>
      </w:r>
      <w:r>
        <w:t xml:space="preserve">.341) and more than doubles for LLaVA (.244</w:t>
      </w:r>
      <w:r>
        <w:t xml:space="preserve">→</w:t>
      </w:r>
      <w:r>
        <w:t xml:space="preserve">.593). For InternVL and MiniCPM the fewer contradictions come with many more normal images labelled with a defect type: the false defect rate rises from .346 to .617 and from .308 to .841 (MiniCPM </w:t>
      </w:r>
      <w:r>
        <w:t xml:space="preserve">+.533</w:t>
      </w:r>
      <w:r>
        <w:t xml:space="preserve">, paired CI </w:t>
      </w:r>
      <w:r>
        <w:t xml:space="preserve">[+.430,+.634]</w:t>
      </w:r>
      <w:r>
        <w:t xml:space="preserve">). A higher Q1 score therefore does not imply better fault understanding. With a defect reference, three of the four models detect almost no defect (Q1 F1 </w:t>
      </w:r>
      <w:r>
        <w:t xml:space="preserve">≤</w:t>
      </w:r>
      <w:r>
        <w:t xml:space="preserve"> .014) and call nearly every target normal. One hypothesis is that they compare the target with the exemplar and answer “normal” when the specific defect shown is absent; we did not test this further. Vision-expert cues trade one question against the other. Averaged over the 20 configurations, they lower Q1 F1 for InternVL (.597</w:t>
      </w:r>
      <w:r>
        <w:t xml:space="preserve">→</w:t>
      </w:r>
      <w:r>
        <w:t xml:space="preserve">.382) and MiniCPM (.583</w:t>
      </w:r>
      <w:r>
        <w:t xml:space="preserve">→</w:t>
      </w:r>
      <w:r>
        <w:t xml:space="preserve">.417, comparing its sampled runs) and raise Q2 macro-F1 by at most .04. Per configuration, 12 of the 20 raise Q2 for all four models (by up to </w:t>
      </w:r>
      <w:r>
        <w:t xml:space="preserve">+.093</w:t>
      </w:r>
      <w:r>
        <w:t xml:space="preserve">). Q1 F1, however, rises in only 3 of 20 configurations for each of Qwen, InternVL and MiniCPM, and no configuration raises both Q1 and Q2 for every model. Expert scores are percentiles within the 246-image cohort (transductive), which favours the expert condition.</w:t>
      </w:r>
    </w:p>
    <w:p>
      <w:pPr>
        <w:keepNext/>
        <w:spacing w:after="80" w:before="200"/>
      </w:pPr>
      <w:r>
        <w:rPr>
          <w:b/>
          <w:bCs/>
          <w:sz w:val="19"/>
          <w:szCs w:val="19"/>
        </w:rPr>
        <w:t xml:space="preserve">Table 3. </w:t>
      </w:r>
      <w:r>
        <w:rPr>
          <w:sz w:val="19"/>
          <w:szCs w:val="19"/>
        </w:rPr>
        <w:t xml:space="preserve">Effect of references and vision-expert cues on gold v2. Vision-expert values average 4 detectors </w:t>
      </w:r>
      <w:r>
        <w:rPr>
          <w:sz w:val="19"/>
          <w:szCs w:val="19"/>
        </w:rPr>
        <w:t xml:space="preserve">×</w:t>
      </w:r>
      <w:r>
        <w:rPr>
          <w:sz w:val="19"/>
          <w:szCs w:val="19"/>
        </w:rPr>
        <w:t xml:space="preserve"> 5 presentations. CE: consistency error; FDR: false defect rate on normal images. </w:t>
      </w:r>
      <w:r>
        <w:rPr>
          <w:sz w:val="19"/>
          <w:szCs w:val="19"/>
        </w:rPr>
        <w:t xml:space="preserve">†</w:t>
      </w:r>
      <w:r>
        <w:rPr>
          <w:sz w:val="19"/>
          <w:szCs w:val="19"/>
        </w:rPr>
        <w:t xml:space="preserve">MiniCPM-V-4.5 vision-expert row: single sampled run; its other rows are greedy re-runs.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974"/>
        <w:gridCol w:w="4089"/>
        <w:gridCol w:w="705"/>
        <w:gridCol w:w="705"/>
        <w:gridCol w:w="705"/>
        <w:gridCol w:w="564"/>
        <w:gridCol w:w="564"/>
      </w:tblGrid>
      <w:tr>
        <w:trPr>
          <w:tblHeader/>
        </w:trPr>
        <w:tc>
          <w:tcPr>
            <w:tcW w:type="dxa" w:w="1974"/>
            <w:gridSpan w:val="1"/>
            <w:tcBorders>
              <w:top w:val="single" w:color="000000" w:sz="8"/>
              <w:left w:val="none" w:color="FFFFFF" w:sz="0"/>
              <w:bottom w:val="single" w:color="000000" w:sz="8"/>
              <w:right w:val="none" w:color="FFFFFF" w:sz="0"/>
            </w:tcBorders>
            <w:shd w:fill="EDEDED" w:color="auto" w:val="clear"/>
            <w:tcMar>
              <w:top w:type="dxa" w:w="40"/>
              <w:left w:type="dxa" w:w="80"/>
              <w:bottom w:type="dxa" w:w="40"/>
              <w:right w:type="dxa" w:w="80"/>
            </w:tcMar>
          </w:tcPr>
          <w:p>
            <w:pPr>
              <w:spacing w:after="0" w:before="0"/>
              <w:jc w:val="left"/>
            </w:pPr>
            <w:r>
              <w:rPr>
                <w:b/>
                <w:bCs/>
                <w:sz w:val="17"/>
                <w:szCs w:val="17"/>
              </w:rPr>
              <w:t xml:space="preserve">Model</w:t>
            </w:r>
          </w:p>
        </w:tc>
        <w:tc>
          <w:tcPr>
            <w:tcW w:type="dxa" w:w="4089"/>
            <w:gridSpan w:val="1"/>
            <w:tcBorders>
              <w:top w:val="single" w:color="000000" w:sz="8"/>
              <w:left w:val="none" w:color="FFFFFF" w:sz="0"/>
              <w:bottom w:val="single" w:color="000000" w:sz="8"/>
              <w:right w:val="none" w:color="FFFFFF" w:sz="0"/>
            </w:tcBorders>
            <w:shd w:fill="EDEDED" w:color="auto" w:val="clear"/>
            <w:tcMar>
              <w:top w:type="dxa" w:w="40"/>
              <w:left w:type="dxa" w:w="80"/>
              <w:bottom w:type="dxa" w:w="40"/>
              <w:right w:type="dxa" w:w="80"/>
            </w:tcMar>
          </w:tcPr>
          <w:p>
            <w:pPr>
              <w:spacing w:after="0" w:before="0"/>
              <w:jc w:val="left"/>
            </w:pPr>
            <w:r>
              <w:rPr>
                <w:b/>
                <w:bCs/>
                <w:sz w:val="17"/>
                <w:szCs w:val="17"/>
              </w:rPr>
              <w:t xml:space="preserve">Condition</w:t>
            </w:r>
          </w:p>
        </w:tc>
        <w:tc>
          <w:tcPr>
            <w:tcW w:type="dxa" w:w="705"/>
            <w:gridSpan w:val="1"/>
            <w:tcBorders>
              <w:top w:val="single" w:color="000000" w:sz="8"/>
              <w:left w:val="none" w:color="FFFFFF" w:sz="0"/>
              <w:bottom w:val="single" w:color="000000" w:sz="8"/>
              <w:right w:val="none" w:color="FFFFFF" w:sz="0"/>
            </w:tcBorders>
            <w:shd w:fill="EDEDED" w:color="auto" w:val="clear"/>
            <w:tcMar>
              <w:top w:type="dxa" w:w="40"/>
              <w:left w:type="dxa" w:w="80"/>
              <w:bottom w:type="dxa" w:w="40"/>
              <w:right w:type="dxa" w:w="80"/>
            </w:tcMar>
          </w:tcPr>
          <w:p>
            <w:pPr>
              <w:spacing w:after="0" w:before="0"/>
              <w:jc w:val="right"/>
            </w:pPr>
            <w:r>
              <w:rPr>
                <w:b/>
                <w:bCs/>
                <w:sz w:val="17"/>
                <w:szCs w:val="17"/>
              </w:rPr>
              <w:t xml:space="preserve">Q1 F1</w:t>
            </w:r>
          </w:p>
        </w:tc>
        <w:tc>
          <w:tcPr>
            <w:tcW w:type="dxa" w:w="705"/>
            <w:gridSpan w:val="1"/>
            <w:tcBorders>
              <w:top w:val="single" w:color="000000" w:sz="8"/>
              <w:left w:val="none" w:color="FFFFFF" w:sz="0"/>
              <w:bottom w:val="single" w:color="000000" w:sz="8"/>
              <w:right w:val="none" w:color="FFFFFF" w:sz="0"/>
            </w:tcBorders>
            <w:shd w:fill="EDEDED" w:color="auto" w:val="clear"/>
            <w:tcMar>
              <w:top w:type="dxa" w:w="40"/>
              <w:left w:type="dxa" w:w="80"/>
              <w:bottom w:type="dxa" w:w="40"/>
              <w:right w:type="dxa" w:w="80"/>
            </w:tcMar>
          </w:tcPr>
          <w:p>
            <w:pPr>
              <w:spacing w:after="0" w:before="0"/>
              <w:jc w:val="right"/>
            </w:pPr>
            <w:r>
              <w:rPr>
                <w:b/>
                <w:bCs/>
                <w:sz w:val="17"/>
                <w:szCs w:val="17"/>
              </w:rPr>
              <w:t xml:space="preserve">Q2 F1</w:t>
            </w:r>
          </w:p>
        </w:tc>
        <w:tc>
          <w:tcPr>
            <w:tcW w:type="dxa" w:w="705"/>
            <w:gridSpan w:val="1"/>
            <w:tcBorders>
              <w:top w:val="single" w:color="000000" w:sz="8"/>
              <w:left w:val="none" w:color="FFFFFF" w:sz="0"/>
              <w:bottom w:val="single" w:color="000000" w:sz="8"/>
              <w:right w:val="none" w:color="FFFFFF" w:sz="0"/>
            </w:tcBorders>
            <w:shd w:fill="EDEDED" w:color="auto" w:val="clear"/>
            <w:tcMar>
              <w:top w:type="dxa" w:w="40"/>
              <w:left w:type="dxa" w:w="80"/>
              <w:bottom w:type="dxa" w:w="40"/>
              <w:right w:type="dxa" w:w="80"/>
            </w:tcMar>
          </w:tcPr>
          <w:p>
            <w:pPr>
              <w:spacing w:after="0" w:before="0"/>
              <w:jc w:val="right"/>
            </w:pPr>
            <w:r>
              <w:rPr>
                <w:b/>
                <w:bCs/>
                <w:sz w:val="17"/>
                <w:szCs w:val="17"/>
              </w:rPr>
              <w:t xml:space="preserve">Joint</w:t>
            </w:r>
          </w:p>
        </w:tc>
        <w:tc>
          <w:tcPr>
            <w:tcW w:type="dxa" w:w="564"/>
            <w:gridSpan w:val="1"/>
            <w:tcBorders>
              <w:top w:val="single" w:color="000000" w:sz="8"/>
              <w:left w:val="none" w:color="FFFFFF" w:sz="0"/>
              <w:bottom w:val="single" w:color="000000" w:sz="8"/>
              <w:right w:val="none" w:color="FFFFFF" w:sz="0"/>
            </w:tcBorders>
            <w:shd w:fill="EDEDED" w:color="auto" w:val="clear"/>
            <w:tcMar>
              <w:top w:type="dxa" w:w="40"/>
              <w:left w:type="dxa" w:w="80"/>
              <w:bottom w:type="dxa" w:w="40"/>
              <w:right w:type="dxa" w:w="80"/>
            </w:tcMar>
          </w:tcPr>
          <w:p>
            <w:pPr>
              <w:spacing w:after="0" w:before="0"/>
              <w:jc w:val="right"/>
            </w:pPr>
            <w:r>
              <w:rPr>
                <w:b/>
                <w:bCs/>
                <w:sz w:val="17"/>
                <w:szCs w:val="17"/>
              </w:rPr>
              <w:t xml:space="preserve">CE</w:t>
            </w:r>
          </w:p>
        </w:tc>
        <w:tc>
          <w:tcPr>
            <w:tcW w:type="dxa" w:w="564"/>
            <w:gridSpan w:val="1"/>
            <w:tcBorders>
              <w:top w:val="single" w:color="000000" w:sz="8"/>
              <w:left w:val="none" w:color="FFFFFF" w:sz="0"/>
              <w:bottom w:val="single" w:color="000000" w:sz="8"/>
              <w:right w:val="none" w:color="FFFFFF" w:sz="0"/>
            </w:tcBorders>
            <w:shd w:fill="EDEDED" w:color="auto" w:val="clear"/>
            <w:tcMar>
              <w:top w:type="dxa" w:w="40"/>
              <w:left w:type="dxa" w:w="80"/>
              <w:bottom w:type="dxa" w:w="40"/>
              <w:right w:type="dxa" w:w="80"/>
            </w:tcMar>
          </w:tcPr>
          <w:p>
            <w:pPr>
              <w:spacing w:after="0" w:before="0"/>
              <w:jc w:val="right"/>
            </w:pPr>
            <w:r>
              <w:rPr>
                <w:b/>
                <w:bCs/>
                <w:sz w:val="17"/>
                <w:szCs w:val="17"/>
              </w:rPr>
              <w:t xml:space="preserve">FDR</w:t>
            </w:r>
          </w:p>
        </w:tc>
      </w:tr>
      <w:tr>
        <w:trPr>
          <w:tblHeader w:val="off"/>
        </w:trPr>
        <w:tc>
          <w:tcPr>
            <w:tcW w:type="dxa" w:w="1974"/>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Qwen3.5-4B</w:t>
            </w:r>
          </w:p>
        </w:tc>
        <w:tc>
          <w:tcPr>
            <w:tcW w:type="dxa" w:w="4089"/>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Image only</w:t>
            </w:r>
          </w:p>
        </w:tc>
        <w:tc>
          <w:tcPr>
            <w:tcW w:type="dxa" w:w="705"/>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.646</w:t>
            </w:r>
          </w:p>
        </w:tc>
        <w:tc>
          <w:tcPr>
            <w:tcW w:type="dxa" w:w="705"/>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.445</w:t>
            </w:r>
          </w:p>
        </w:tc>
        <w:tc>
          <w:tcPr>
            <w:tcW w:type="dxa" w:w="705"/>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.407</w:t>
            </w:r>
          </w:p>
        </w:tc>
        <w:tc>
          <w:tcPr>
            <w:tcW w:type="dxa" w:w="564"/>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.264</w:t>
            </w:r>
          </w:p>
        </w:tc>
        <w:tc>
          <w:tcPr>
            <w:tcW w:type="dxa" w:w="564"/>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.607</w:t>
            </w:r>
          </w:p>
        </w:tc>
      </w:tr>
      <w:tr>
        <w:trPr>
          <w:tblHeader w:val="off"/>
        </w:trPr>
        <w:tc>
          <w:tcPr>
            <w:tcW w:type="dxa" w:w="1974"/>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p>
        </w:tc>
        <w:tc>
          <w:tcPr>
            <w:tcW w:type="dxa" w:w="4089"/>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 normal ref.</w:t>
            </w:r>
          </w:p>
        </w:tc>
        <w:tc>
          <w:tcPr>
            <w:tcW w:type="dxa" w:w="705"/>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.735</w:t>
            </w:r>
          </w:p>
        </w:tc>
        <w:tc>
          <w:tcPr>
            <w:tcW w:type="dxa" w:w="705"/>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.595</w:t>
            </w:r>
          </w:p>
        </w:tc>
        <w:tc>
          <w:tcPr>
            <w:tcW w:type="dxa" w:w="705"/>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.476</w:t>
            </w:r>
          </w:p>
        </w:tc>
        <w:tc>
          <w:tcPr>
            <w:tcW w:type="dxa" w:w="564"/>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.341</w:t>
            </w:r>
          </w:p>
        </w:tc>
        <w:tc>
          <w:tcPr>
            <w:tcW w:type="dxa" w:w="564"/>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.430</w:t>
            </w:r>
          </w:p>
        </w:tc>
      </w:tr>
      <w:tr>
        <w:trPr>
          <w:tblHeader w:val="off"/>
        </w:trPr>
        <w:tc>
          <w:tcPr>
            <w:tcW w:type="dxa" w:w="1974"/>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p>
        </w:tc>
        <w:tc>
          <w:tcPr>
            <w:tcW w:type="dxa" w:w="4089"/>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 defect ref.</w:t>
            </w:r>
          </w:p>
        </w:tc>
        <w:tc>
          <w:tcPr>
            <w:tcW w:type="dxa" w:w="705"/>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.596</w:t>
            </w:r>
          </w:p>
        </w:tc>
        <w:tc>
          <w:tcPr>
            <w:tcW w:type="dxa" w:w="705"/>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.412</w:t>
            </w:r>
          </w:p>
        </w:tc>
        <w:tc>
          <w:tcPr>
            <w:tcW w:type="dxa" w:w="705"/>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.276</w:t>
            </w:r>
          </w:p>
        </w:tc>
        <w:tc>
          <w:tcPr>
            <w:tcW w:type="dxa" w:w="564"/>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.435</w:t>
            </w:r>
          </w:p>
        </w:tc>
        <w:tc>
          <w:tcPr>
            <w:tcW w:type="dxa" w:w="564"/>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.589</w:t>
            </w:r>
          </w:p>
        </w:tc>
      </w:tr>
      <w:tr>
        <w:trPr>
          <w:tblHeader w:val="off"/>
        </w:trPr>
        <w:tc>
          <w:tcPr>
            <w:tcW w:type="dxa" w:w="1974"/>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p>
        </w:tc>
        <w:tc>
          <w:tcPr>
            <w:tcW w:type="dxa" w:w="4089"/>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 normal &amp; defect ref.</w:t>
            </w:r>
          </w:p>
        </w:tc>
        <w:tc>
          <w:tcPr>
            <w:tcW w:type="dxa" w:w="705"/>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.632</w:t>
            </w:r>
          </w:p>
        </w:tc>
        <w:tc>
          <w:tcPr>
            <w:tcW w:type="dxa" w:w="705"/>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.522</w:t>
            </w:r>
          </w:p>
        </w:tc>
        <w:tc>
          <w:tcPr>
            <w:tcW w:type="dxa" w:w="705"/>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.354</w:t>
            </w:r>
          </w:p>
        </w:tc>
        <w:tc>
          <w:tcPr>
            <w:tcW w:type="dxa" w:w="564"/>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.382</w:t>
            </w:r>
          </w:p>
        </w:tc>
        <w:tc>
          <w:tcPr>
            <w:tcW w:type="dxa" w:w="564"/>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.748</w:t>
            </w:r>
          </w:p>
        </w:tc>
      </w:tr>
      <w:tr>
        <w:trPr>
          <w:tblHeader w:val="off"/>
        </w:trPr>
        <w:tc>
          <w:tcPr>
            <w:tcW w:type="dxa" w:w="1974"/>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p>
        </w:tc>
        <w:tc>
          <w:tcPr>
            <w:tcW w:type="dxa" w:w="4089"/>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 vision expert (mean of 20)</w:t>
            </w:r>
          </w:p>
        </w:tc>
        <w:tc>
          <w:tcPr>
            <w:tcW w:type="dxa" w:w="705"/>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.589</w:t>
            </w:r>
          </w:p>
        </w:tc>
        <w:tc>
          <w:tcPr>
            <w:tcW w:type="dxa" w:w="705"/>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.457</w:t>
            </w:r>
          </w:p>
        </w:tc>
        <w:tc>
          <w:tcPr>
            <w:tcW w:type="dxa" w:w="705"/>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.362</w:t>
            </w:r>
          </w:p>
        </w:tc>
        <w:tc>
          <w:tcPr>
            <w:tcW w:type="dxa" w:w="564"/>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.389</w:t>
            </w:r>
          </w:p>
        </w:tc>
        <w:tc>
          <w:tcPr>
            <w:tcW w:type="dxa" w:w="564"/>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.460</w:t>
            </w:r>
          </w:p>
        </w:tc>
      </w:tr>
      <w:tr>
        <w:trPr>
          <w:tblHeader w:val="off"/>
        </w:trPr>
        <w:tc>
          <w:tcPr>
            <w:tcW w:type="dxa" w:w="1974"/>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InternVL3.5-8B</w:t>
            </w:r>
          </w:p>
        </w:tc>
        <w:tc>
          <w:tcPr>
            <w:tcW w:type="dxa" w:w="4089"/>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Image only</w:t>
            </w:r>
          </w:p>
        </w:tc>
        <w:tc>
          <w:tcPr>
            <w:tcW w:type="dxa" w:w="705"/>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.597</w:t>
            </w:r>
          </w:p>
        </w:tc>
        <w:tc>
          <w:tcPr>
            <w:tcW w:type="dxa" w:w="705"/>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.438</w:t>
            </w:r>
          </w:p>
        </w:tc>
        <w:tc>
          <w:tcPr>
            <w:tcW w:type="dxa" w:w="705"/>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.435</w:t>
            </w:r>
          </w:p>
        </w:tc>
        <w:tc>
          <w:tcPr>
            <w:tcW w:type="dxa" w:w="564"/>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.301</w:t>
            </w:r>
          </w:p>
        </w:tc>
        <w:tc>
          <w:tcPr>
            <w:tcW w:type="dxa" w:w="564"/>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.346</w:t>
            </w:r>
          </w:p>
        </w:tc>
      </w:tr>
      <w:tr>
        <w:trPr>
          <w:tblHeader w:val="off"/>
        </w:trPr>
        <w:tc>
          <w:tcPr>
            <w:tcW w:type="dxa" w:w="1974"/>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p>
        </w:tc>
        <w:tc>
          <w:tcPr>
            <w:tcW w:type="dxa" w:w="4089"/>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 normal ref.</w:t>
            </w:r>
          </w:p>
        </w:tc>
        <w:tc>
          <w:tcPr>
            <w:tcW w:type="dxa" w:w="705"/>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.794</w:t>
            </w:r>
          </w:p>
        </w:tc>
        <w:tc>
          <w:tcPr>
            <w:tcW w:type="dxa" w:w="705"/>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.468</w:t>
            </w:r>
          </w:p>
        </w:tc>
        <w:tc>
          <w:tcPr>
            <w:tcW w:type="dxa" w:w="705"/>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.496</w:t>
            </w:r>
          </w:p>
        </w:tc>
        <w:tc>
          <w:tcPr>
            <w:tcW w:type="dxa" w:w="564"/>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.215</w:t>
            </w:r>
          </w:p>
        </w:tc>
        <w:tc>
          <w:tcPr>
            <w:tcW w:type="dxa" w:w="564"/>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.617</w:t>
            </w:r>
          </w:p>
        </w:tc>
      </w:tr>
      <w:tr>
        <w:trPr>
          <w:tblHeader w:val="off"/>
        </w:trPr>
        <w:tc>
          <w:tcPr>
            <w:tcW w:type="dxa" w:w="1974"/>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p>
        </w:tc>
        <w:tc>
          <w:tcPr>
            <w:tcW w:type="dxa" w:w="4089"/>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 defect ref.</w:t>
            </w:r>
          </w:p>
        </w:tc>
        <w:tc>
          <w:tcPr>
            <w:tcW w:type="dxa" w:w="705"/>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.000</w:t>
            </w:r>
          </w:p>
        </w:tc>
        <w:tc>
          <w:tcPr>
            <w:tcW w:type="dxa" w:w="705"/>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.365</w:t>
            </w:r>
          </w:p>
        </w:tc>
        <w:tc>
          <w:tcPr>
            <w:tcW w:type="dxa" w:w="705"/>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.346</w:t>
            </w:r>
          </w:p>
        </w:tc>
        <w:tc>
          <w:tcPr>
            <w:tcW w:type="dxa" w:w="564"/>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.264</w:t>
            </w:r>
          </w:p>
        </w:tc>
        <w:tc>
          <w:tcPr>
            <w:tcW w:type="dxa" w:w="564"/>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.178</w:t>
            </w:r>
          </w:p>
        </w:tc>
      </w:tr>
      <w:tr>
        <w:trPr>
          <w:tblHeader w:val="off"/>
        </w:trPr>
        <w:tc>
          <w:tcPr>
            <w:tcW w:type="dxa" w:w="1974"/>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p>
        </w:tc>
        <w:tc>
          <w:tcPr>
            <w:tcW w:type="dxa" w:w="4089"/>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 normal &amp; defect ref.</w:t>
            </w:r>
          </w:p>
        </w:tc>
        <w:tc>
          <w:tcPr>
            <w:tcW w:type="dxa" w:w="705"/>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.735</w:t>
            </w:r>
          </w:p>
        </w:tc>
        <w:tc>
          <w:tcPr>
            <w:tcW w:type="dxa" w:w="705"/>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.490</w:t>
            </w:r>
          </w:p>
        </w:tc>
        <w:tc>
          <w:tcPr>
            <w:tcW w:type="dxa" w:w="705"/>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.537</w:t>
            </w:r>
          </w:p>
        </w:tc>
        <w:tc>
          <w:tcPr>
            <w:tcW w:type="dxa" w:w="564"/>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.228</w:t>
            </w:r>
          </w:p>
        </w:tc>
        <w:tc>
          <w:tcPr>
            <w:tcW w:type="dxa" w:w="564"/>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.393</w:t>
            </w:r>
          </w:p>
        </w:tc>
      </w:tr>
      <w:tr>
        <w:trPr>
          <w:tblHeader w:val="off"/>
        </w:trPr>
        <w:tc>
          <w:tcPr>
            <w:tcW w:type="dxa" w:w="1974"/>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p>
        </w:tc>
        <w:tc>
          <w:tcPr>
            <w:tcW w:type="dxa" w:w="4089"/>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 vision expert (mean of 20)</w:t>
            </w:r>
          </w:p>
        </w:tc>
        <w:tc>
          <w:tcPr>
            <w:tcW w:type="dxa" w:w="705"/>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.382</w:t>
            </w:r>
          </w:p>
        </w:tc>
        <w:tc>
          <w:tcPr>
            <w:tcW w:type="dxa" w:w="705"/>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.470</w:t>
            </w:r>
          </w:p>
        </w:tc>
        <w:tc>
          <w:tcPr>
            <w:tcW w:type="dxa" w:w="705"/>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.369</w:t>
            </w:r>
          </w:p>
        </w:tc>
        <w:tc>
          <w:tcPr>
            <w:tcW w:type="dxa" w:w="564"/>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.423</w:t>
            </w:r>
          </w:p>
        </w:tc>
        <w:tc>
          <w:tcPr>
            <w:tcW w:type="dxa" w:w="564"/>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.284</w:t>
            </w:r>
          </w:p>
        </w:tc>
      </w:tr>
      <w:tr>
        <w:trPr>
          <w:tblHeader w:val="off"/>
        </w:trPr>
        <w:tc>
          <w:tcPr>
            <w:tcW w:type="dxa" w:w="1974"/>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MiniCPM-V-4.5</w:t>
            </w:r>
          </w:p>
        </w:tc>
        <w:tc>
          <w:tcPr>
            <w:tcW w:type="dxa" w:w="4089"/>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Image only</w:t>
            </w:r>
          </w:p>
        </w:tc>
        <w:tc>
          <w:tcPr>
            <w:tcW w:type="dxa" w:w="705"/>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.618</w:t>
            </w:r>
          </w:p>
        </w:tc>
        <w:tc>
          <w:tcPr>
            <w:tcW w:type="dxa" w:w="705"/>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.483</w:t>
            </w:r>
          </w:p>
        </w:tc>
        <w:tc>
          <w:tcPr>
            <w:tcW w:type="dxa" w:w="705"/>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.496</w:t>
            </w:r>
          </w:p>
        </w:tc>
        <w:tc>
          <w:tcPr>
            <w:tcW w:type="dxa" w:w="564"/>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.280</w:t>
            </w:r>
          </w:p>
        </w:tc>
        <w:tc>
          <w:tcPr>
            <w:tcW w:type="dxa" w:w="564"/>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.308</w:t>
            </w:r>
          </w:p>
        </w:tc>
      </w:tr>
      <w:tr>
        <w:trPr>
          <w:tblHeader w:val="off"/>
        </w:trPr>
        <w:tc>
          <w:tcPr>
            <w:tcW w:type="dxa" w:w="1974"/>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p>
        </w:tc>
        <w:tc>
          <w:tcPr>
            <w:tcW w:type="dxa" w:w="4089"/>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 normal ref.</w:t>
            </w:r>
          </w:p>
        </w:tc>
        <w:tc>
          <w:tcPr>
            <w:tcW w:type="dxa" w:w="705"/>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.753</w:t>
            </w:r>
          </w:p>
        </w:tc>
        <w:tc>
          <w:tcPr>
            <w:tcW w:type="dxa" w:w="705"/>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.461</w:t>
            </w:r>
          </w:p>
        </w:tc>
        <w:tc>
          <w:tcPr>
            <w:tcW w:type="dxa" w:w="705"/>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.484</w:t>
            </w:r>
          </w:p>
        </w:tc>
        <w:tc>
          <w:tcPr>
            <w:tcW w:type="dxa" w:w="564"/>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.110</w:t>
            </w:r>
          </w:p>
        </w:tc>
        <w:tc>
          <w:tcPr>
            <w:tcW w:type="dxa" w:w="564"/>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.841</w:t>
            </w:r>
          </w:p>
        </w:tc>
      </w:tr>
      <w:tr>
        <w:trPr>
          <w:tblHeader w:val="off"/>
        </w:trPr>
        <w:tc>
          <w:tcPr>
            <w:tcW w:type="dxa" w:w="1974"/>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p>
        </w:tc>
        <w:tc>
          <w:tcPr>
            <w:tcW w:type="dxa" w:w="4089"/>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 defect ref.</w:t>
            </w:r>
          </w:p>
        </w:tc>
        <w:tc>
          <w:tcPr>
            <w:tcW w:type="dxa" w:w="705"/>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.014</w:t>
            </w:r>
          </w:p>
        </w:tc>
        <w:tc>
          <w:tcPr>
            <w:tcW w:type="dxa" w:w="705"/>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.328</w:t>
            </w:r>
          </w:p>
        </w:tc>
        <w:tc>
          <w:tcPr>
            <w:tcW w:type="dxa" w:w="705"/>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.415</w:t>
            </w:r>
          </w:p>
        </w:tc>
        <w:tc>
          <w:tcPr>
            <w:tcW w:type="dxa" w:w="564"/>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.142</w:t>
            </w:r>
          </w:p>
        </w:tc>
        <w:tc>
          <w:tcPr>
            <w:tcW w:type="dxa" w:w="564"/>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.047</w:t>
            </w:r>
          </w:p>
        </w:tc>
      </w:tr>
      <w:tr>
        <w:trPr>
          <w:tblHeader w:val="off"/>
        </w:trPr>
        <w:tc>
          <w:tcPr>
            <w:tcW w:type="dxa" w:w="1974"/>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p>
        </w:tc>
        <w:tc>
          <w:tcPr>
            <w:tcW w:type="dxa" w:w="4089"/>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 normal &amp; defect ref.</w:t>
            </w:r>
          </w:p>
        </w:tc>
        <w:tc>
          <w:tcPr>
            <w:tcW w:type="dxa" w:w="705"/>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.648</w:t>
            </w:r>
          </w:p>
        </w:tc>
        <w:tc>
          <w:tcPr>
            <w:tcW w:type="dxa" w:w="705"/>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.488</w:t>
            </w:r>
          </w:p>
        </w:tc>
        <w:tc>
          <w:tcPr>
            <w:tcW w:type="dxa" w:w="705"/>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.447</w:t>
            </w:r>
          </w:p>
        </w:tc>
        <w:tc>
          <w:tcPr>
            <w:tcW w:type="dxa" w:w="564"/>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.301</w:t>
            </w:r>
          </w:p>
        </w:tc>
        <w:tc>
          <w:tcPr>
            <w:tcW w:type="dxa" w:w="564"/>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.607</w:t>
            </w:r>
          </w:p>
        </w:tc>
      </w:tr>
      <w:tr>
        <w:trPr>
          <w:tblHeader w:val="off"/>
        </w:trPr>
        <w:tc>
          <w:tcPr>
            <w:tcW w:type="dxa" w:w="1974"/>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p>
        </w:tc>
        <w:tc>
          <w:tcPr>
            <w:tcW w:type="dxa" w:w="4089"/>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 vision expert (mean of 20)</w:t>
            </w:r>
            <w:r>
              <w:rPr>
                <w:b w:val="false"/>
                <w:bCs w:val="false"/>
                <w:sz w:val="17"/>
                <w:szCs w:val="17"/>
              </w:rPr>
              <w:t xml:space="preserve">†</w:t>
            </w:r>
          </w:p>
        </w:tc>
        <w:tc>
          <w:tcPr>
            <w:tcW w:type="dxa" w:w="705"/>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.417</w:t>
            </w:r>
          </w:p>
        </w:tc>
        <w:tc>
          <w:tcPr>
            <w:tcW w:type="dxa" w:w="705"/>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.477</w:t>
            </w:r>
          </w:p>
        </w:tc>
        <w:tc>
          <w:tcPr>
            <w:tcW w:type="dxa" w:w="705"/>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.412</w:t>
            </w:r>
          </w:p>
        </w:tc>
        <w:tc>
          <w:tcPr>
            <w:tcW w:type="dxa" w:w="564"/>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.367</w:t>
            </w:r>
          </w:p>
        </w:tc>
        <w:tc>
          <w:tcPr>
            <w:tcW w:type="dxa" w:w="564"/>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.235</w:t>
            </w:r>
          </w:p>
        </w:tc>
      </w:tr>
      <w:tr>
        <w:trPr>
          <w:tblHeader w:val="off"/>
        </w:trPr>
        <w:tc>
          <w:tcPr>
            <w:tcW w:type="dxa" w:w="1974"/>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LLaVA-OV-7B</w:t>
            </w:r>
          </w:p>
        </w:tc>
        <w:tc>
          <w:tcPr>
            <w:tcW w:type="dxa" w:w="4089"/>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Image only</w:t>
            </w:r>
          </w:p>
        </w:tc>
        <w:tc>
          <w:tcPr>
            <w:tcW w:type="dxa" w:w="705"/>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.718</w:t>
            </w:r>
          </w:p>
        </w:tc>
        <w:tc>
          <w:tcPr>
            <w:tcW w:type="dxa" w:w="705"/>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.505</w:t>
            </w:r>
          </w:p>
        </w:tc>
        <w:tc>
          <w:tcPr>
            <w:tcW w:type="dxa" w:w="705"/>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.512</w:t>
            </w:r>
          </w:p>
        </w:tc>
        <w:tc>
          <w:tcPr>
            <w:tcW w:type="dxa" w:w="564"/>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.244</w:t>
            </w:r>
          </w:p>
        </w:tc>
        <w:tc>
          <w:tcPr>
            <w:tcW w:type="dxa" w:w="564"/>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.252</w:t>
            </w:r>
          </w:p>
        </w:tc>
      </w:tr>
      <w:tr>
        <w:trPr>
          <w:tblHeader w:val="off"/>
        </w:trPr>
        <w:tc>
          <w:tcPr>
            <w:tcW w:type="dxa" w:w="1974"/>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p>
        </w:tc>
        <w:tc>
          <w:tcPr>
            <w:tcW w:type="dxa" w:w="4089"/>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 normal ref.</w:t>
            </w:r>
          </w:p>
        </w:tc>
        <w:tc>
          <w:tcPr>
            <w:tcW w:type="dxa" w:w="705"/>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.749</w:t>
            </w:r>
          </w:p>
        </w:tc>
        <w:tc>
          <w:tcPr>
            <w:tcW w:type="dxa" w:w="705"/>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.446</w:t>
            </w:r>
          </w:p>
        </w:tc>
        <w:tc>
          <w:tcPr>
            <w:tcW w:type="dxa" w:w="705"/>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.333</w:t>
            </w:r>
          </w:p>
        </w:tc>
        <w:tc>
          <w:tcPr>
            <w:tcW w:type="dxa" w:w="564"/>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.593</w:t>
            </w:r>
          </w:p>
        </w:tc>
        <w:tc>
          <w:tcPr>
            <w:tcW w:type="dxa" w:w="564"/>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.009</w:t>
            </w:r>
          </w:p>
        </w:tc>
      </w:tr>
      <w:tr>
        <w:trPr>
          <w:tblHeader w:val="off"/>
        </w:trPr>
        <w:tc>
          <w:tcPr>
            <w:tcW w:type="dxa" w:w="1974"/>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p>
        </w:tc>
        <w:tc>
          <w:tcPr>
            <w:tcW w:type="dxa" w:w="4089"/>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 defect ref.</w:t>
            </w:r>
          </w:p>
        </w:tc>
        <w:tc>
          <w:tcPr>
            <w:tcW w:type="dxa" w:w="705"/>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.000</w:t>
            </w:r>
          </w:p>
        </w:tc>
        <w:tc>
          <w:tcPr>
            <w:tcW w:type="dxa" w:w="705"/>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.173</w:t>
            </w:r>
          </w:p>
        </w:tc>
        <w:tc>
          <w:tcPr>
            <w:tcW w:type="dxa" w:w="705"/>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.427</w:t>
            </w:r>
          </w:p>
        </w:tc>
        <w:tc>
          <w:tcPr>
            <w:tcW w:type="dxa" w:w="564"/>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.012</w:t>
            </w:r>
          </w:p>
        </w:tc>
        <w:tc>
          <w:tcPr>
            <w:tcW w:type="dxa" w:w="564"/>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.000</w:t>
            </w:r>
          </w:p>
        </w:tc>
      </w:tr>
      <w:tr>
        <w:trPr>
          <w:tblHeader w:val="off"/>
        </w:trPr>
        <w:tc>
          <w:tcPr>
            <w:tcW w:type="dxa" w:w="1974"/>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p>
        </w:tc>
        <w:tc>
          <w:tcPr>
            <w:tcW w:type="dxa" w:w="4089"/>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 normal &amp; defect ref.</w:t>
            </w:r>
          </w:p>
        </w:tc>
        <w:tc>
          <w:tcPr>
            <w:tcW w:type="dxa" w:w="705"/>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.663</w:t>
            </w:r>
          </w:p>
        </w:tc>
        <w:tc>
          <w:tcPr>
            <w:tcW w:type="dxa" w:w="705"/>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.429</w:t>
            </w:r>
          </w:p>
        </w:tc>
        <w:tc>
          <w:tcPr>
            <w:tcW w:type="dxa" w:w="705"/>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.309</w:t>
            </w:r>
          </w:p>
        </w:tc>
        <w:tc>
          <w:tcPr>
            <w:tcW w:type="dxa" w:w="564"/>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.451</w:t>
            </w:r>
          </w:p>
        </w:tc>
        <w:tc>
          <w:tcPr>
            <w:tcW w:type="dxa" w:w="564"/>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.262</w:t>
            </w:r>
          </w:p>
        </w:tc>
      </w:tr>
      <w:tr>
        <w:trPr>
          <w:tblHeader w:val="off"/>
        </w:trPr>
        <w:tc>
          <w:tcPr>
            <w:tcW w:type="dxa" w:w="1974"/>
            <w:gridSpan w:val="1"/>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before="0"/>
              <w:jc w:val="left"/>
            </w:pPr>
          </w:p>
        </w:tc>
        <w:tc>
          <w:tcPr>
            <w:tcW w:type="dxa" w:w="4089"/>
            <w:gridSpan w:val="1"/>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 vision expert (mean of 20)</w:t>
            </w:r>
          </w:p>
        </w:tc>
        <w:tc>
          <w:tcPr>
            <w:tcW w:type="dxa" w:w="705"/>
            <w:gridSpan w:val="1"/>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.697</w:t>
            </w:r>
          </w:p>
        </w:tc>
        <w:tc>
          <w:tcPr>
            <w:tcW w:type="dxa" w:w="705"/>
            <w:gridSpan w:val="1"/>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.543</w:t>
            </w:r>
          </w:p>
        </w:tc>
        <w:tc>
          <w:tcPr>
            <w:tcW w:type="dxa" w:w="705"/>
            <w:gridSpan w:val="1"/>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.484</w:t>
            </w:r>
          </w:p>
        </w:tc>
        <w:tc>
          <w:tcPr>
            <w:tcW w:type="dxa" w:w="564"/>
            <w:gridSpan w:val="1"/>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.362</w:t>
            </w:r>
          </w:p>
        </w:tc>
        <w:tc>
          <w:tcPr>
            <w:tcW w:type="dxa" w:w="564"/>
            <w:gridSpan w:val="1"/>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.096</w:t>
            </w:r>
          </w:p>
        </w:tc>
      </w:tr>
    </w:tbl>
    <w:p>
      <w:pPr>
        <w:spacing w:after="120"/>
      </w:pPr>
    </w:p>
    <w:p>
      <w:pPr>
        <w:pStyle w:val="Heading1"/>
        <w:keepNext/>
      </w:pPr>
      <w:r>
        <w:t xml:space="preserve">5 </w:t>
      </w:r>
      <w:r>
        <w:t xml:space="preserve">A Question-Independent Verification Agent</w:t>
      </w:r>
    </w:p>
    <w:p>
      <w:pPr>
        <w:pStyle w:val="Heading2"/>
        <w:keepNext/>
      </w:pPr>
      <w:r>
        <w:t xml:space="preserve">5.1 </w:t>
      </w:r>
      <w:r>
        <w:t xml:space="preserve">Design</w:t>
      </w:r>
    </w:p>
    <w:p>
      <w:pPr>
        <w:spacing w:after="120" w:line="276"/>
        <w:jc w:val="both"/>
      </w:pPr>
      <w:r>
        <w:t xml:space="preserve">The agent starts from the direct answer with a retrieved (diffdate) normal reference. Each question is re-examined on its own: a re-check sees only the reference and target images, the question and that question's own first answer. No other question's answer is shown, used for routing or overwritten. Contradictions between questions are computed only after all final answers are stored. Q1 is never re-checked, because a dev pilot that re-asked every question collapsed InternVL's Q1 F1 from .82 to .08, so Q1 is identical across policies.</w:t>
      </w:r>
    </w:p>
    <w:p>
      <w:pPr>
        <w:pStyle w:val="ListParagraph"/>
        <w:numPr>
          <w:ilvl w:val="0"/>
          <w:numId w:val="2"/>
        </w:numPr>
        <w:spacing w:after="80" w:line="276"/>
        <w:jc w:val="both"/>
      </w:pPr>
      <w:r>
        <w:rPr>
          <w:b/>
          <w:bCs/>
        </w:rPr>
        <w:t xml:space="preserve">Q2, verification agent.</w:t>
      </w:r>
      <w:r>
        <w:t xml:space="preserve"> A “second look” prompt shows the model's own first answer, which may be right or wrong, together with one-sentence visual definitions of the four options.</w:t>
      </w:r>
    </w:p>
    <w:p>
      <w:pPr>
        <w:pStyle w:val="ListParagraph"/>
        <w:numPr>
          <w:ilvl w:val="0"/>
          <w:numId w:val="2"/>
        </w:numPr>
        <w:spacing w:after="80" w:line="276"/>
        <w:jc w:val="both"/>
      </w:pPr>
      <w:r>
        <w:rPr>
          <w:b/>
          <w:bCs/>
        </w:rPr>
        <w:t xml:space="preserve">Q2, revised candidate.</w:t>
      </w:r>
      <w:r>
        <w:t xml:space="preserve"> A fresh question with revised definitions of all four options (adding rust cues) and no prior answer.</w:t>
      </w:r>
    </w:p>
    <w:p>
      <w:pPr>
        <w:pStyle w:val="ListParagraph"/>
        <w:numPr>
          <w:ilvl w:val="0"/>
          <w:numId w:val="2"/>
        </w:numPr>
        <w:spacing w:after="80" w:line="276"/>
        <w:jc w:val="both"/>
      </w:pPr>
      <w:r>
        <w:rPr>
          <w:b/>
          <w:bCs/>
        </w:rPr>
        <w:t xml:space="preserve">Q3.</w:t>
      </w:r>
      <w:r>
        <w:t xml:space="preserve"> A separate nine-region-plus-“none” question is asked for every image. A presence question comes first, and only a positive answer triggers a full-frame </w:t>
      </w:r>
      <w:r>
        <w:t xml:space="preserve">3×3</w:t>
      </w:r>
      <w:r>
        <w:t xml:space="preserve"> position question. Because spatial ground truth is unavailable at this scale, Q3 is scored for </w:t>
      </w:r>
      <w:r>
        <w:rPr>
          <w:i/>
          <w:iCs/>
        </w:rPr>
        <w:t xml:space="preserve">presence only</w:t>
      </w:r>
      <w:r>
        <w:t xml:space="preserve">: a wrong region on a defective image still counts as “defect present”.</w:t>
      </w:r>
    </w:p>
    <w:p>
      <w:pPr>
        <w:spacing w:after="120" w:line="276"/>
        <w:jc w:val="both"/>
      </w:pPr>
      <w:r>
        <w:t xml:space="preserve">The agent and candidate were chosen on dev (the candidate post hoc, from the additional 200 dev images) and run once on gold with InternVL3.5-8B. That run used 1,606 calls (492 direct answers and 1,114 tool calls) with zero errors and zero invalid outputs.</w:t>
      </w:r>
    </w:p>
    <w:p>
      <w:pPr>
        <w:pStyle w:val="Heading2"/>
        <w:keepNext/>
      </w:pPr>
      <w:r>
        <w:t xml:space="preserve">5.2 </w:t>
      </w:r>
      <w:r>
        <w:t xml:space="preserve">Results</w:t>
      </w:r>
    </w:p>
    <w:p>
      <w:pPr>
        <w:spacing w:after="120" w:line="276"/>
        <w:jc w:val="both"/>
      </w:pPr>
      <w:r>
        <w:t xml:space="preserve">Table </w:t>
      </w:r>
      <w:r>
        <w:t xml:space="preserve">4</w:t>
      </w:r>
      <w:r>
        <w:t xml:space="preserve"> and Table </w:t>
      </w:r>
      <w:r>
        <w:t xml:space="preserve">5</w:t>
      </w:r>
      <w:r>
        <w:t xml:space="preserve"> summarize the gold run. Against the direct question, the agent improves Q2 macro-F1 by </w:t>
      </w:r>
      <w:r>
        <w:t xml:space="preserve">+.118</w:t>
      </w:r>
      <w:r>
        <w:t xml:space="preserve"> (95% CI </w:t>
      </w:r>
      <w:r>
        <w:t xml:space="preserve">[+.043,+.199]</w:t>
      </w:r>
      <w:r>
        <w:t xml:space="preserve">) and the candidate by </w:t>
      </w:r>
      <w:r>
        <w:t xml:space="preserve">+.102</w:t>
      </w:r>
      <w:r>
        <w:t xml:space="preserve"> (</w:t>
      </w:r>
      <w:r>
        <w:t xml:space="preserve">[+.030,+.177]</w:t>
      </w:r>
      <w:r>
        <w:t xml:space="preserve">); Q1–Q2 joint accuracy rises by </w:t>
      </w:r>
      <w:r>
        <w:t xml:space="preserve">+.085</w:t>
      </w:r>
      <w:r>
        <w:t xml:space="preserve"> and </w:t>
      </w:r>
      <w:r>
        <w:t xml:space="preserve">+.093</w:t>
      </w:r>
      <w:r>
        <w:t xml:space="preserve">. The staged Q3 raises presence BAcc by </w:t>
      </w:r>
      <w:r>
        <w:t xml:space="preserve">+.277</w:t>
      </w:r>
      <w:r>
        <w:t xml:space="preserve"> and cuts normal false alarms from 93/107 to 16/107. The candidate is not distinguishable from the verification agent (Q2 macro-F1 </w:t>
      </w:r>
      <w:r>
        <w:t xml:space="preserve">−.017</w:t>
      </w:r>
      <w:r>
        <w:t xml:space="preserve">, CI </w:t>
      </w:r>
      <w:r>
        <w:t xml:space="preserve">[−.073,+.036]</w:t>
      </w:r>
      <w:r>
        <w:t xml:space="preserve">).</w:t>
      </w:r>
    </w:p>
    <w:p>
      <w:pPr>
        <w:spacing w:after="120" w:line="276"/>
        <w:jc w:val="both"/>
      </w:pPr>
      <w:r>
        <w:t xml:space="preserve">The gain is not free. Defective images judged defect-free rise from 4/139 to 27/139, and the CI of this false-none increase excludes zero (</w:t>
      </w:r>
      <w:r>
        <w:t xml:space="preserve">+.165</w:t>
      </w:r>
      <w:r>
        <w:t xml:space="preserve">, </w:t>
      </w:r>
      <w:r>
        <w:t xml:space="preserve">[+.103,+.234]</w:t>
      </w:r>
      <w:r>
        <w:t xml:space="preserve">). Most of the extra misses are missing caps. The staged Q3 reports a defect region on only 9 of 27 missing-cap images, against 23 for the direct question (bird nests 23</w:t>
      </w:r>
      <w:r>
        <w:t xml:space="preserve">→</w:t>
      </w:r>
      <w:r>
        <w:t xml:space="preserve">18 of 23, rust 89</w:t>
      </w:r>
      <w:r>
        <w:t xml:space="preserve">→</w:t>
      </w:r>
      <w:r>
        <w:t xml:space="preserve">85 of 89). Defect typing shows the same weakness (Table </w:t>
      </w:r>
      <w:r>
        <w:t xml:space="preserve">6</w:t>
      </w:r>
      <w:r>
        <w:t xml:space="preserve">). Normal images and bird nests improve, while rust drops slightly (79</w:t>
      </w:r>
      <w:r>
        <w:t xml:space="preserve">→</w:t>
      </w:r>
      <w:r>
        <w:t xml:space="preserve">73 for the agent, 74 for the candidate). Missing caps fall from 7/27 to 5/27 for the agent and to 2/27 for the candidate, which calls 25 of the 27 “normal”. The additional 200 dev images were used to choose the candidate (Appendix Table </w:t>
      </w:r>
      <w:r>
        <w:t xml:space="preserve">8</w:t>
      </w:r>
      <w:r>
        <w:t xml:space="preserve">). On them, the increase in Q3 misses replicates (2</w:t>
      </w:r>
      <w:r>
        <w:t xml:space="preserve">→</w:t>
      </w:r>
      <w:r>
        <w:t xml:space="preserve">15 of 99) but the defect-type pattern does not: there the agent and candidate raise missing-cap Q2 from 1 to 5 of 21.</w:t>
      </w:r>
    </w:p>
    <w:p>
      <w:pPr>
        <w:keepNext/>
        <w:spacing w:after="80" w:before="200"/>
      </w:pPr>
      <w:r>
        <w:rPr>
          <w:b/>
          <w:bCs/>
          <w:sz w:val="19"/>
          <w:szCs w:val="19"/>
        </w:rPr>
        <w:t xml:space="preserve">Table 4. </w:t>
      </w:r>
      <w:r>
        <w:rPr>
          <w:sz w:val="19"/>
          <w:szCs w:val="19"/>
        </w:rPr>
        <w:t xml:space="preserve">Verification agent on gold v2 (InternVL3.5-8B, 246 images). Q1 is fixed. Q3 is scored for presence only.</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6304"/>
        <w:gridCol w:w="900"/>
        <w:gridCol w:w="750"/>
        <w:gridCol w:w="1352"/>
      </w:tblGrid>
      <w:tr>
        <w:trPr>
          <w:tblHeader/>
        </w:trPr>
        <w:tc>
          <w:tcPr>
            <w:tcW w:type="dxa" w:w="6304"/>
            <w:gridSpan w:val="1"/>
            <w:tcBorders>
              <w:top w:val="single" w:color="000000" w:sz="8"/>
              <w:left w:val="none" w:color="FFFFFF" w:sz="0"/>
              <w:bottom w:val="single" w:color="000000" w:sz="8"/>
              <w:right w:val="none" w:color="FFFFFF" w:sz="0"/>
            </w:tcBorders>
            <w:shd w:fill="EDEDED" w:color="auto" w:val="clear"/>
            <w:tcMar>
              <w:top w:type="dxa" w:w="40"/>
              <w:left w:type="dxa" w:w="80"/>
              <w:bottom w:type="dxa" w:w="40"/>
              <w:right w:type="dxa" w:w="80"/>
            </w:tcMar>
          </w:tcPr>
          <w:p>
            <w:pPr>
              <w:spacing w:after="0" w:before="0"/>
              <w:jc w:val="left"/>
            </w:pPr>
            <w:r>
              <w:rPr>
                <w:b/>
                <w:bCs/>
                <w:sz w:val="17"/>
                <w:szCs w:val="17"/>
              </w:rPr>
              <w:t xml:space="preserve">Metric</w:t>
            </w:r>
          </w:p>
        </w:tc>
        <w:tc>
          <w:tcPr>
            <w:tcW w:type="dxa" w:w="900"/>
            <w:gridSpan w:val="1"/>
            <w:tcBorders>
              <w:top w:val="single" w:color="000000" w:sz="8"/>
              <w:left w:val="none" w:color="FFFFFF" w:sz="0"/>
              <w:bottom w:val="single" w:color="000000" w:sz="8"/>
              <w:right w:val="none" w:color="FFFFFF" w:sz="0"/>
            </w:tcBorders>
            <w:shd w:fill="EDEDED" w:color="auto" w:val="clear"/>
            <w:tcMar>
              <w:top w:type="dxa" w:w="40"/>
              <w:left w:type="dxa" w:w="80"/>
              <w:bottom w:type="dxa" w:w="40"/>
              <w:right w:type="dxa" w:w="80"/>
            </w:tcMar>
          </w:tcPr>
          <w:p>
            <w:pPr>
              <w:spacing w:after="0" w:before="0"/>
              <w:jc w:val="right"/>
            </w:pPr>
            <w:r>
              <w:rPr>
                <w:b/>
                <w:bCs/>
                <w:sz w:val="17"/>
                <w:szCs w:val="17"/>
              </w:rPr>
              <w:t xml:space="preserve">Direct</w:t>
            </w:r>
          </w:p>
        </w:tc>
        <w:tc>
          <w:tcPr>
            <w:tcW w:type="dxa" w:w="750"/>
            <w:gridSpan w:val="1"/>
            <w:tcBorders>
              <w:top w:val="single" w:color="000000" w:sz="8"/>
              <w:left w:val="none" w:color="FFFFFF" w:sz="0"/>
              <w:bottom w:val="single" w:color="000000" w:sz="8"/>
              <w:right w:val="none" w:color="FFFFFF" w:sz="0"/>
            </w:tcBorders>
            <w:shd w:fill="EDEDED" w:color="auto" w:val="clear"/>
            <w:tcMar>
              <w:top w:type="dxa" w:w="40"/>
              <w:left w:type="dxa" w:w="80"/>
              <w:bottom w:type="dxa" w:w="40"/>
              <w:right w:type="dxa" w:w="80"/>
            </w:tcMar>
          </w:tcPr>
          <w:p>
            <w:pPr>
              <w:spacing w:after="0" w:before="0"/>
              <w:jc w:val="right"/>
            </w:pPr>
            <w:r>
              <w:rPr>
                <w:b/>
                <w:bCs/>
                <w:sz w:val="17"/>
                <w:szCs w:val="17"/>
              </w:rPr>
              <w:t xml:space="preserve">Agent</w:t>
            </w:r>
          </w:p>
        </w:tc>
        <w:tc>
          <w:tcPr>
            <w:tcW w:type="dxa" w:w="1352"/>
            <w:gridSpan w:val="1"/>
            <w:tcBorders>
              <w:top w:val="single" w:color="000000" w:sz="8"/>
              <w:left w:val="none" w:color="FFFFFF" w:sz="0"/>
              <w:bottom w:val="single" w:color="000000" w:sz="8"/>
              <w:right w:val="none" w:color="FFFFFF" w:sz="0"/>
            </w:tcBorders>
            <w:shd w:fill="EDEDED" w:color="auto" w:val="clear"/>
            <w:tcMar>
              <w:top w:type="dxa" w:w="40"/>
              <w:left w:type="dxa" w:w="80"/>
              <w:bottom w:type="dxa" w:w="40"/>
              <w:right w:type="dxa" w:w="80"/>
            </w:tcMar>
          </w:tcPr>
          <w:p>
            <w:pPr>
              <w:spacing w:after="0" w:before="0"/>
              <w:jc w:val="right"/>
            </w:pPr>
            <w:r>
              <w:rPr>
                <w:b/>
                <w:bCs/>
                <w:sz w:val="17"/>
                <w:szCs w:val="17"/>
              </w:rPr>
              <w:t xml:space="preserve">Candidate</w:t>
            </w:r>
          </w:p>
        </w:tc>
      </w:tr>
      <w:tr>
        <w:trPr>
          <w:tblHeader w:val="off"/>
        </w:trPr>
        <w:tc>
          <w:tcPr>
            <w:tcW w:type="dxa" w:w="6304"/>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Q1 anomaly F1 (fixed in all policies)</w:t>
            </w:r>
          </w:p>
        </w:tc>
        <w:tc>
          <w:tcPr>
            <w:tcW w:type="dxa" w:w="900"/>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.776</w:t>
            </w:r>
          </w:p>
        </w:tc>
        <w:tc>
          <w:tcPr>
            <w:tcW w:type="dxa" w:w="750"/>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.776</w:t>
            </w:r>
          </w:p>
        </w:tc>
        <w:tc>
          <w:tcPr>
            <w:tcW w:type="dxa" w:w="1352"/>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.776</w:t>
            </w:r>
          </w:p>
        </w:tc>
      </w:tr>
      <w:tr>
        <w:trPr>
          <w:tblHeader w:val="off"/>
        </w:trPr>
        <w:tc>
          <w:tcPr>
            <w:tcW w:type="dxa" w:w="6304"/>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Q2 defect macro-F1</w:t>
            </w:r>
          </w:p>
        </w:tc>
        <w:tc>
          <w:tcPr>
            <w:tcW w:type="dxa" w:w="90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.522</w:t>
            </w:r>
          </w:p>
        </w:tc>
        <w:tc>
          <w:tcPr>
            <w:tcW w:type="dxa" w:w="75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bCs/>
                <w:sz w:val="17"/>
                <w:szCs w:val="17"/>
              </w:rPr>
              <w:t xml:space="preserve">.640</w:t>
            </w:r>
          </w:p>
        </w:tc>
        <w:tc>
          <w:tcPr>
            <w:tcW w:type="dxa" w:w="1352"/>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.623</w:t>
            </w:r>
          </w:p>
        </w:tc>
      </w:tr>
      <w:tr>
        <w:trPr>
          <w:tblHeader w:val="off"/>
        </w:trPr>
        <w:tc>
          <w:tcPr>
            <w:tcW w:type="dxa" w:w="6304"/>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Q2 defect balanced accuracy</w:t>
            </w:r>
          </w:p>
        </w:tc>
        <w:tc>
          <w:tcPr>
            <w:tcW w:type="dxa" w:w="90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.510</w:t>
            </w:r>
          </w:p>
        </w:tc>
        <w:tc>
          <w:tcPr>
            <w:tcW w:type="dxa" w:w="75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bCs/>
                <w:sz w:val="17"/>
                <w:szCs w:val="17"/>
              </w:rPr>
              <w:t xml:space="preserve">.659</w:t>
            </w:r>
          </w:p>
        </w:tc>
        <w:tc>
          <w:tcPr>
            <w:tcW w:type="dxa" w:w="1352"/>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.639</w:t>
            </w:r>
          </w:p>
        </w:tc>
      </w:tr>
      <w:tr>
        <w:trPr>
          <w:tblHeader w:val="off"/>
        </w:trPr>
        <w:tc>
          <w:tcPr>
            <w:tcW w:type="dxa" w:w="6304"/>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Q2 correct (/246)</w:t>
            </w:r>
          </w:p>
        </w:tc>
        <w:tc>
          <w:tcPr>
            <w:tcW w:type="dxa" w:w="90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156</w:t>
            </w:r>
          </w:p>
        </w:tc>
        <w:tc>
          <w:tcPr>
            <w:tcW w:type="dxa" w:w="75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183</w:t>
            </w:r>
          </w:p>
        </w:tc>
        <w:tc>
          <w:tcPr>
            <w:tcW w:type="dxa" w:w="1352"/>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bCs/>
                <w:sz w:val="17"/>
                <w:szCs w:val="17"/>
              </w:rPr>
              <w:t xml:space="preserve">187</w:t>
            </w:r>
          </w:p>
        </w:tc>
      </w:tr>
      <w:tr>
        <w:trPr>
          <w:tblHeader w:val="off"/>
        </w:trPr>
        <w:tc>
          <w:tcPr>
            <w:tcW w:type="dxa" w:w="6304"/>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Q1–Q2 joint correct (/246)</w:t>
            </w:r>
          </w:p>
        </w:tc>
        <w:tc>
          <w:tcPr>
            <w:tcW w:type="dxa" w:w="90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142</w:t>
            </w:r>
          </w:p>
        </w:tc>
        <w:tc>
          <w:tcPr>
            <w:tcW w:type="dxa" w:w="75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163</w:t>
            </w:r>
          </w:p>
        </w:tc>
        <w:tc>
          <w:tcPr>
            <w:tcW w:type="dxa" w:w="1352"/>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bCs/>
                <w:sz w:val="17"/>
                <w:szCs w:val="17"/>
              </w:rPr>
              <w:t xml:space="preserve">165</w:t>
            </w:r>
          </w:p>
        </w:tc>
      </w:tr>
      <w:tr>
        <w:trPr>
          <w:tblHeader w:val="off"/>
        </w:trPr>
        <w:tc>
          <w:tcPr>
            <w:tcW w:type="dxa" w:w="6304"/>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Q1–Q2 consistency error</w:t>
            </w:r>
          </w:p>
        </w:tc>
        <w:tc>
          <w:tcPr>
            <w:tcW w:type="dxa" w:w="90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.211</w:t>
            </w:r>
          </w:p>
        </w:tc>
        <w:tc>
          <w:tcPr>
            <w:tcW w:type="dxa" w:w="75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.167</w:t>
            </w:r>
          </w:p>
        </w:tc>
        <w:tc>
          <w:tcPr>
            <w:tcW w:type="dxa" w:w="1352"/>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bCs/>
                <w:sz w:val="17"/>
                <w:szCs w:val="17"/>
              </w:rPr>
              <w:t xml:space="preserve">.150</w:t>
            </w:r>
          </w:p>
        </w:tc>
      </w:tr>
      <w:tr>
        <w:trPr>
          <w:tblHeader w:val="off"/>
        </w:trPr>
        <w:tc>
          <w:tcPr>
            <w:tcW w:type="dxa" w:w="6304"/>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Q3 presence balanced accuracy</w:t>
            </w:r>
          </w:p>
        </w:tc>
        <w:tc>
          <w:tcPr>
            <w:tcW w:type="dxa" w:w="900"/>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.551</w:t>
            </w:r>
          </w:p>
        </w:tc>
        <w:tc>
          <w:tcPr>
            <w:tcW w:type="dxa" w:w="750"/>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bCs/>
                <w:sz w:val="17"/>
                <w:szCs w:val="17"/>
              </w:rPr>
              <w:t xml:space="preserve">.828</w:t>
            </w:r>
          </w:p>
        </w:tc>
        <w:tc>
          <w:tcPr>
            <w:tcW w:type="dxa" w:w="1352"/>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bCs/>
                <w:sz w:val="17"/>
                <w:szCs w:val="17"/>
              </w:rPr>
              <w:t xml:space="preserve">.828</w:t>
            </w:r>
          </w:p>
        </w:tc>
      </w:tr>
      <w:tr>
        <w:trPr>
          <w:tblHeader w:val="off"/>
        </w:trPr>
        <w:tc>
          <w:tcPr>
            <w:tcW w:type="dxa" w:w="6304"/>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Q3 false region on normal images (/107)</w:t>
            </w:r>
          </w:p>
        </w:tc>
        <w:tc>
          <w:tcPr>
            <w:tcW w:type="dxa" w:w="90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93</w:t>
            </w:r>
          </w:p>
        </w:tc>
        <w:tc>
          <w:tcPr>
            <w:tcW w:type="dxa" w:w="75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bCs/>
                <w:sz w:val="17"/>
                <w:szCs w:val="17"/>
              </w:rPr>
              <w:t xml:space="preserve">16</w:t>
            </w:r>
          </w:p>
        </w:tc>
        <w:tc>
          <w:tcPr>
            <w:tcW w:type="dxa" w:w="1352"/>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bCs/>
                <w:sz w:val="17"/>
                <w:szCs w:val="17"/>
              </w:rPr>
              <w:t xml:space="preserve">16</w:t>
            </w:r>
          </w:p>
        </w:tc>
      </w:tr>
      <w:tr>
        <w:trPr>
          <w:tblHeader w:val="off"/>
        </w:trPr>
        <w:tc>
          <w:tcPr>
            <w:tcW w:type="dxa" w:w="6304"/>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Q3 false “none” on defective images (/139)</w:t>
            </w:r>
          </w:p>
        </w:tc>
        <w:tc>
          <w:tcPr>
            <w:tcW w:type="dxa" w:w="90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bCs/>
                <w:sz w:val="17"/>
                <w:szCs w:val="17"/>
              </w:rPr>
              <w:t xml:space="preserve">4</w:t>
            </w:r>
          </w:p>
        </w:tc>
        <w:tc>
          <w:tcPr>
            <w:tcW w:type="dxa" w:w="75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27</w:t>
            </w:r>
          </w:p>
        </w:tc>
        <w:tc>
          <w:tcPr>
            <w:tcW w:type="dxa" w:w="1352"/>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27</w:t>
            </w:r>
          </w:p>
        </w:tc>
      </w:tr>
      <w:tr>
        <w:trPr>
          <w:tblHeader w:val="off"/>
        </w:trPr>
        <w:tc>
          <w:tcPr>
            <w:tcW w:type="dxa" w:w="6304"/>
            <w:gridSpan w:val="1"/>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Q1–Q2–Q3 joint correct (/246)</w:t>
            </w:r>
          </w:p>
        </w:tc>
        <w:tc>
          <w:tcPr>
            <w:tcW w:type="dxa" w:w="900"/>
            <w:gridSpan w:val="1"/>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91</w:t>
            </w:r>
          </w:p>
        </w:tc>
        <w:tc>
          <w:tcPr>
            <w:tcW w:type="dxa" w:w="750"/>
            <w:gridSpan w:val="1"/>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156</w:t>
            </w:r>
          </w:p>
        </w:tc>
        <w:tc>
          <w:tcPr>
            <w:tcW w:type="dxa" w:w="1352"/>
            <w:gridSpan w:val="1"/>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before="0"/>
              <w:jc w:val="right"/>
            </w:pPr>
            <w:r>
              <w:rPr>
                <w:b/>
                <w:bCs/>
                <w:sz w:val="17"/>
                <w:szCs w:val="17"/>
              </w:rPr>
              <w:t xml:space="preserve">157</w:t>
            </w:r>
          </w:p>
        </w:tc>
      </w:tr>
    </w:tbl>
    <w:p>
      <w:pPr>
        <w:spacing w:after="120"/>
      </w:pPr>
    </w:p>
    <w:p>
      <w:pPr>
        <w:keepNext/>
        <w:spacing w:after="80" w:before="200"/>
      </w:pPr>
      <w:r>
        <w:rPr>
          <w:b/>
          <w:bCs/>
          <w:sz w:val="19"/>
          <w:szCs w:val="19"/>
        </w:rPr>
        <w:t xml:space="preserve">Table 5. </w:t>
      </w:r>
      <w:r>
        <w:rPr>
          <w:sz w:val="19"/>
          <w:szCs w:val="19"/>
        </w:rPr>
        <w:t xml:space="preserve">Paired bootstrap differences (2,000 resamples over images).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90"/>
        <w:gridCol w:w="3589"/>
        <w:gridCol w:w="664"/>
        <w:gridCol w:w="1863"/>
      </w:tblGrid>
      <w:tr>
        <w:trPr>
          <w:tblHeader/>
        </w:trPr>
        <w:tc>
          <w:tcPr>
            <w:tcW w:type="dxa" w:w="3190"/>
            <w:gridSpan w:val="1"/>
            <w:tcBorders>
              <w:top w:val="single" w:color="000000" w:sz="8"/>
              <w:left w:val="none" w:color="FFFFFF" w:sz="0"/>
              <w:bottom w:val="single" w:color="000000" w:sz="8"/>
              <w:right w:val="none" w:color="FFFFFF" w:sz="0"/>
            </w:tcBorders>
            <w:shd w:fill="EDEDED" w:color="auto" w:val="clear"/>
            <w:tcMar>
              <w:top w:type="dxa" w:w="40"/>
              <w:left w:type="dxa" w:w="80"/>
              <w:bottom w:type="dxa" w:w="40"/>
              <w:right w:type="dxa" w:w="80"/>
            </w:tcMar>
          </w:tcPr>
          <w:p>
            <w:pPr>
              <w:spacing w:after="0" w:before="0"/>
              <w:jc w:val="left"/>
            </w:pPr>
            <w:r>
              <w:rPr>
                <w:b/>
                <w:bCs/>
                <w:sz w:val="17"/>
                <w:szCs w:val="17"/>
              </w:rPr>
              <w:t xml:space="preserve">Comparison</w:t>
            </w:r>
          </w:p>
        </w:tc>
        <w:tc>
          <w:tcPr>
            <w:tcW w:type="dxa" w:w="3589"/>
            <w:gridSpan w:val="1"/>
            <w:tcBorders>
              <w:top w:val="single" w:color="000000" w:sz="8"/>
              <w:left w:val="none" w:color="FFFFFF" w:sz="0"/>
              <w:bottom w:val="single" w:color="000000" w:sz="8"/>
              <w:right w:val="none" w:color="FFFFFF" w:sz="0"/>
            </w:tcBorders>
            <w:shd w:fill="EDEDED" w:color="auto" w:val="clear"/>
            <w:tcMar>
              <w:top w:type="dxa" w:w="40"/>
              <w:left w:type="dxa" w:w="80"/>
              <w:bottom w:type="dxa" w:w="40"/>
              <w:right w:type="dxa" w:w="80"/>
            </w:tcMar>
          </w:tcPr>
          <w:p>
            <w:pPr>
              <w:spacing w:after="0" w:before="0"/>
              <w:jc w:val="left"/>
            </w:pPr>
            <w:r>
              <w:rPr>
                <w:b/>
                <w:bCs/>
                <w:sz w:val="17"/>
                <w:szCs w:val="17"/>
              </w:rPr>
              <w:t xml:space="preserve">Metric</w:t>
            </w:r>
          </w:p>
        </w:tc>
        <w:tc>
          <w:tcPr>
            <w:tcW w:type="dxa" w:w="664"/>
            <w:gridSpan w:val="1"/>
            <w:tcBorders>
              <w:top w:val="single" w:color="000000" w:sz="8"/>
              <w:left w:val="none" w:color="FFFFFF" w:sz="0"/>
              <w:bottom w:val="single" w:color="000000" w:sz="8"/>
              <w:right w:val="none" w:color="FFFFFF" w:sz="0"/>
            </w:tcBorders>
            <w:shd w:fill="EDEDED" w:color="auto" w:val="clear"/>
            <w:tcMar>
              <w:top w:type="dxa" w:w="40"/>
              <w:left w:type="dxa" w:w="80"/>
              <w:bottom w:type="dxa" w:w="40"/>
              <w:right w:type="dxa" w:w="80"/>
            </w:tcMar>
          </w:tcPr>
          <w:p>
            <w:pPr>
              <w:spacing w:after="0" w:before="0"/>
              <w:jc w:val="right"/>
            </w:pPr>
            <w:r>
              <w:rPr>
                <w:b/>
                <w:bCs/>
                <w:sz w:val="17"/>
                <w:szCs w:val="17"/>
              </w:rPr>
              <w:t xml:space="preserve">Δ</w:t>
            </w:r>
          </w:p>
        </w:tc>
        <w:tc>
          <w:tcPr>
            <w:tcW w:type="dxa" w:w="1863"/>
            <w:gridSpan w:val="1"/>
            <w:tcBorders>
              <w:top w:val="single" w:color="000000" w:sz="8"/>
              <w:left w:val="none" w:color="FFFFFF" w:sz="0"/>
              <w:bottom w:val="single" w:color="000000" w:sz="8"/>
              <w:right w:val="none" w:color="FFFFFF" w:sz="0"/>
            </w:tcBorders>
            <w:shd w:fill="EDEDED" w:color="auto" w:val="clear"/>
            <w:tcMar>
              <w:top w:type="dxa" w:w="40"/>
              <w:left w:type="dxa" w:w="80"/>
              <w:bottom w:type="dxa" w:w="40"/>
              <w:right w:type="dxa" w:w="80"/>
            </w:tcMar>
          </w:tcPr>
          <w:p>
            <w:pPr>
              <w:spacing w:after="0" w:before="0"/>
              <w:jc w:val="right"/>
            </w:pPr>
            <w:r>
              <w:rPr>
                <w:b/>
                <w:bCs/>
                <w:sz w:val="17"/>
                <w:szCs w:val="17"/>
              </w:rPr>
              <w:t xml:space="preserve">95% CI</w:t>
            </w:r>
          </w:p>
        </w:tc>
      </w:tr>
      <w:tr>
        <w:trPr>
          <w:tblHeader w:val="off"/>
        </w:trPr>
        <w:tc>
          <w:tcPr>
            <w:tcW w:type="dxa" w:w="3190"/>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Agent </w:t>
            </w:r>
            <w:r>
              <w:rPr>
                <w:b w:val="false"/>
                <w:bCs w:val="false"/>
                <w:sz w:val="17"/>
                <w:szCs w:val="17"/>
              </w:rPr>
              <w:t xml:space="preserve">−</w:t>
            </w:r>
            <w:r>
              <w:rPr>
                <w:b w:val="false"/>
                <w:bCs w:val="false"/>
                <w:sz w:val="17"/>
                <w:szCs w:val="17"/>
              </w:rPr>
              <w:t xml:space="preserve"> direct</w:t>
            </w:r>
          </w:p>
        </w:tc>
        <w:tc>
          <w:tcPr>
            <w:tcW w:type="dxa" w:w="3589"/>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Q2 macro-F1</w:t>
            </w:r>
          </w:p>
        </w:tc>
        <w:tc>
          <w:tcPr>
            <w:tcW w:type="dxa" w:w="664"/>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+.118</w:t>
            </w:r>
          </w:p>
        </w:tc>
        <w:tc>
          <w:tcPr>
            <w:tcW w:type="dxa" w:w="1863"/>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[+.043, +.199]</w:t>
            </w:r>
          </w:p>
        </w:tc>
      </w:tr>
      <w:tr>
        <w:trPr>
          <w:tblHeader w:val="off"/>
        </w:trPr>
        <w:tc>
          <w:tcPr>
            <w:tcW w:type="dxa" w:w="319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Agent </w:t>
            </w:r>
            <w:r>
              <w:rPr>
                <w:b w:val="false"/>
                <w:bCs w:val="false"/>
                <w:sz w:val="17"/>
                <w:szCs w:val="17"/>
              </w:rPr>
              <w:t xml:space="preserve">−</w:t>
            </w:r>
            <w:r>
              <w:rPr>
                <w:b w:val="false"/>
                <w:bCs w:val="false"/>
                <w:sz w:val="17"/>
                <w:szCs w:val="17"/>
              </w:rPr>
              <w:t xml:space="preserve"> direct</w:t>
            </w:r>
          </w:p>
        </w:tc>
        <w:tc>
          <w:tcPr>
            <w:tcW w:type="dxa" w:w="3589"/>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Q1–Q2 joint</w:t>
            </w:r>
          </w:p>
        </w:tc>
        <w:tc>
          <w:tcPr>
            <w:tcW w:type="dxa" w:w="664"/>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+.085</w:t>
            </w:r>
          </w:p>
        </w:tc>
        <w:tc>
          <w:tcPr>
            <w:tcW w:type="dxa" w:w="1863"/>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[+.033, +.142]</w:t>
            </w:r>
          </w:p>
        </w:tc>
      </w:tr>
      <w:tr>
        <w:trPr>
          <w:tblHeader w:val="off"/>
        </w:trPr>
        <w:tc>
          <w:tcPr>
            <w:tcW w:type="dxa" w:w="319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Candidate </w:t>
            </w:r>
            <w:r>
              <w:rPr>
                <w:b w:val="false"/>
                <w:bCs w:val="false"/>
                <w:sz w:val="17"/>
                <w:szCs w:val="17"/>
              </w:rPr>
              <w:t xml:space="preserve">−</w:t>
            </w:r>
            <w:r>
              <w:rPr>
                <w:b w:val="false"/>
                <w:bCs w:val="false"/>
                <w:sz w:val="17"/>
                <w:szCs w:val="17"/>
              </w:rPr>
              <w:t xml:space="preserve"> direct</w:t>
            </w:r>
          </w:p>
        </w:tc>
        <w:tc>
          <w:tcPr>
            <w:tcW w:type="dxa" w:w="3589"/>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Q2 macro-F1</w:t>
            </w:r>
          </w:p>
        </w:tc>
        <w:tc>
          <w:tcPr>
            <w:tcW w:type="dxa" w:w="664"/>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+.102</w:t>
            </w:r>
          </w:p>
        </w:tc>
        <w:tc>
          <w:tcPr>
            <w:tcW w:type="dxa" w:w="1863"/>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[+.030, +.177]</w:t>
            </w:r>
          </w:p>
        </w:tc>
      </w:tr>
      <w:tr>
        <w:trPr>
          <w:tblHeader w:val="off"/>
        </w:trPr>
        <w:tc>
          <w:tcPr>
            <w:tcW w:type="dxa" w:w="319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Candidate </w:t>
            </w:r>
            <w:r>
              <w:rPr>
                <w:b w:val="false"/>
                <w:bCs w:val="false"/>
                <w:sz w:val="17"/>
                <w:szCs w:val="17"/>
              </w:rPr>
              <w:t xml:space="preserve">−</w:t>
            </w:r>
            <w:r>
              <w:rPr>
                <w:b w:val="false"/>
                <w:bCs w:val="false"/>
                <w:sz w:val="17"/>
                <w:szCs w:val="17"/>
              </w:rPr>
              <w:t xml:space="preserve"> direct</w:t>
            </w:r>
          </w:p>
        </w:tc>
        <w:tc>
          <w:tcPr>
            <w:tcW w:type="dxa" w:w="3589"/>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Q1–Q2 joint</w:t>
            </w:r>
          </w:p>
        </w:tc>
        <w:tc>
          <w:tcPr>
            <w:tcW w:type="dxa" w:w="664"/>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+.093</w:t>
            </w:r>
          </w:p>
        </w:tc>
        <w:tc>
          <w:tcPr>
            <w:tcW w:type="dxa" w:w="1863"/>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[+.045, +.142]</w:t>
            </w:r>
          </w:p>
        </w:tc>
      </w:tr>
      <w:tr>
        <w:trPr>
          <w:tblHeader w:val="off"/>
        </w:trPr>
        <w:tc>
          <w:tcPr>
            <w:tcW w:type="dxa" w:w="319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Candidate </w:t>
            </w:r>
            <w:r>
              <w:rPr>
                <w:b w:val="false"/>
                <w:bCs w:val="false"/>
                <w:sz w:val="17"/>
                <w:szCs w:val="17"/>
              </w:rPr>
              <w:t xml:space="preserve">−</w:t>
            </w:r>
            <w:r>
              <w:rPr>
                <w:b w:val="false"/>
                <w:bCs w:val="false"/>
                <w:sz w:val="17"/>
                <w:szCs w:val="17"/>
              </w:rPr>
              <w:t xml:space="preserve"> agent</w:t>
            </w:r>
          </w:p>
        </w:tc>
        <w:tc>
          <w:tcPr>
            <w:tcW w:type="dxa" w:w="3589"/>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Q2 macro-F1</w:t>
            </w:r>
          </w:p>
        </w:tc>
        <w:tc>
          <w:tcPr>
            <w:tcW w:type="dxa" w:w="664"/>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−.017</w:t>
            </w:r>
          </w:p>
        </w:tc>
        <w:tc>
          <w:tcPr>
            <w:tcW w:type="dxa" w:w="1863"/>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[−.073, +.036]</w:t>
            </w:r>
          </w:p>
        </w:tc>
      </w:tr>
      <w:tr>
        <w:trPr>
          <w:tblHeader w:val="off"/>
        </w:trPr>
        <w:tc>
          <w:tcPr>
            <w:tcW w:type="dxa" w:w="319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Candidate </w:t>
            </w:r>
            <w:r>
              <w:rPr>
                <w:b w:val="false"/>
                <w:bCs w:val="false"/>
                <w:sz w:val="17"/>
                <w:szCs w:val="17"/>
              </w:rPr>
              <w:t xml:space="preserve">−</w:t>
            </w:r>
            <w:r>
              <w:rPr>
                <w:b w:val="false"/>
                <w:bCs w:val="false"/>
                <w:sz w:val="17"/>
                <w:szCs w:val="17"/>
              </w:rPr>
              <w:t xml:space="preserve"> agent</w:t>
            </w:r>
          </w:p>
        </w:tc>
        <w:tc>
          <w:tcPr>
            <w:tcW w:type="dxa" w:w="3589"/>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Q1–Q2 joint</w:t>
            </w:r>
          </w:p>
        </w:tc>
        <w:tc>
          <w:tcPr>
            <w:tcW w:type="dxa" w:w="664"/>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+.008</w:t>
            </w:r>
          </w:p>
        </w:tc>
        <w:tc>
          <w:tcPr>
            <w:tcW w:type="dxa" w:w="1863"/>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[−.028, +.045]</w:t>
            </w:r>
          </w:p>
        </w:tc>
      </w:tr>
      <w:tr>
        <w:trPr>
          <w:tblHeader w:val="off"/>
        </w:trPr>
        <w:tc>
          <w:tcPr>
            <w:tcW w:type="dxa" w:w="3190"/>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Agent/candidate </w:t>
            </w:r>
            <w:r>
              <w:rPr>
                <w:b w:val="false"/>
                <w:bCs w:val="false"/>
                <w:sz w:val="17"/>
                <w:szCs w:val="17"/>
              </w:rPr>
              <w:t xml:space="preserve">−</w:t>
            </w:r>
            <w:r>
              <w:rPr>
                <w:b w:val="false"/>
                <w:bCs w:val="false"/>
                <w:sz w:val="17"/>
                <w:szCs w:val="17"/>
              </w:rPr>
              <w:t xml:space="preserve"> direct</w:t>
            </w:r>
          </w:p>
        </w:tc>
        <w:tc>
          <w:tcPr>
            <w:tcW w:type="dxa" w:w="3589"/>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Q3 presence BAcc</w:t>
            </w:r>
          </w:p>
        </w:tc>
        <w:tc>
          <w:tcPr>
            <w:tcW w:type="dxa" w:w="664"/>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+.277</w:t>
            </w:r>
          </w:p>
        </w:tc>
        <w:tc>
          <w:tcPr>
            <w:tcW w:type="dxa" w:w="1863"/>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[+.222, +.328]</w:t>
            </w:r>
          </w:p>
        </w:tc>
      </w:tr>
      <w:tr>
        <w:trPr>
          <w:tblHeader w:val="off"/>
        </w:trPr>
        <w:tc>
          <w:tcPr>
            <w:tcW w:type="dxa" w:w="319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Agent/candidate </w:t>
            </w:r>
            <w:r>
              <w:rPr>
                <w:b w:val="false"/>
                <w:bCs w:val="false"/>
                <w:sz w:val="17"/>
                <w:szCs w:val="17"/>
              </w:rPr>
              <w:t xml:space="preserve">−</w:t>
            </w:r>
            <w:r>
              <w:rPr>
                <w:b w:val="false"/>
                <w:bCs w:val="false"/>
                <w:sz w:val="17"/>
                <w:szCs w:val="17"/>
              </w:rPr>
              <w:t xml:space="preserve"> direct</w:t>
            </w:r>
          </w:p>
        </w:tc>
        <w:tc>
          <w:tcPr>
            <w:tcW w:type="dxa" w:w="3589"/>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Q3 normal false-region rate</w:t>
            </w:r>
          </w:p>
        </w:tc>
        <w:tc>
          <w:tcPr>
            <w:tcW w:type="dxa" w:w="664"/>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−.720</w:t>
            </w:r>
          </w:p>
        </w:tc>
        <w:tc>
          <w:tcPr>
            <w:tcW w:type="dxa" w:w="1863"/>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[−.800, −.625]</w:t>
            </w:r>
          </w:p>
        </w:tc>
      </w:tr>
      <w:tr>
        <w:trPr>
          <w:tblHeader w:val="off"/>
        </w:trPr>
        <w:tc>
          <w:tcPr>
            <w:tcW w:type="dxa" w:w="3190"/>
            <w:gridSpan w:val="1"/>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Agent/candidate </w:t>
            </w:r>
            <w:r>
              <w:rPr>
                <w:b w:val="false"/>
                <w:bCs w:val="false"/>
                <w:sz w:val="17"/>
                <w:szCs w:val="17"/>
              </w:rPr>
              <w:t xml:space="preserve">−</w:t>
            </w:r>
            <w:r>
              <w:rPr>
                <w:b w:val="false"/>
                <w:bCs w:val="false"/>
                <w:sz w:val="17"/>
                <w:szCs w:val="17"/>
              </w:rPr>
              <w:t xml:space="preserve"> direct</w:t>
            </w:r>
          </w:p>
        </w:tc>
        <w:tc>
          <w:tcPr>
            <w:tcW w:type="dxa" w:w="3589"/>
            <w:gridSpan w:val="1"/>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Q3 defect false-none rate</w:t>
            </w:r>
          </w:p>
        </w:tc>
        <w:tc>
          <w:tcPr>
            <w:tcW w:type="dxa" w:w="664"/>
            <w:gridSpan w:val="1"/>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+.165</w:t>
            </w:r>
          </w:p>
        </w:tc>
        <w:tc>
          <w:tcPr>
            <w:tcW w:type="dxa" w:w="1863"/>
            <w:gridSpan w:val="1"/>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[+.103, +.234]</w:t>
            </w:r>
          </w:p>
        </w:tc>
      </w:tr>
    </w:tbl>
    <w:p>
      <w:pPr>
        <w:spacing w:after="120"/>
      </w:pPr>
    </w:p>
    <w:p>
      <w:pPr>
        <w:keepNext/>
        <w:spacing w:after="80" w:before="200"/>
      </w:pPr>
      <w:r>
        <w:rPr>
          <w:b/>
          <w:bCs/>
          <w:sz w:val="19"/>
          <w:szCs w:val="19"/>
        </w:rPr>
        <w:t xml:space="preserve">Table 6. </w:t>
      </w:r>
      <w:r>
        <w:rPr>
          <w:sz w:val="19"/>
          <w:szCs w:val="19"/>
        </w:rPr>
        <w:t xml:space="preserve">Q2 correct answers per ground-truth class on gold v2. Re-ask: matched-call control (Section </w:t>
      </w:r>
      <w:r>
        <w:rPr>
          <w:sz w:val="19"/>
          <w:szCs w:val="19"/>
        </w:rPr>
        <w:t xml:space="preserve">5.3</w:t>
      </w:r>
      <w:r>
        <w:rPr>
          <w:sz w:val="19"/>
          <w:szCs w:val="19"/>
        </w:rPr>
        <w:t xml:space="preserv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326"/>
        <w:gridCol w:w="1480"/>
        <w:gridCol w:w="1269"/>
        <w:gridCol w:w="1269"/>
        <w:gridCol w:w="1057"/>
        <w:gridCol w:w="1905"/>
      </w:tblGrid>
      <w:tr>
        <w:trPr>
          <w:tblHeader/>
        </w:trPr>
        <w:tc>
          <w:tcPr>
            <w:tcW w:type="dxa" w:w="2326"/>
            <w:gridSpan w:val="1"/>
            <w:tcBorders>
              <w:top w:val="single" w:color="000000" w:sz="8"/>
              <w:left w:val="none" w:color="FFFFFF" w:sz="0"/>
              <w:bottom w:val="single" w:color="000000" w:sz="8"/>
              <w:right w:val="none" w:color="FFFFFF" w:sz="0"/>
            </w:tcBorders>
            <w:shd w:fill="EDEDED" w:color="auto" w:val="clear"/>
            <w:tcMar>
              <w:top w:type="dxa" w:w="40"/>
              <w:left w:type="dxa" w:w="80"/>
              <w:bottom w:type="dxa" w:w="40"/>
              <w:right w:type="dxa" w:w="80"/>
            </w:tcMar>
          </w:tcPr>
          <w:p>
            <w:pPr>
              <w:spacing w:after="0" w:before="0"/>
              <w:jc w:val="left"/>
            </w:pPr>
            <w:r>
              <w:rPr>
                <w:b/>
                <w:bCs/>
                <w:sz w:val="17"/>
                <w:szCs w:val="17"/>
              </w:rPr>
              <w:t xml:space="preserve">Class</w:t>
            </w:r>
          </w:p>
        </w:tc>
        <w:tc>
          <w:tcPr>
            <w:tcW w:type="dxa" w:w="1480"/>
            <w:gridSpan w:val="1"/>
            <w:tcBorders>
              <w:top w:val="single" w:color="000000" w:sz="8"/>
              <w:left w:val="none" w:color="FFFFFF" w:sz="0"/>
              <w:bottom w:val="single" w:color="000000" w:sz="8"/>
              <w:right w:val="none" w:color="FFFFFF" w:sz="0"/>
            </w:tcBorders>
            <w:shd w:fill="EDEDED" w:color="auto" w:val="clear"/>
            <w:tcMar>
              <w:top w:type="dxa" w:w="40"/>
              <w:left w:type="dxa" w:w="80"/>
              <w:bottom w:type="dxa" w:w="40"/>
              <w:right w:type="dxa" w:w="80"/>
            </w:tcMar>
          </w:tcPr>
          <w:p>
            <w:pPr>
              <w:spacing w:after="0" w:before="0"/>
              <w:jc w:val="right"/>
            </w:pPr>
            <w:r>
              <w:rPr>
                <w:b/>
                <w:bCs/>
                <w:sz w:val="17"/>
                <w:szCs w:val="17"/>
              </w:rPr>
              <w:t xml:space="preserve">Support</w:t>
            </w:r>
          </w:p>
        </w:tc>
        <w:tc>
          <w:tcPr>
            <w:tcW w:type="dxa" w:w="1269"/>
            <w:gridSpan w:val="1"/>
            <w:tcBorders>
              <w:top w:val="single" w:color="000000" w:sz="8"/>
              <w:left w:val="none" w:color="FFFFFF" w:sz="0"/>
              <w:bottom w:val="single" w:color="000000" w:sz="8"/>
              <w:right w:val="none" w:color="FFFFFF" w:sz="0"/>
            </w:tcBorders>
            <w:shd w:fill="EDEDED" w:color="auto" w:val="clear"/>
            <w:tcMar>
              <w:top w:type="dxa" w:w="40"/>
              <w:left w:type="dxa" w:w="80"/>
              <w:bottom w:type="dxa" w:w="40"/>
              <w:right w:type="dxa" w:w="80"/>
            </w:tcMar>
          </w:tcPr>
          <w:p>
            <w:pPr>
              <w:spacing w:after="0" w:before="0"/>
              <w:jc w:val="right"/>
            </w:pPr>
            <w:r>
              <w:rPr>
                <w:b/>
                <w:bCs/>
                <w:sz w:val="17"/>
                <w:szCs w:val="17"/>
              </w:rPr>
              <w:t xml:space="preserve">Direct</w:t>
            </w:r>
          </w:p>
        </w:tc>
        <w:tc>
          <w:tcPr>
            <w:tcW w:type="dxa" w:w="1269"/>
            <w:gridSpan w:val="1"/>
            <w:tcBorders>
              <w:top w:val="single" w:color="000000" w:sz="8"/>
              <w:left w:val="none" w:color="FFFFFF" w:sz="0"/>
              <w:bottom w:val="single" w:color="000000" w:sz="8"/>
              <w:right w:val="none" w:color="FFFFFF" w:sz="0"/>
            </w:tcBorders>
            <w:shd w:fill="EDEDED" w:color="auto" w:val="clear"/>
            <w:tcMar>
              <w:top w:type="dxa" w:w="40"/>
              <w:left w:type="dxa" w:w="80"/>
              <w:bottom w:type="dxa" w:w="40"/>
              <w:right w:type="dxa" w:w="80"/>
            </w:tcMar>
          </w:tcPr>
          <w:p>
            <w:pPr>
              <w:spacing w:after="0" w:before="0"/>
              <w:jc w:val="right"/>
            </w:pPr>
            <w:r>
              <w:rPr>
                <w:b/>
                <w:bCs/>
                <w:sz w:val="17"/>
                <w:szCs w:val="17"/>
              </w:rPr>
              <w:t xml:space="preserve">Re-ask</w:t>
            </w:r>
          </w:p>
        </w:tc>
        <w:tc>
          <w:tcPr>
            <w:tcW w:type="dxa" w:w="1057"/>
            <w:gridSpan w:val="1"/>
            <w:tcBorders>
              <w:top w:val="single" w:color="000000" w:sz="8"/>
              <w:left w:val="none" w:color="FFFFFF" w:sz="0"/>
              <w:bottom w:val="single" w:color="000000" w:sz="8"/>
              <w:right w:val="none" w:color="FFFFFF" w:sz="0"/>
            </w:tcBorders>
            <w:shd w:fill="EDEDED" w:color="auto" w:val="clear"/>
            <w:tcMar>
              <w:top w:type="dxa" w:w="40"/>
              <w:left w:type="dxa" w:w="80"/>
              <w:bottom w:type="dxa" w:w="40"/>
              <w:right w:type="dxa" w:w="80"/>
            </w:tcMar>
          </w:tcPr>
          <w:p>
            <w:pPr>
              <w:spacing w:after="0" w:before="0"/>
              <w:jc w:val="right"/>
            </w:pPr>
            <w:r>
              <w:rPr>
                <w:b/>
                <w:bCs/>
                <w:sz w:val="17"/>
                <w:szCs w:val="17"/>
              </w:rPr>
              <w:t xml:space="preserve">Agent</w:t>
            </w:r>
          </w:p>
        </w:tc>
        <w:tc>
          <w:tcPr>
            <w:tcW w:type="dxa" w:w="1905"/>
            <w:gridSpan w:val="1"/>
            <w:tcBorders>
              <w:top w:val="single" w:color="000000" w:sz="8"/>
              <w:left w:val="none" w:color="FFFFFF" w:sz="0"/>
              <w:bottom w:val="single" w:color="000000" w:sz="8"/>
              <w:right w:val="none" w:color="FFFFFF" w:sz="0"/>
            </w:tcBorders>
            <w:shd w:fill="EDEDED" w:color="auto" w:val="clear"/>
            <w:tcMar>
              <w:top w:type="dxa" w:w="40"/>
              <w:left w:type="dxa" w:w="80"/>
              <w:bottom w:type="dxa" w:w="40"/>
              <w:right w:type="dxa" w:w="80"/>
            </w:tcMar>
          </w:tcPr>
          <w:p>
            <w:pPr>
              <w:spacing w:after="0" w:before="0"/>
              <w:jc w:val="right"/>
            </w:pPr>
            <w:r>
              <w:rPr>
                <w:b/>
                <w:bCs/>
                <w:sz w:val="17"/>
                <w:szCs w:val="17"/>
              </w:rPr>
              <w:t xml:space="preserve">Candidate</w:t>
            </w:r>
          </w:p>
        </w:tc>
      </w:tr>
      <w:tr>
        <w:trPr>
          <w:tblHeader w:val="off"/>
        </w:trPr>
        <w:tc>
          <w:tcPr>
            <w:tcW w:type="dxa" w:w="2326"/>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Normal</w:t>
            </w:r>
          </w:p>
        </w:tc>
        <w:tc>
          <w:tcPr>
            <w:tcW w:type="dxa" w:w="1480"/>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107</w:t>
            </w:r>
          </w:p>
        </w:tc>
        <w:tc>
          <w:tcPr>
            <w:tcW w:type="dxa" w:w="1269"/>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63</w:t>
            </w:r>
          </w:p>
        </w:tc>
        <w:tc>
          <w:tcPr>
            <w:tcW w:type="dxa" w:w="1269"/>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86</w:t>
            </w:r>
          </w:p>
        </w:tc>
        <w:tc>
          <w:tcPr>
            <w:tcW w:type="dxa" w:w="1057"/>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86</w:t>
            </w:r>
          </w:p>
        </w:tc>
        <w:tc>
          <w:tcPr>
            <w:tcW w:type="dxa" w:w="1905"/>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bCs/>
                <w:sz w:val="17"/>
                <w:szCs w:val="17"/>
              </w:rPr>
              <w:t xml:space="preserve">93</w:t>
            </w:r>
          </w:p>
        </w:tc>
      </w:tr>
      <w:tr>
        <w:trPr>
          <w:tblHeader w:val="off"/>
        </w:trPr>
        <w:tc>
          <w:tcPr>
            <w:tcW w:type="dxa" w:w="2326"/>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Rust</w:t>
            </w:r>
          </w:p>
        </w:tc>
        <w:tc>
          <w:tcPr>
            <w:tcW w:type="dxa" w:w="148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89</w:t>
            </w:r>
          </w:p>
        </w:tc>
        <w:tc>
          <w:tcPr>
            <w:tcW w:type="dxa" w:w="1269"/>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bCs/>
                <w:sz w:val="17"/>
                <w:szCs w:val="17"/>
              </w:rPr>
              <w:t xml:space="preserve">79</w:t>
            </w:r>
          </w:p>
        </w:tc>
        <w:tc>
          <w:tcPr>
            <w:tcW w:type="dxa" w:w="1269"/>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54</w:t>
            </w:r>
          </w:p>
        </w:tc>
        <w:tc>
          <w:tcPr>
            <w:tcW w:type="dxa" w:w="1057"/>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73</w:t>
            </w:r>
          </w:p>
        </w:tc>
        <w:tc>
          <w:tcPr>
            <w:tcW w:type="dxa" w:w="1905"/>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74</w:t>
            </w:r>
          </w:p>
        </w:tc>
      </w:tr>
      <w:tr>
        <w:trPr>
          <w:tblHeader w:val="off"/>
        </w:trPr>
        <w:tc>
          <w:tcPr>
            <w:tcW w:type="dxa" w:w="2326"/>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Bird nest</w:t>
            </w:r>
          </w:p>
        </w:tc>
        <w:tc>
          <w:tcPr>
            <w:tcW w:type="dxa" w:w="148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23</w:t>
            </w:r>
          </w:p>
        </w:tc>
        <w:tc>
          <w:tcPr>
            <w:tcW w:type="dxa" w:w="1269"/>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7</w:t>
            </w:r>
          </w:p>
        </w:tc>
        <w:tc>
          <w:tcPr>
            <w:tcW w:type="dxa" w:w="1269"/>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7</w:t>
            </w:r>
          </w:p>
        </w:tc>
        <w:tc>
          <w:tcPr>
            <w:tcW w:type="dxa" w:w="1057"/>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bCs/>
                <w:sz w:val="17"/>
                <w:szCs w:val="17"/>
              </w:rPr>
              <w:t xml:space="preserve">19</w:t>
            </w:r>
          </w:p>
        </w:tc>
        <w:tc>
          <w:tcPr>
            <w:tcW w:type="dxa" w:w="1905"/>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18</w:t>
            </w:r>
          </w:p>
        </w:tc>
      </w:tr>
      <w:tr>
        <w:trPr>
          <w:tblHeader w:val="off"/>
        </w:trPr>
        <w:tc>
          <w:tcPr>
            <w:tcW w:type="dxa" w:w="2326"/>
            <w:gridSpan w:val="1"/>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Missing cap</w:t>
            </w:r>
          </w:p>
        </w:tc>
        <w:tc>
          <w:tcPr>
            <w:tcW w:type="dxa" w:w="1480"/>
            <w:gridSpan w:val="1"/>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27</w:t>
            </w:r>
          </w:p>
        </w:tc>
        <w:tc>
          <w:tcPr>
            <w:tcW w:type="dxa" w:w="1269"/>
            <w:gridSpan w:val="1"/>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before="0"/>
              <w:jc w:val="right"/>
            </w:pPr>
            <w:r>
              <w:rPr>
                <w:b/>
                <w:bCs/>
                <w:sz w:val="17"/>
                <w:szCs w:val="17"/>
              </w:rPr>
              <w:t xml:space="preserve">7</w:t>
            </w:r>
          </w:p>
        </w:tc>
        <w:tc>
          <w:tcPr>
            <w:tcW w:type="dxa" w:w="1269"/>
            <w:gridSpan w:val="1"/>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3</w:t>
            </w:r>
          </w:p>
        </w:tc>
        <w:tc>
          <w:tcPr>
            <w:tcW w:type="dxa" w:w="1057"/>
            <w:gridSpan w:val="1"/>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5</w:t>
            </w:r>
          </w:p>
        </w:tc>
        <w:tc>
          <w:tcPr>
            <w:tcW w:type="dxa" w:w="1905"/>
            <w:gridSpan w:val="1"/>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2</w:t>
            </w:r>
          </w:p>
        </w:tc>
      </w:tr>
    </w:tbl>
    <w:p>
      <w:pPr>
        <w:spacing w:after="120"/>
      </w:pPr>
    </w:p>
    <w:p>
      <w:pPr>
        <w:pStyle w:val="Heading2"/>
        <w:keepNext/>
      </w:pPr>
      <w:r>
        <w:t xml:space="preserve">5.3 </w:t>
      </w:r>
      <w:r>
        <w:t xml:space="preserve">Structure or more calls? A matched-call control</w:t>
      </w:r>
    </w:p>
    <w:p>
      <w:pPr>
        <w:spacing w:after="120" w:line="276"/>
        <w:jc w:val="both"/>
      </w:pPr>
      <w:r>
        <w:t xml:space="preserve">Per image, the agent makes two Q2 calls and up to three Q3 calls, where the direct question makes one of each. To test whether the gain is just the extra calls, we add a </w:t>
      </w:r>
      <w:r>
        <w:rPr>
          <w:i/>
          <w:iCs/>
        </w:rPr>
        <w:t xml:space="preserve">matched re-ask</w:t>
      </w:r>
      <w:r>
        <w:t xml:space="preserve"> policy. It spends the same Q2 and Q3 calls on every image as the agent but adds neither definitions nor staging. Q2 gets one own-answer re-check without definitions. Q3 gets as many sequential own-answer re-checks as the staged Q3 used for that image. We repeat the shown answer rather than the identical prompt, because the identical prompt under greedy decoding would trivially reproduce the first answer. The agent's saved gold calls are reused, so only the 622 control calls are new. The committed protocol fixed the primary comparison (agent </w:t>
      </w:r>
      <w:r>
        <w:t xml:space="preserve">−</w:t>
      </w:r>
      <w:r>
        <w:t xml:space="preserve"> re-ask, paired bootstrap) before the run. We read a CI that excludes zero as evidence that the gain is not explained by additional calls.</w:t>
      </w:r>
    </w:p>
    <w:p>
      <w:pPr>
        <w:keepNext/>
        <w:spacing w:after="80" w:before="200"/>
      </w:pPr>
      <w:r>
        <w:rPr>
          <w:b/>
          <w:bCs/>
          <w:sz w:val="19"/>
          <w:szCs w:val="19"/>
        </w:rPr>
        <w:t xml:space="preserve">Table 7. </w:t>
      </w:r>
      <w:r>
        <w:rPr>
          <w:sz w:val="19"/>
          <w:szCs w:val="19"/>
        </w:rPr>
        <w:t xml:space="preserve">Matched-call control on gold v2. Calls/img counts Q2 and Q3 calls (Q1 is shared). The matched re-ask spends identical calls to the agent on every image (Q2 492, Q3 622 in total) but adds no definitions or staging.</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938"/>
        <w:gridCol w:w="1469"/>
        <w:gridCol w:w="816"/>
        <w:gridCol w:w="1142"/>
        <w:gridCol w:w="1469"/>
        <w:gridCol w:w="1472"/>
      </w:tblGrid>
      <w:tr>
        <w:trPr>
          <w:tblHeader/>
        </w:trPr>
        <w:tc>
          <w:tcPr>
            <w:tcW w:type="dxa" w:w="2938"/>
            <w:gridSpan w:val="1"/>
            <w:tcBorders>
              <w:top w:val="single" w:color="000000" w:sz="8"/>
              <w:left w:val="none" w:color="FFFFFF" w:sz="0"/>
              <w:bottom w:val="single" w:color="000000" w:sz="8"/>
              <w:right w:val="none" w:color="FFFFFF" w:sz="0"/>
            </w:tcBorders>
            <w:shd w:fill="EDEDED" w:color="auto" w:val="clear"/>
            <w:tcMar>
              <w:top w:type="dxa" w:w="40"/>
              <w:left w:type="dxa" w:w="80"/>
              <w:bottom w:type="dxa" w:w="40"/>
              <w:right w:type="dxa" w:w="80"/>
            </w:tcMar>
          </w:tcPr>
          <w:p>
            <w:pPr>
              <w:spacing w:after="0" w:before="0"/>
              <w:jc w:val="left"/>
            </w:pPr>
            <w:r>
              <w:rPr>
                <w:b/>
                <w:bCs/>
                <w:sz w:val="17"/>
                <w:szCs w:val="17"/>
              </w:rPr>
              <w:t xml:space="preserve">Policy</w:t>
            </w:r>
          </w:p>
        </w:tc>
        <w:tc>
          <w:tcPr>
            <w:tcW w:type="dxa" w:w="1469"/>
            <w:gridSpan w:val="1"/>
            <w:tcBorders>
              <w:top w:val="single" w:color="000000" w:sz="8"/>
              <w:left w:val="none" w:color="FFFFFF" w:sz="0"/>
              <w:bottom w:val="single" w:color="000000" w:sz="8"/>
              <w:right w:val="none" w:color="FFFFFF" w:sz="0"/>
            </w:tcBorders>
            <w:shd w:fill="EDEDED" w:color="auto" w:val="clear"/>
            <w:tcMar>
              <w:top w:type="dxa" w:w="40"/>
              <w:left w:type="dxa" w:w="80"/>
              <w:bottom w:type="dxa" w:w="40"/>
              <w:right w:type="dxa" w:w="80"/>
            </w:tcMar>
          </w:tcPr>
          <w:p>
            <w:pPr>
              <w:spacing w:after="0" w:before="0"/>
              <w:jc w:val="right"/>
            </w:pPr>
            <w:r>
              <w:rPr>
                <w:b/>
                <w:bCs/>
                <w:sz w:val="17"/>
                <w:szCs w:val="17"/>
              </w:rPr>
              <w:t xml:space="preserve">Calls/img</w:t>
            </w:r>
          </w:p>
        </w:tc>
        <w:tc>
          <w:tcPr>
            <w:tcW w:type="dxa" w:w="816"/>
            <w:gridSpan w:val="1"/>
            <w:tcBorders>
              <w:top w:val="single" w:color="000000" w:sz="8"/>
              <w:left w:val="none" w:color="FFFFFF" w:sz="0"/>
              <w:bottom w:val="single" w:color="000000" w:sz="8"/>
              <w:right w:val="none" w:color="FFFFFF" w:sz="0"/>
            </w:tcBorders>
            <w:shd w:fill="EDEDED" w:color="auto" w:val="clear"/>
            <w:tcMar>
              <w:top w:type="dxa" w:w="40"/>
              <w:left w:type="dxa" w:w="80"/>
              <w:bottom w:type="dxa" w:w="40"/>
              <w:right w:type="dxa" w:w="80"/>
            </w:tcMar>
          </w:tcPr>
          <w:p>
            <w:pPr>
              <w:spacing w:after="0" w:before="0"/>
              <w:jc w:val="right"/>
            </w:pPr>
            <w:r>
              <w:rPr>
                <w:b/>
                <w:bCs/>
                <w:sz w:val="17"/>
                <w:szCs w:val="17"/>
              </w:rPr>
              <w:t xml:space="preserve">Q2 F1</w:t>
            </w:r>
          </w:p>
        </w:tc>
        <w:tc>
          <w:tcPr>
            <w:tcW w:type="dxa" w:w="1142"/>
            <w:gridSpan w:val="1"/>
            <w:tcBorders>
              <w:top w:val="single" w:color="000000" w:sz="8"/>
              <w:left w:val="none" w:color="FFFFFF" w:sz="0"/>
              <w:bottom w:val="single" w:color="000000" w:sz="8"/>
              <w:right w:val="none" w:color="FFFFFF" w:sz="0"/>
            </w:tcBorders>
            <w:shd w:fill="EDEDED" w:color="auto" w:val="clear"/>
            <w:tcMar>
              <w:top w:type="dxa" w:w="40"/>
              <w:left w:type="dxa" w:w="80"/>
              <w:bottom w:type="dxa" w:w="40"/>
              <w:right w:type="dxa" w:w="80"/>
            </w:tcMar>
          </w:tcPr>
          <w:p>
            <w:pPr>
              <w:spacing w:after="0" w:before="0"/>
              <w:jc w:val="right"/>
            </w:pPr>
            <w:r>
              <w:rPr>
                <w:b/>
                <w:bCs/>
                <w:sz w:val="17"/>
                <w:szCs w:val="17"/>
              </w:rPr>
              <w:t xml:space="preserve">Q3 BAcc</w:t>
            </w:r>
          </w:p>
        </w:tc>
        <w:tc>
          <w:tcPr>
            <w:tcW w:type="dxa" w:w="1469"/>
            <w:gridSpan w:val="1"/>
            <w:tcBorders>
              <w:top w:val="single" w:color="000000" w:sz="8"/>
              <w:left w:val="none" w:color="FFFFFF" w:sz="0"/>
              <w:bottom w:val="single" w:color="000000" w:sz="8"/>
              <w:right w:val="none" w:color="FFFFFF" w:sz="0"/>
            </w:tcBorders>
            <w:shd w:fill="EDEDED" w:color="auto" w:val="clear"/>
            <w:tcMar>
              <w:top w:type="dxa" w:w="40"/>
              <w:left w:type="dxa" w:w="80"/>
              <w:bottom w:type="dxa" w:w="40"/>
              <w:right w:type="dxa" w:w="80"/>
            </w:tcMar>
          </w:tcPr>
          <w:p>
            <w:pPr>
              <w:spacing w:after="0" w:before="0"/>
              <w:jc w:val="right"/>
            </w:pPr>
            <w:r>
              <w:rPr>
                <w:b/>
                <w:bCs/>
                <w:sz w:val="17"/>
                <w:szCs w:val="17"/>
              </w:rPr>
              <w:t xml:space="preserve">Normal FP</w:t>
            </w:r>
          </w:p>
        </w:tc>
        <w:tc>
          <w:tcPr>
            <w:tcW w:type="dxa" w:w="1472"/>
            <w:gridSpan w:val="1"/>
            <w:tcBorders>
              <w:top w:val="single" w:color="000000" w:sz="8"/>
              <w:left w:val="none" w:color="FFFFFF" w:sz="0"/>
              <w:bottom w:val="single" w:color="000000" w:sz="8"/>
              <w:right w:val="none" w:color="FFFFFF" w:sz="0"/>
            </w:tcBorders>
            <w:shd w:fill="EDEDED" w:color="auto" w:val="clear"/>
            <w:tcMar>
              <w:top w:type="dxa" w:w="40"/>
              <w:left w:type="dxa" w:w="80"/>
              <w:bottom w:type="dxa" w:w="40"/>
              <w:right w:type="dxa" w:w="80"/>
            </w:tcMar>
          </w:tcPr>
          <w:p>
            <w:pPr>
              <w:spacing w:after="0" w:before="0"/>
              <w:jc w:val="right"/>
            </w:pPr>
            <w:r>
              <w:rPr>
                <w:b/>
                <w:bCs/>
                <w:sz w:val="17"/>
                <w:szCs w:val="17"/>
              </w:rPr>
              <w:t xml:space="preserve">Defect FN</w:t>
            </w:r>
          </w:p>
        </w:tc>
      </w:tr>
      <w:tr>
        <w:trPr>
          <w:tblHeader w:val="off"/>
        </w:trPr>
        <w:tc>
          <w:tcPr>
            <w:tcW w:type="dxa" w:w="2938"/>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Direct</w:t>
            </w:r>
          </w:p>
        </w:tc>
        <w:tc>
          <w:tcPr>
            <w:tcW w:type="dxa" w:w="1469"/>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2.00</w:t>
            </w:r>
          </w:p>
        </w:tc>
        <w:tc>
          <w:tcPr>
            <w:tcW w:type="dxa" w:w="816"/>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.522</w:t>
            </w:r>
          </w:p>
        </w:tc>
        <w:tc>
          <w:tcPr>
            <w:tcW w:type="dxa" w:w="1142"/>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.551</w:t>
            </w:r>
          </w:p>
        </w:tc>
        <w:tc>
          <w:tcPr>
            <w:tcW w:type="dxa" w:w="1469"/>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93</w:t>
            </w:r>
          </w:p>
        </w:tc>
        <w:tc>
          <w:tcPr>
            <w:tcW w:type="dxa" w:w="1472"/>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bCs/>
                <w:sz w:val="17"/>
                <w:szCs w:val="17"/>
              </w:rPr>
              <w:t xml:space="preserve">4</w:t>
            </w:r>
          </w:p>
        </w:tc>
      </w:tr>
      <w:tr>
        <w:trPr>
          <w:tblHeader w:val="off"/>
        </w:trPr>
        <w:tc>
          <w:tcPr>
            <w:tcW w:type="dxa" w:w="2938"/>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Matched re-ask</w:t>
            </w:r>
          </w:p>
        </w:tc>
        <w:tc>
          <w:tcPr>
            <w:tcW w:type="dxa" w:w="1469"/>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4.53</w:t>
            </w:r>
          </w:p>
        </w:tc>
        <w:tc>
          <w:tcPr>
            <w:tcW w:type="dxa" w:w="816"/>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.476</w:t>
            </w:r>
          </w:p>
        </w:tc>
        <w:tc>
          <w:tcPr>
            <w:tcW w:type="dxa" w:w="1142"/>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.625</w:t>
            </w:r>
          </w:p>
        </w:tc>
        <w:tc>
          <w:tcPr>
            <w:tcW w:type="dxa" w:w="1469"/>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74</w:t>
            </w:r>
          </w:p>
        </w:tc>
        <w:tc>
          <w:tcPr>
            <w:tcW w:type="dxa" w:w="1472"/>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8</w:t>
            </w:r>
          </w:p>
        </w:tc>
      </w:tr>
      <w:tr>
        <w:trPr>
          <w:tblHeader w:val="off"/>
        </w:trPr>
        <w:tc>
          <w:tcPr>
            <w:tcW w:type="dxa" w:w="2938"/>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Verification agent</w:t>
            </w:r>
          </w:p>
        </w:tc>
        <w:tc>
          <w:tcPr>
            <w:tcW w:type="dxa" w:w="1469"/>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4.53</w:t>
            </w:r>
          </w:p>
        </w:tc>
        <w:tc>
          <w:tcPr>
            <w:tcW w:type="dxa" w:w="816"/>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bCs/>
                <w:sz w:val="17"/>
                <w:szCs w:val="17"/>
              </w:rPr>
              <w:t xml:space="preserve">.640</w:t>
            </w:r>
          </w:p>
        </w:tc>
        <w:tc>
          <w:tcPr>
            <w:tcW w:type="dxa" w:w="1142"/>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bCs/>
                <w:sz w:val="17"/>
                <w:szCs w:val="17"/>
              </w:rPr>
              <w:t xml:space="preserve">.828</w:t>
            </w:r>
          </w:p>
        </w:tc>
        <w:tc>
          <w:tcPr>
            <w:tcW w:type="dxa" w:w="1469"/>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bCs/>
                <w:sz w:val="17"/>
                <w:szCs w:val="17"/>
              </w:rPr>
              <w:t xml:space="preserve">16</w:t>
            </w:r>
          </w:p>
        </w:tc>
        <w:tc>
          <w:tcPr>
            <w:tcW w:type="dxa" w:w="1472"/>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27</w:t>
            </w:r>
          </w:p>
        </w:tc>
      </w:tr>
      <w:tr>
        <w:trPr>
          <w:tblHeader w:val="off"/>
        </w:trPr>
        <w:tc>
          <w:tcPr>
            <w:tcW w:type="dxa" w:w="2938"/>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Revised candidate</w:t>
            </w:r>
          </w:p>
        </w:tc>
        <w:tc>
          <w:tcPr>
            <w:tcW w:type="dxa" w:w="1469"/>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3.53</w:t>
            </w:r>
          </w:p>
        </w:tc>
        <w:tc>
          <w:tcPr>
            <w:tcW w:type="dxa" w:w="816"/>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.623</w:t>
            </w:r>
          </w:p>
        </w:tc>
        <w:tc>
          <w:tcPr>
            <w:tcW w:type="dxa" w:w="1142"/>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bCs/>
                <w:sz w:val="17"/>
                <w:szCs w:val="17"/>
              </w:rPr>
              <w:t xml:space="preserve">.828</w:t>
            </w:r>
          </w:p>
        </w:tc>
        <w:tc>
          <w:tcPr>
            <w:tcW w:type="dxa" w:w="1469"/>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bCs/>
                <w:sz w:val="17"/>
                <w:szCs w:val="17"/>
              </w:rPr>
              <w:t xml:space="preserve">16</w:t>
            </w:r>
          </w:p>
        </w:tc>
        <w:tc>
          <w:tcPr>
            <w:tcW w:type="dxa" w:w="1472"/>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27</w:t>
            </w:r>
          </w:p>
        </w:tc>
      </w:tr>
      <w:tr>
        <w:trPr>
          <w:tblHeader w:val="off"/>
        </w:trPr>
        <w:tc>
          <w:tcPr>
            <w:tcW w:type="dxa" w:w="9306"/>
            <w:gridSpan w:val="6"/>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Agent </w:t>
            </w:r>
            <w:r>
              <w:rPr>
                <w:b w:val="false"/>
                <w:bCs w:val="false"/>
                <w:sz w:val="17"/>
                <w:szCs w:val="17"/>
              </w:rPr>
              <w:t xml:space="preserve">−</w:t>
            </w:r>
            <w:r>
              <w:rPr>
                <w:b w:val="false"/>
                <w:bCs w:val="false"/>
                <w:sz w:val="17"/>
                <w:szCs w:val="17"/>
              </w:rPr>
              <w:t xml:space="preserve"> re-ask: Q2 macro-F1 </w:t>
            </w:r>
            <w:r>
              <w:rPr>
                <w:b w:val="false"/>
                <w:bCs w:val="false"/>
                <w:sz w:val="17"/>
                <w:szCs w:val="17"/>
              </w:rPr>
              <w:t xml:space="preserve">+.164</w:t>
            </w:r>
            <w:r>
              <w:rPr>
                <w:b w:val="false"/>
                <w:bCs w:val="false"/>
                <w:sz w:val="17"/>
                <w:szCs w:val="17"/>
              </w:rPr>
              <w:t xml:space="preserve"> </w:t>
            </w:r>
            <w:r>
              <w:rPr>
                <w:b w:val="false"/>
                <w:bCs w:val="false"/>
                <w:sz w:val="17"/>
                <w:szCs w:val="17"/>
              </w:rPr>
              <w:t xml:space="preserve">[+.093, +.242]</w:t>
            </w:r>
            <w:r>
              <w:rPr>
                <w:b w:val="false"/>
                <w:bCs w:val="false"/>
                <w:sz w:val="17"/>
                <w:szCs w:val="17"/>
              </w:rPr>
              <w:t xml:space="preserve">; Q3 presence BAcc </w:t>
            </w:r>
            <w:r>
              <w:rPr>
                <w:b w:val="false"/>
                <w:bCs w:val="false"/>
                <w:sz w:val="17"/>
                <w:szCs w:val="17"/>
              </w:rPr>
              <w:t xml:space="preserve">+.203</w:t>
            </w:r>
            <w:r>
              <w:rPr>
                <w:b w:val="false"/>
                <w:bCs w:val="false"/>
                <w:sz w:val="17"/>
                <w:szCs w:val="17"/>
              </w:rPr>
              <w:t xml:space="preserve"> </w:t>
            </w:r>
            <w:r>
              <w:rPr>
                <w:b w:val="false"/>
                <w:bCs w:val="false"/>
                <w:sz w:val="17"/>
                <w:szCs w:val="17"/>
              </w:rPr>
              <w:t xml:space="preserve">[+.145, +.257]</w:t>
            </w:r>
          </w:p>
        </w:tc>
      </w:tr>
      <w:tr>
        <w:trPr>
          <w:tblHeader w:val="off"/>
        </w:trPr>
        <w:tc>
          <w:tcPr>
            <w:tcW w:type="dxa" w:w="9306"/>
            <w:gridSpan w:val="6"/>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Re-ask </w:t>
            </w:r>
            <w:r>
              <w:rPr>
                <w:b w:val="false"/>
                <w:bCs w:val="false"/>
                <w:sz w:val="17"/>
                <w:szCs w:val="17"/>
              </w:rPr>
              <w:t xml:space="preserve">−</w:t>
            </w:r>
            <w:r>
              <w:rPr>
                <w:b w:val="false"/>
                <w:bCs w:val="false"/>
                <w:sz w:val="17"/>
                <w:szCs w:val="17"/>
              </w:rPr>
              <w:t xml:space="preserve"> direct: Q2 macro-F1 </w:t>
            </w:r>
            <w:r>
              <w:rPr>
                <w:b w:val="false"/>
                <w:bCs w:val="false"/>
                <w:sz w:val="17"/>
                <w:szCs w:val="17"/>
              </w:rPr>
              <w:t xml:space="preserve">−.046</w:t>
            </w:r>
            <w:r>
              <w:rPr>
                <w:b w:val="false"/>
                <w:bCs w:val="false"/>
                <w:sz w:val="17"/>
                <w:szCs w:val="17"/>
              </w:rPr>
              <w:t xml:space="preserve"> </w:t>
            </w:r>
            <w:r>
              <w:rPr>
                <w:b w:val="false"/>
                <w:bCs w:val="false"/>
                <w:sz w:val="17"/>
                <w:szCs w:val="17"/>
              </w:rPr>
              <w:t xml:space="preserve">[−.095, +.000]</w:t>
            </w:r>
            <w:r>
              <w:rPr>
                <w:b w:val="false"/>
                <w:bCs w:val="false"/>
                <w:sz w:val="17"/>
                <w:szCs w:val="17"/>
              </w:rPr>
              <w:t xml:space="preserve">; Q3 presence BAcc </w:t>
            </w:r>
            <w:r>
              <w:rPr>
                <w:b w:val="false"/>
                <w:bCs w:val="false"/>
                <w:sz w:val="17"/>
                <w:szCs w:val="17"/>
              </w:rPr>
              <w:t xml:space="preserve">+.074</w:t>
            </w:r>
            <w:r>
              <w:rPr>
                <w:b w:val="false"/>
                <w:bCs w:val="false"/>
                <w:sz w:val="17"/>
                <w:szCs w:val="17"/>
              </w:rPr>
              <w:t xml:space="preserve"> </w:t>
            </w:r>
            <w:r>
              <w:rPr>
                <w:b w:val="false"/>
                <w:bCs w:val="false"/>
                <w:sz w:val="17"/>
                <w:szCs w:val="17"/>
              </w:rPr>
              <w:t xml:space="preserve">[+.025, +.124]</w:t>
            </w:r>
          </w:p>
        </w:tc>
      </w:tr>
    </w:tbl>
    <w:p>
      <w:pPr>
        <w:spacing w:after="120"/>
      </w:pPr>
    </w:p>
    <w:p>
      <w:pPr>
        <w:spacing w:after="120" w:line="276"/>
        <w:jc w:val="both"/>
      </w:pPr>
      <w:r>
        <w:t xml:space="preserve">The control ran on the same GPU type (L4) with 622 new calls, 0 errors and 0 invalid outputs. The three published policies, recomputed from their reused calls, are unchanged. The agent outperforms the equal-call re-ask by </w:t>
      </w:r>
      <w:r>
        <w:t xml:space="preserve">+.164</w:t>
      </w:r>
      <w:r>
        <w:t xml:space="preserve"> Q2 macro-F1 (95% CI </w:t>
      </w:r>
      <w:r>
        <w:t xml:space="preserve">[+.093,+.242]</w:t>
      </w:r>
      <w:r>
        <w:t xml:space="preserve">) and </w:t>
      </w:r>
      <w:r>
        <w:t xml:space="preserve">+.203</w:t>
      </w:r>
      <w:r>
        <w:t xml:space="preserve"> Q3 presence BAcc (</w:t>
      </w:r>
      <w:r>
        <w:t xml:space="preserve">[+.145,+.257]</w:t>
      </w:r>
      <w:r>
        <w:t xml:space="preserve">) (Table </w:t>
      </w:r>
      <w:r>
        <w:t xml:space="preserve">7</w:t>
      </w:r>
      <w:r>
        <w:t xml:space="preserve">). The gain is therefore not explained by additional calls; it needs what the agent adds, namely option definitions for Q2 and presence-then-position staging for Q3. Because the control removes both at once, it does not separate the information in the definitions from the effect of the staging.</w:t>
      </w:r>
    </w:p>
    <w:p>
      <w:pPr>
        <w:spacing w:after="120" w:line="276"/>
        <w:jc w:val="both"/>
      </w:pPr>
      <w:r>
        <w:t xml:space="preserve">Re-asking alone does not help Q2 (</w:t>
      </w:r>
      <w:r>
        <w:t xml:space="preserve">−.046</w:t>
      </w:r>
      <w:r>
        <w:t xml:space="preserve">, </w:t>
      </w:r>
      <w:r>
        <w:t xml:space="preserve">[−.095,+.000]</w:t>
      </w:r>
      <w:r>
        <w:t xml:space="preserve">). It mainly pushes answers towards “normal”: “normal” predictions rise from 86 to 139 of 246. That repairs 30 normal images but breaks 26 rust images, 21 of which become “normal”; Table </w:t>
      </w:r>
      <w:r>
        <w:t xml:space="preserve">6</w:t>
      </w:r>
      <w:r>
        <w:t xml:space="preserve"> shows the net per-class result. On Q2 false alarms, re-asking alone already matches the agent: both label 21 of 107 normal images with a defect type. The agent moves in the same direction less strongly (117 “normal” predictions). Its definitions hold rust at 73/89 (re-ask: 54) and recover bird nests (7 </w:t>
      </w:r>
      <w:r>
        <w:t xml:space="preserve">→</w:t>
      </w:r>
      <w:r>
        <w:t xml:space="preserve"> 19/23). For Q3, re-asking gives a small presence gain (</w:t>
      </w:r>
      <w:r>
        <w:t xml:space="preserve">+.074</w:t>
      </w:r>
      <w:r>
        <w:t xml:space="preserve">, </w:t>
      </w:r>
      <w:r>
        <w:t xml:space="preserve">[+.025,+.124]</w:t>
      </w:r>
      <w:r>
        <w:t xml:space="preserve">) with a matching small shift: normal false regions 93 </w:t>
      </w:r>
      <w:r>
        <w:t xml:space="preserve">→</w:t>
      </w:r>
      <w:r>
        <w:t xml:space="preserve"> 74 and missed defects 4 </w:t>
      </w:r>
      <w:r>
        <w:t xml:space="preserve">→</w:t>
      </w:r>
      <w:r>
        <w:t xml:space="preserve"> 8. The staged presence question amplifies both effects. Compared with the re-ask, it removes many more false regions (</w:t>
      </w:r>
      <w:r>
        <w:t xml:space="preserve">−.542</w:t>
      </w:r>
      <w:r>
        <w:t xml:space="preserve"> in rate, </w:t>
      </w:r>
      <w:r>
        <w:t xml:space="preserve">[−.636,−.447]</w:t>
      </w:r>
      <w:r>
        <w:t xml:space="preserve">) and misses more defects (</w:t>
      </w:r>
      <w:r>
        <w:t xml:space="preserve">+.137</w:t>
      </w:r>
      <w:r>
        <w:t xml:space="preserve">, </w:t>
      </w:r>
      <w:r>
        <w:t xml:space="preserve">[+.079,+.201]</w:t>
      </w:r>
      <w:r>
        <w:t xml:space="preserve">). Missing caps account for most of this gap: the re-ask still reports a region on 20 of 27 of them, the staged agent on 9. Asking again therefore already makes the model somewhat more conservative. The agent's additions turn that shift into a large net gain while also enlarging the miss rate.</w:t>
      </w:r>
    </w:p>
    <w:p>
      <w:pPr>
        <w:pStyle w:val="Heading1"/>
        <w:keepNext/>
      </w:pPr>
      <w:r>
        <w:t xml:space="preserve">6 </w:t>
      </w:r>
      <w:r>
        <w:t xml:space="preserve">Why Missing Components Are Missed</w:t>
      </w:r>
    </w:p>
    <w:p>
      <w:pPr>
        <w:spacing w:after="120" w:line="276"/>
        <w:jc w:val="both"/>
      </w:pPr>
      <w:r>
        <w:t xml:space="preserve">Missing caps are where the agent fails most. Its staged Q3 reports a defect region on only 9 of 27 of them (direct 23), and it names the defect in 5 of 27 (direct 7, candidate 2). All 27 gold cases are glass insulators, an asset with only five gold normals, so asset and defect effects are confounded. We studied missing caps on development data only, never gold. Dev240 contains 25 of them, of which 4 fall in the 40-image design subset used for most model swaps. Each intervention used fixed settings, and where a pass criterion was defined it was written before the run. One exception: the cross-model re-check was re-run once with a changed proposal format after invalid outputs (Appendix Table </w:t>
      </w:r>
      <w:r>
        <w:t xml:space="preserve">10</w:t>
      </w:r>
      <w:r>
        <w:t xml:space="preserve">).</w:t>
      </w:r>
    </w:p>
    <w:p>
      <w:pPr>
        <w:pStyle w:val="ListParagraph"/>
        <w:numPr>
          <w:ilvl w:val="0"/>
          <w:numId w:val="2"/>
        </w:numPr>
        <w:spacing w:after="80" w:line="276"/>
        <w:jc w:val="both"/>
      </w:pPr>
      <w:r>
        <w:rPr>
          <w:b/>
          <w:bCs/>
        </w:rPr>
        <w:t xml:space="preserve">Input and wording.</w:t>
      </w:r>
      <w:r>
        <w:t xml:space="preserve"> Doubling the target's visual tiles, short defect-evidence prompts, and both together all reduced missing-cap recall on dev240 against the revised-definition Q2 control. Recall fell from 6/25 to 2, 4 and 1 of 25 respectively.</w:t>
      </w:r>
    </w:p>
    <w:p>
      <w:pPr>
        <w:pStyle w:val="ListParagraph"/>
        <w:numPr>
          <w:ilvl w:val="0"/>
          <w:numId w:val="2"/>
        </w:numPr>
        <w:spacing w:after="80" w:line="276"/>
        <w:jc w:val="both"/>
      </w:pPr>
      <w:r>
        <w:rPr>
          <w:b/>
          <w:bCs/>
        </w:rPr>
        <w:t xml:space="preserve">Other models and detectors.</w:t>
      </w:r>
      <w:r>
        <w:t xml:space="preserve"> Swapping in Qwen3-VL-8B or Ovis2.5-9B for Q2 recovered none of the 4 design-subset missing caps (1 </w:t>
      </w:r>
      <w:r>
        <w:t xml:space="preserve">→</w:t>
      </w:r>
      <w:r>
        <w:t xml:space="preserve"> 0 for both). As the Q3 presence model, Qwen3-VL cut missing-cap misses on dev240 only from 10 to 8 of 25 while adding other errors. Three anomaly detectors used for Q3 presence (AdaCLIP, AnomalyVFM, InCTRL) all lowered presence BAcc.</w:t>
      </w:r>
    </w:p>
    <w:p>
      <w:pPr>
        <w:pStyle w:val="ListParagraph"/>
        <w:numPr>
          <w:ilvl w:val="0"/>
          <w:numId w:val="2"/>
        </w:numPr>
        <w:spacing w:after="80" w:line="276"/>
        <w:jc w:val="both"/>
      </w:pPr>
      <w:r>
        <w:rPr>
          <w:b/>
          <w:bCs/>
        </w:rPr>
        <w:t xml:space="preserve">Part evidence.</w:t>
      </w:r>
      <w:r>
        <w:t xml:space="preserve"> Three tools failed their predeclared reliability gates on normal glass insulators (6 of 7 needed): open-vocabulary detection with Grounding DINO (3 of 7), counting with CountGD++ (2 of 7) and SAM masks (4 of 7). SIFT registration passed its synthetic controls but aligned 0 of 8 real reference–target pairs. DIFT correspondence passed 0 of 7 known-flip checks. None could serve as part-count evidence.</w:t>
      </w:r>
    </w:p>
    <w:p>
      <w:pPr>
        <w:pStyle w:val="ListParagraph"/>
        <w:numPr>
          <w:ilvl w:val="0"/>
          <w:numId w:val="2"/>
        </w:numPr>
        <w:spacing w:after="80" w:line="276"/>
        <w:jc w:val="both"/>
      </w:pPr>
      <w:r>
        <w:rPr>
          <w:b/>
          <w:bCs/>
        </w:rPr>
        <w:t xml:space="preserve">Crops of the location.</w:t>
      </w:r>
      <w:r>
        <w:t xml:space="preserve"> The model was shown crops of three kinds (20 positive images each): the candidate cell, the human-annotated cell and the annotated box. InternVL answered “no region” in all 60 calls, but this prompt also showed the model's earlier empty answer. A separate question without that cue asked only whether a component is missing or broken, and the model answered “absent” in all 60 calls. Only positive images were tested.</w:t>
      </w:r>
    </w:p>
    <w:p>
      <w:pPr>
        <w:pStyle w:val="ListParagraph"/>
        <w:numPr>
          <w:ilvl w:val="0"/>
          <w:numId w:val="2"/>
        </w:numPr>
        <w:spacing w:after="80" w:line="276"/>
        <w:jc w:val="both"/>
      </w:pPr>
      <w:r>
        <w:rPr>
          <w:b/>
          <w:bCs/>
        </w:rPr>
        <w:t xml:space="preserve">A supervised expert.</w:t>
      </w:r>
      <w:r>
        <w:t xml:space="preserve"> We trained a frozen DINOv2 feature plus a logistic head on glass-insulator train labels, using date-disjoint internal splits. The dev images may share capture dates with training. The head detected 25 of 25 dev missing caps with 1 false alarm on 25 dev normals; its normal false-alarm rate on the date-disjoint internal test was 13.8%. Given to the LVLM as a suggestion to re-check, it raised dev missing-cap Q2 from 6 to 14 of 25, against 8 for a matched re-ask. This breaks the training-free premise and covers one asset only. Occlusion analysis of the head placed the exact grid cell in 12 of 24 cases, against 8 of 24 for a fixed center guess (paired CI includes zero). Integrated gradients </w:t>
      </w:r>
      <w:r>
        <w:t xml:space="preserve">[15]</w:t>
      </w:r>
      <w:r>
        <w:t xml:space="preserve"> scored at most 9 of 24. With 32 integration steps, however, 49 of 52 maps failed the completeness check, so this test of IG is inconclusive.</w:t>
      </w:r>
    </w:p>
    <w:p>
      <w:pPr>
        <w:spacing w:after="120" w:line="276"/>
        <w:jc w:val="both"/>
      </w:pPr>
      <w:r>
        <w:t xml:space="preserve">In summary, training-free changes to input, wording, model or added tools did not make the 8B LVLM register missing caps, even with the region cropped for it. Explicit evidence from a supervised classifier did change its answers. We read this as a perception limit for this defect type. Prompts and routing still modulate it, however: on gold the agent's own definitions and staging lowered missing-cap answers. We therefore do not claim that they play no role.</w:t>
      </w:r>
    </w:p>
    <w:p>
      <w:pPr>
        <w:pStyle w:val="Heading1"/>
        <w:keepNext/>
      </w:pPr>
      <w:r>
        <w:t xml:space="preserve">7 </w:t>
      </w:r>
      <w:r>
        <w:t xml:space="preserve">Discussion and Limitations</w:t>
      </w:r>
    </w:p>
    <w:p>
      <w:pPr>
        <w:spacing w:after="120" w:line="276"/>
        <w:jc w:val="both"/>
      </w:pPr>
      <w:r>
        <w:rPr>
          <w:b/>
          <w:bCs/>
        </w:rPr>
        <w:t xml:space="preserve">A trade-off, not a free gain. </w:t>
      </w:r>
      <w:r>
        <w:t xml:space="preserve">The verification agent makes the model more conservative. The matched-call control shows that part of this conservatism comes simply from asking again </w:t>
      </w:r>
      <w:r>
        <w:t xml:space="preserve">[8]</w:t>
      </w:r>
      <w:r>
        <w:t xml:space="preserve">, and the agent's definitions and staging channel it into a real gain. The agent removes most false alarms on normal images but increases misses, especially for the subtle “something is absent” class. In safety-critical inspection a missed defect is often costlier than a false alarm. A single accuracy number would hide this, so benchmarks should report normal false-alarm rate and per-class recall alongside macro-F1.</w:t>
      </w:r>
    </w:p>
    <w:p>
      <w:pPr>
        <w:spacing w:after="120" w:line="276"/>
        <w:jc w:val="both"/>
      </w:pPr>
      <w:r>
        <w:rPr>
          <w:b/>
          <w:bCs/>
        </w:rPr>
        <w:t xml:space="preserve">Limitations. </w:t>
      </w:r>
      <w:r>
        <w:t xml:space="preserve">(1) The agent was evaluated with one model (InternVL3.5-8B), so transfer to other models is untested. (2) Gold has 246 images and prior exploratory use, and dev was explored repeatedly, so dev gains are exploratory. (3) Missing caps occur in one asset only, which confounds defect and asset. (4) Q3 is scored for presence, not location. A separate multi-region run used fixed references on the 133 gold defects that have spatial labels. Exact grid-cell localization was 12 of 133 for both direct and staged prompting, below a constant “center” answer (46 of 133). (5) Vision-expert scores are transductive percentiles. (6) No new untouched holdout exists, because the Aligned Core's defective images are all in gold. Unused defective images remain only in supervised train. (7) MiniCPM-V-4.5's 20 vision-expert configurations come from sampled decoding. Its baseline and reference rows were re-run greedily.</w:t>
      </w:r>
    </w:p>
    <w:p>
      <w:pPr>
        <w:pStyle w:val="Heading1"/>
        <w:keepNext/>
      </w:pPr>
      <w:r>
        <w:t xml:space="preserve">8 </w:t>
      </w:r>
      <w:r>
        <w:t xml:space="preserve">Conclusion</w:t>
      </w:r>
    </w:p>
    <w:p>
      <w:pPr>
        <w:spacing w:after="120" w:line="276"/>
        <w:jc w:val="both"/>
      </w:pPr>
      <w:r>
        <w:t xml:space="preserve">InsPLAD-QA provides a hash-aligned, manually reviewed benchmark for LVLM power-line inspection with a shared prompt, schema and evaluator. Normal references raise anomaly-detection F1, though for MiniCPM-V-4.5 balanced accuracy falls, and their effect on coherence is mixed. Anomaly-detector cues trade anomaly detection for defect typing. A question-independent verification agent improves defect typing and region presence, while trading false alarms for misses. An equal-call re-ask does not reproduce this gain, so it comes from what the agent adds rather than from extra calls. Missing components were not reliably recovered by the training-free interventions we tried, even with crops of the annotated location.</w:t>
      </w:r>
    </w:p>
    <w:p>
      <w:pPr>
        <w:pStyle w:val="Heading1"/>
      </w:pPr>
      <w:r>
        <w:t xml:space="preserve">References</w:t>
      </w:r>
    </w:p>
    <w:p>
      <w:pPr>
        <w:spacing w:after="80"/>
        <w:ind w:left="500" w:hanging="500"/>
      </w:pPr>
      <w:r>
        <w:rPr>
          <w:sz w:val="19"/>
          <w:szCs w:val="19"/>
        </w:rPr>
        <w:t xml:space="preserve">[1]	</w:t>
      </w:r>
      <w:r>
        <w:rPr>
          <w:sz w:val="19"/>
          <w:szCs w:val="19"/>
        </w:rPr>
        <w:t xml:space="preserve">Xi Jiang, Jian Li, Hanqiu Deng, Yong Liu, Bin-Bin Gao, Yifeng Zhou, Jialin Li, Chengjie Wang, Feng Zheng. MMAD: A Comprehensive Benchmark for Multimodal Large Language Models in Industrial Anomaly Detection. International Conference on Learning Representations (ICLR). 2025. arXiv:2410.09453.</w:t>
      </w:r>
    </w:p>
    <w:p>
      <w:pPr>
        <w:spacing w:after="80"/>
        <w:ind w:left="500" w:hanging="500"/>
      </w:pPr>
      <w:r>
        <w:rPr>
          <w:sz w:val="19"/>
          <w:szCs w:val="19"/>
        </w:rPr>
        <w:t xml:space="preserve">[2]	</w:t>
      </w:r>
      <w:r>
        <w:rPr>
          <w:sz w:val="19"/>
          <w:szCs w:val="19"/>
        </w:rPr>
        <w:t xml:space="preserve">André Luiz Buarque Vieira-e-Silva, Heitor de Castro Felix, Francisco Paulo Magalhães Simões, Veronica Teichrieb, Michel Mozinho dos Santos, Hemir Santiago, Virginia Sgotti, Henrique Lott Neto. InsPLAD: A Dataset and Benchmark for Power Line Asset Inspection in UAV Images. International Journal of Remote Sensing. 2023. doi:10.1080/01431161.2023.2283900. arXiv:2311.01619.</w:t>
      </w:r>
    </w:p>
    <w:p>
      <w:pPr>
        <w:spacing w:after="80"/>
        <w:ind w:left="500" w:hanging="500"/>
      </w:pPr>
      <w:r>
        <w:rPr>
          <w:sz w:val="19"/>
          <w:szCs w:val="19"/>
        </w:rPr>
        <w:t xml:space="preserve">[3]	</w:t>
      </w:r>
      <w:r>
        <w:rPr>
          <w:sz w:val="19"/>
          <w:szCs w:val="19"/>
        </w:rPr>
        <w:t xml:space="preserve">Zhaopeng Gu, Bingke Zhu, Guibo Zhu, Yingying Chen, Ming Tang, Jinqiao Wang. AnomalyGPT: Detecting Industrial Anomalies Using Large Vision-Language Models. AAAI Conference on Artificial Intelligence. 2024.</w:t>
      </w:r>
    </w:p>
    <w:p>
      <w:pPr>
        <w:spacing w:after="80"/>
        <w:ind w:left="500" w:hanging="500"/>
      </w:pPr>
      <w:r>
        <w:rPr>
          <w:sz w:val="19"/>
          <w:szCs w:val="19"/>
        </w:rPr>
        <w:t xml:space="preserve">[4]	</w:t>
      </w:r>
      <w:r>
        <w:rPr>
          <w:sz w:val="19"/>
          <w:szCs w:val="19"/>
        </w:rPr>
        <w:t xml:space="preserve">Karsten Roth, Latha Pemula, Joaquin Zepeda, Bernhard Schölkopf, Thomas Brox, Peter Gehler. Towards Total Recall in Industrial Anomaly Detection. IEEE/CVF Conference on Computer Vision and Pattern Recognition (CVPR). 2022.</w:t>
      </w:r>
    </w:p>
    <w:p>
      <w:pPr>
        <w:spacing w:after="80"/>
        <w:ind w:left="500" w:hanging="500"/>
      </w:pPr>
      <w:r>
        <w:rPr>
          <w:sz w:val="19"/>
          <w:szCs w:val="19"/>
        </w:rPr>
        <w:t xml:space="preserve">[5]	</w:t>
      </w:r>
      <w:r>
        <w:rPr>
          <w:sz w:val="19"/>
          <w:szCs w:val="19"/>
        </w:rPr>
        <w:t xml:space="preserve">Jia Guo, Shuai Lu, Weihang Zhang, Fang Chen, Huiqi Li, Hongen Liao. Dinomaly: The Less Is More Philosophy in Multi-Class Unsupervised Anomaly Detection. IEEE/CVF Conference on Computer Vision and Pattern Recognition (CVPR). pp. 20405–20415. 2025.</w:t>
      </w:r>
    </w:p>
    <w:p>
      <w:pPr>
        <w:spacing w:after="80"/>
        <w:ind w:left="500" w:hanging="500"/>
      </w:pPr>
      <w:r>
        <w:rPr>
          <w:sz w:val="19"/>
          <w:szCs w:val="19"/>
        </w:rPr>
        <w:t xml:space="preserve">[6]	</w:t>
      </w:r>
      <w:r>
        <w:rPr>
          <w:sz w:val="19"/>
          <w:szCs w:val="19"/>
        </w:rPr>
        <w:t xml:space="preserve">Qihang Zhou, Guansong Pang, Yu Tian, Shibo He, Jiming Chen. AnomalyCLIP: Object-agnostic Prompt Learning for Zero-shot Anomaly Detection. International Conference on Learning Representations (ICLR). 2024.</w:t>
      </w:r>
    </w:p>
    <w:p>
      <w:pPr>
        <w:spacing w:after="80"/>
        <w:ind w:left="500" w:hanging="500"/>
      </w:pPr>
      <w:r>
        <w:rPr>
          <w:sz w:val="19"/>
          <w:szCs w:val="19"/>
        </w:rPr>
        <w:t xml:space="preserve">[7]	</w:t>
      </w:r>
      <w:r>
        <w:rPr>
          <w:sz w:val="19"/>
          <w:szCs w:val="19"/>
        </w:rPr>
        <w:t xml:space="preserve">Aman Madaan, Niket Tandon, Prakhar Gupta et al. Self-Refine: Iterative Refinement with Self-Feedback. Advances in Neural Information Processing Systems (NeurIPS). 2023.</w:t>
      </w:r>
    </w:p>
    <w:p>
      <w:pPr>
        <w:spacing w:after="80"/>
        <w:ind w:left="500" w:hanging="500"/>
      </w:pPr>
      <w:r>
        <w:rPr>
          <w:sz w:val="19"/>
          <w:szCs w:val="19"/>
        </w:rPr>
        <w:t xml:space="preserve">[8]	</w:t>
      </w:r>
      <w:r>
        <w:rPr>
          <w:sz w:val="19"/>
          <w:szCs w:val="19"/>
        </w:rPr>
        <w:t xml:space="preserve">Jie Huang, Xinyun Chen, Swaroop Mishra, Huaixiu Steven Zheng, Adams Wei Yu, Xinying Song, Denny Zhou. Large Language Models Cannot Self-Correct Reasoning Yet. International Conference on Learning Representations (ICLR). 2024.</w:t>
      </w:r>
    </w:p>
    <w:p>
      <w:pPr>
        <w:spacing w:after="80"/>
        <w:ind w:left="500" w:hanging="500"/>
      </w:pPr>
      <w:r>
        <w:rPr>
          <w:sz w:val="19"/>
          <w:szCs w:val="19"/>
        </w:rPr>
        <w:t xml:space="preserve">[9]	</w:t>
      </w:r>
      <w:r>
        <w:rPr>
          <w:sz w:val="19"/>
          <w:szCs w:val="19"/>
        </w:rPr>
        <w:t xml:space="preserve">Maxime Oquab, Timothée Darcet, Théo Moutakanni et al. DINOv2: Learning Robust Visual Features without Supervision. Transactions on Machine Learning Research. 2024.</w:t>
      </w:r>
    </w:p>
    <w:p>
      <w:pPr>
        <w:spacing w:after="80"/>
        <w:ind w:left="500" w:hanging="500"/>
      </w:pPr>
      <w:r>
        <w:rPr>
          <w:sz w:val="19"/>
          <w:szCs w:val="19"/>
        </w:rPr>
        <w:t xml:space="preserve">[10]	</w:t>
      </w:r>
      <w:r>
        <w:rPr>
          <w:sz w:val="19"/>
          <w:szCs w:val="19"/>
        </w:rPr>
        <w:t xml:space="preserve">Bradley Efron, Robert J. Tibshirani. An Introduction to the Bootstrap. Chapman and Hall/CRC. 1994.</w:t>
      </w:r>
    </w:p>
    <w:p>
      <w:pPr>
        <w:spacing w:after="80"/>
        <w:ind w:left="500" w:hanging="500"/>
      </w:pPr>
      <w:r>
        <w:rPr>
          <w:sz w:val="19"/>
          <w:szCs w:val="19"/>
        </w:rPr>
        <w:t xml:space="preserve">[11]	</w:t>
      </w:r>
      <w:r>
        <w:rPr>
          <w:sz w:val="19"/>
          <w:szCs w:val="19"/>
        </w:rPr>
        <w:t xml:space="preserve">Qwen Team. Qwen3.5-4B model card. 2026. Hugging Face model card, https://huggingface.co/Qwen/Qwen3.5-4B.</w:t>
      </w:r>
    </w:p>
    <w:p>
      <w:pPr>
        <w:spacing w:after="80"/>
        <w:ind w:left="500" w:hanging="500"/>
      </w:pPr>
      <w:r>
        <w:rPr>
          <w:sz w:val="19"/>
          <w:szCs w:val="19"/>
        </w:rPr>
        <w:t xml:space="preserve">[12]	</w:t>
      </w:r>
      <w:r>
        <w:rPr>
          <w:sz w:val="19"/>
          <w:szCs w:val="19"/>
        </w:rPr>
        <w:t xml:space="preserve">Weiyun Wang et al. InternVL3.5: Advancing Open-Source Multimodal Models in Versatility, Reasoning, and Efficiency. arXiv preprint arXiv:2508.18265. 2025.</w:t>
      </w:r>
    </w:p>
    <w:p>
      <w:pPr>
        <w:spacing w:after="80"/>
        <w:ind w:left="500" w:hanging="500"/>
      </w:pPr>
      <w:r>
        <w:rPr>
          <w:sz w:val="19"/>
          <w:szCs w:val="19"/>
        </w:rPr>
        <w:t xml:space="preserve">[13]	</w:t>
      </w:r>
      <w:r>
        <w:rPr>
          <w:sz w:val="19"/>
          <w:szCs w:val="19"/>
        </w:rPr>
        <w:t xml:space="preserve">Yuan Yao, Tianyu Yu, Ao Zhang et al. MiniCPM-V: A GPT-4V Level MLLM on Your Phone. arXiv preprint arXiv:2408.01800. 2024.</w:t>
      </w:r>
    </w:p>
    <w:p>
      <w:pPr>
        <w:spacing w:after="80"/>
        <w:ind w:left="500" w:hanging="500"/>
      </w:pPr>
      <w:r>
        <w:rPr>
          <w:sz w:val="19"/>
          <w:szCs w:val="19"/>
        </w:rPr>
        <w:t xml:space="preserve">[14]	</w:t>
      </w:r>
      <w:r>
        <w:rPr>
          <w:sz w:val="19"/>
          <w:szCs w:val="19"/>
        </w:rPr>
        <w:t xml:space="preserve">Bo Li, Yuanhan Zhang, Dong Guo et al. LLaVA-OneVision: Easy Visual Task Transfer. arXiv preprint arXiv:2408.03326. 2024.</w:t>
      </w:r>
    </w:p>
    <w:p>
      <w:pPr>
        <w:spacing w:after="80"/>
        <w:ind w:left="500" w:hanging="500"/>
      </w:pPr>
      <w:r>
        <w:rPr>
          <w:sz w:val="19"/>
          <w:szCs w:val="19"/>
        </w:rPr>
        <w:t xml:space="preserve">[15]	</w:t>
      </w:r>
      <w:r>
        <w:rPr>
          <w:sz w:val="19"/>
          <w:szCs w:val="19"/>
        </w:rPr>
        <w:t xml:space="preserve">Mukund Sundararajan, Ankur Taly, Qiqi Yan. Axiomatic Attribution for Deep Networks. International Conference on Machine Learning (ICML). 2017.</w:t>
      </w:r>
    </w:p>
    <w:p>
      <w:pPr>
        <w:pStyle w:val="Heading1"/>
        <w:keepNext/>
      </w:pPr>
      <w:r>
        <w:t xml:space="preserve">Appendix A. </w:t>
      </w:r>
      <w:r>
        <w:t xml:space="preserve">Additional development images</w:t>
      </w:r>
    </w:p>
    <w:p>
      <w:pPr>
        <w:keepNext/>
        <w:spacing w:after="80" w:before="200"/>
      </w:pPr>
      <w:r>
        <w:rPr>
          <w:b/>
          <w:bCs/>
          <w:sz w:val="19"/>
          <w:szCs w:val="19"/>
        </w:rPr>
        <w:t xml:space="preserve">Table 8. </w:t>
      </w:r>
      <w:r>
        <w:rPr>
          <w:sz w:val="19"/>
          <w:szCs w:val="19"/>
        </w:rPr>
        <w:t xml:space="preserve">The additional 200 dev images (used to choose the gold candidate). “Revised” uses the revised Q2 together with a review-stage Q3 that was rejected and never run on gold. Only its Q2 value corresponds to the gold candidate.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6084"/>
        <w:gridCol w:w="1073"/>
        <w:gridCol w:w="894"/>
        <w:gridCol w:w="1255"/>
      </w:tblGrid>
      <w:tr>
        <w:trPr>
          <w:tblHeader/>
        </w:trPr>
        <w:tc>
          <w:tcPr>
            <w:tcW w:type="dxa" w:w="6084"/>
            <w:gridSpan w:val="1"/>
            <w:tcBorders>
              <w:top w:val="single" w:color="000000" w:sz="8"/>
              <w:left w:val="none" w:color="FFFFFF" w:sz="0"/>
              <w:bottom w:val="single" w:color="000000" w:sz="8"/>
              <w:right w:val="none" w:color="FFFFFF" w:sz="0"/>
            </w:tcBorders>
            <w:shd w:fill="EDEDED" w:color="auto" w:val="clear"/>
            <w:tcMar>
              <w:top w:type="dxa" w:w="40"/>
              <w:left w:type="dxa" w:w="80"/>
              <w:bottom w:type="dxa" w:w="40"/>
              <w:right w:type="dxa" w:w="80"/>
            </w:tcMar>
          </w:tcPr>
          <w:p>
            <w:pPr>
              <w:spacing w:after="0" w:before="0"/>
              <w:jc w:val="left"/>
            </w:pPr>
            <w:r>
              <w:rPr>
                <w:b/>
                <w:bCs/>
                <w:sz w:val="17"/>
                <w:szCs w:val="17"/>
              </w:rPr>
              <w:t xml:space="preserve">Metric</w:t>
            </w:r>
          </w:p>
        </w:tc>
        <w:tc>
          <w:tcPr>
            <w:tcW w:type="dxa" w:w="1073"/>
            <w:gridSpan w:val="1"/>
            <w:tcBorders>
              <w:top w:val="single" w:color="000000" w:sz="8"/>
              <w:left w:val="none" w:color="FFFFFF" w:sz="0"/>
              <w:bottom w:val="single" w:color="000000" w:sz="8"/>
              <w:right w:val="none" w:color="FFFFFF" w:sz="0"/>
            </w:tcBorders>
            <w:shd w:fill="EDEDED" w:color="auto" w:val="clear"/>
            <w:tcMar>
              <w:top w:type="dxa" w:w="40"/>
              <w:left w:type="dxa" w:w="80"/>
              <w:bottom w:type="dxa" w:w="40"/>
              <w:right w:type="dxa" w:w="80"/>
            </w:tcMar>
          </w:tcPr>
          <w:p>
            <w:pPr>
              <w:spacing w:after="0" w:before="0"/>
              <w:jc w:val="right"/>
            </w:pPr>
            <w:r>
              <w:rPr>
                <w:b/>
                <w:bCs/>
                <w:sz w:val="17"/>
                <w:szCs w:val="17"/>
              </w:rPr>
              <w:t xml:space="preserve">Direct</w:t>
            </w:r>
          </w:p>
        </w:tc>
        <w:tc>
          <w:tcPr>
            <w:tcW w:type="dxa" w:w="894"/>
            <w:gridSpan w:val="1"/>
            <w:tcBorders>
              <w:top w:val="single" w:color="000000" w:sz="8"/>
              <w:left w:val="none" w:color="FFFFFF" w:sz="0"/>
              <w:bottom w:val="single" w:color="000000" w:sz="8"/>
              <w:right w:val="none" w:color="FFFFFF" w:sz="0"/>
            </w:tcBorders>
            <w:shd w:fill="EDEDED" w:color="auto" w:val="clear"/>
            <w:tcMar>
              <w:top w:type="dxa" w:w="40"/>
              <w:left w:type="dxa" w:w="80"/>
              <w:bottom w:type="dxa" w:w="40"/>
              <w:right w:type="dxa" w:w="80"/>
            </w:tcMar>
          </w:tcPr>
          <w:p>
            <w:pPr>
              <w:spacing w:after="0" w:before="0"/>
              <w:jc w:val="right"/>
            </w:pPr>
            <w:r>
              <w:rPr>
                <w:b/>
                <w:bCs/>
                <w:sz w:val="17"/>
                <w:szCs w:val="17"/>
              </w:rPr>
              <w:t xml:space="preserve">Agent</w:t>
            </w:r>
          </w:p>
        </w:tc>
        <w:tc>
          <w:tcPr>
            <w:tcW w:type="dxa" w:w="1255"/>
            <w:gridSpan w:val="1"/>
            <w:tcBorders>
              <w:top w:val="single" w:color="000000" w:sz="8"/>
              <w:left w:val="none" w:color="FFFFFF" w:sz="0"/>
              <w:bottom w:val="single" w:color="000000" w:sz="8"/>
              <w:right w:val="none" w:color="FFFFFF" w:sz="0"/>
            </w:tcBorders>
            <w:shd w:fill="EDEDED" w:color="auto" w:val="clear"/>
            <w:tcMar>
              <w:top w:type="dxa" w:w="40"/>
              <w:left w:type="dxa" w:w="80"/>
              <w:bottom w:type="dxa" w:w="40"/>
              <w:right w:type="dxa" w:w="80"/>
            </w:tcMar>
          </w:tcPr>
          <w:p>
            <w:pPr>
              <w:spacing w:after="0" w:before="0"/>
              <w:jc w:val="right"/>
            </w:pPr>
            <w:r>
              <w:rPr>
                <w:b/>
                <w:bCs/>
                <w:sz w:val="17"/>
                <w:szCs w:val="17"/>
              </w:rPr>
              <w:t xml:space="preserve">Revised</w:t>
            </w:r>
          </w:p>
        </w:tc>
      </w:tr>
      <w:tr>
        <w:trPr>
          <w:tblHeader w:val="off"/>
        </w:trPr>
        <w:tc>
          <w:tcPr>
            <w:tcW w:type="dxa" w:w="6084"/>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Q2 macro-F1</w:t>
            </w:r>
          </w:p>
        </w:tc>
        <w:tc>
          <w:tcPr>
            <w:tcW w:type="dxa" w:w="1073"/>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.514</w:t>
            </w:r>
          </w:p>
        </w:tc>
        <w:tc>
          <w:tcPr>
            <w:tcW w:type="dxa" w:w="894"/>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.654</w:t>
            </w:r>
          </w:p>
        </w:tc>
        <w:tc>
          <w:tcPr>
            <w:tcW w:type="dxa" w:w="1255"/>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bCs/>
                <w:sz w:val="17"/>
                <w:szCs w:val="17"/>
              </w:rPr>
              <w:t xml:space="preserve">.698</w:t>
            </w:r>
          </w:p>
        </w:tc>
      </w:tr>
      <w:tr>
        <w:trPr>
          <w:tblHeader w:val="off"/>
        </w:trPr>
        <w:tc>
          <w:tcPr>
            <w:tcW w:type="dxa" w:w="6084"/>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Q3 presence balanced accuracy</w:t>
            </w:r>
          </w:p>
        </w:tc>
        <w:tc>
          <w:tcPr>
            <w:tcW w:type="dxa" w:w="1073"/>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.559</w:t>
            </w:r>
          </w:p>
        </w:tc>
        <w:tc>
          <w:tcPr>
            <w:tcW w:type="dxa" w:w="894"/>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bCs/>
                <w:sz w:val="17"/>
                <w:szCs w:val="17"/>
              </w:rPr>
              <w:t xml:space="preserve">.810</w:t>
            </w:r>
          </w:p>
        </w:tc>
        <w:tc>
          <w:tcPr>
            <w:tcW w:type="dxa" w:w="1255"/>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.759</w:t>
            </w:r>
          </w:p>
        </w:tc>
      </w:tr>
      <w:tr>
        <w:trPr>
          <w:tblHeader w:val="off"/>
        </w:trPr>
        <w:tc>
          <w:tcPr>
            <w:tcW w:type="dxa" w:w="6084"/>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Q3 false region on normal (/101)</w:t>
            </w:r>
          </w:p>
        </w:tc>
        <w:tc>
          <w:tcPr>
            <w:tcW w:type="dxa" w:w="1073"/>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87</w:t>
            </w:r>
          </w:p>
        </w:tc>
        <w:tc>
          <w:tcPr>
            <w:tcW w:type="dxa" w:w="894"/>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23</w:t>
            </w:r>
          </w:p>
        </w:tc>
        <w:tc>
          <w:tcPr>
            <w:tcW w:type="dxa" w:w="1255"/>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bCs/>
                <w:sz w:val="17"/>
                <w:szCs w:val="17"/>
              </w:rPr>
              <w:t xml:space="preserve">19</w:t>
            </w:r>
          </w:p>
        </w:tc>
      </w:tr>
      <w:tr>
        <w:trPr>
          <w:tblHeader w:val="off"/>
        </w:trPr>
        <w:tc>
          <w:tcPr>
            <w:tcW w:type="dxa" w:w="6084"/>
            <w:gridSpan w:val="1"/>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Q3 false “none” on defective (/99)</w:t>
            </w:r>
          </w:p>
        </w:tc>
        <w:tc>
          <w:tcPr>
            <w:tcW w:type="dxa" w:w="1073"/>
            <w:gridSpan w:val="1"/>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before="0"/>
              <w:jc w:val="right"/>
            </w:pPr>
            <w:r>
              <w:rPr>
                <w:b/>
                <w:bCs/>
                <w:sz w:val="17"/>
                <w:szCs w:val="17"/>
              </w:rPr>
              <w:t xml:space="preserve">2</w:t>
            </w:r>
          </w:p>
        </w:tc>
        <w:tc>
          <w:tcPr>
            <w:tcW w:type="dxa" w:w="894"/>
            <w:gridSpan w:val="1"/>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15</w:t>
            </w:r>
          </w:p>
        </w:tc>
        <w:tc>
          <w:tcPr>
            <w:tcW w:type="dxa" w:w="1255"/>
            <w:gridSpan w:val="1"/>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29</w:t>
            </w:r>
          </w:p>
        </w:tc>
      </w:tr>
    </w:tbl>
    <w:p>
      <w:pPr>
        <w:spacing w:after="120"/>
      </w:pPr>
    </w:p>
    <w:p>
      <w:pPr>
        <w:pStyle w:val="Heading1"/>
        <w:keepNext/>
      </w:pPr>
      <w:r>
        <w:t xml:space="preserve">Appendix B. </w:t>
      </w:r>
      <w:r>
        <w:t xml:space="preserve">MiniCPM-V-4.5: greedy versus sampled decoding</w:t>
      </w:r>
    </w:p>
    <w:p>
      <w:pPr>
        <w:keepNext/>
        <w:spacing w:after="80" w:before="200"/>
      </w:pPr>
      <w:r>
        <w:rPr>
          <w:b/>
          <w:bCs/>
          <w:sz w:val="19"/>
          <w:szCs w:val="19"/>
        </w:rPr>
        <w:t xml:space="preserve">Table 9. </w:t>
      </w:r>
      <w:r>
        <w:rPr>
          <w:sz w:val="19"/>
          <w:szCs w:val="19"/>
        </w:rPr>
        <w:t xml:space="preserve">MiniCPM-V-4.5 on gold v2, greedy re-run / published sampled run (temperature 0.7). Same prompts, images and references; 2,136 greedy calls, 0 errors, 0 invalid outputs. Greedy Q1 balanced accuracy: image-only .656, normal .587, defect .494, both .645.</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658"/>
        <w:gridCol w:w="1329"/>
        <w:gridCol w:w="1329"/>
        <w:gridCol w:w="1329"/>
        <w:gridCol w:w="1329"/>
        <w:gridCol w:w="1332"/>
      </w:tblGrid>
      <w:tr>
        <w:trPr>
          <w:tblHeader/>
        </w:trPr>
        <w:tc>
          <w:tcPr>
            <w:tcW w:type="dxa" w:w="2658"/>
            <w:gridSpan w:val="1"/>
            <w:tcBorders>
              <w:top w:val="single" w:color="000000" w:sz="8"/>
              <w:left w:val="none" w:color="FFFFFF" w:sz="0"/>
              <w:bottom w:val="single" w:color="000000" w:sz="8"/>
              <w:right w:val="none" w:color="FFFFFF" w:sz="0"/>
            </w:tcBorders>
            <w:shd w:fill="EDEDED" w:color="auto" w:val="clear"/>
            <w:tcMar>
              <w:top w:type="dxa" w:w="40"/>
              <w:left w:type="dxa" w:w="80"/>
              <w:bottom w:type="dxa" w:w="40"/>
              <w:right w:type="dxa" w:w="80"/>
            </w:tcMar>
          </w:tcPr>
          <w:p>
            <w:pPr>
              <w:spacing w:after="0" w:before="0"/>
              <w:jc w:val="left"/>
            </w:pPr>
            <w:r>
              <w:rPr>
                <w:b/>
                <w:bCs/>
                <w:sz w:val="17"/>
                <w:szCs w:val="17"/>
              </w:rPr>
              <w:t xml:space="preserve">Condition</w:t>
            </w:r>
          </w:p>
        </w:tc>
        <w:tc>
          <w:tcPr>
            <w:tcW w:type="dxa" w:w="1329"/>
            <w:gridSpan w:val="1"/>
            <w:tcBorders>
              <w:top w:val="single" w:color="000000" w:sz="8"/>
              <w:left w:val="none" w:color="FFFFFF" w:sz="0"/>
              <w:bottom w:val="single" w:color="000000" w:sz="8"/>
              <w:right w:val="none" w:color="FFFFFF" w:sz="0"/>
            </w:tcBorders>
            <w:shd w:fill="EDEDED" w:color="auto" w:val="clear"/>
            <w:tcMar>
              <w:top w:type="dxa" w:w="40"/>
              <w:left w:type="dxa" w:w="80"/>
              <w:bottom w:type="dxa" w:w="40"/>
              <w:right w:type="dxa" w:w="80"/>
            </w:tcMar>
          </w:tcPr>
          <w:p>
            <w:pPr>
              <w:spacing w:after="0" w:before="0"/>
              <w:jc w:val="right"/>
            </w:pPr>
            <w:r>
              <w:rPr>
                <w:b/>
                <w:bCs/>
                <w:sz w:val="17"/>
                <w:szCs w:val="17"/>
              </w:rPr>
              <w:t xml:space="preserve">Q1 F1</w:t>
            </w:r>
          </w:p>
        </w:tc>
        <w:tc>
          <w:tcPr>
            <w:tcW w:type="dxa" w:w="1329"/>
            <w:gridSpan w:val="1"/>
            <w:tcBorders>
              <w:top w:val="single" w:color="000000" w:sz="8"/>
              <w:left w:val="none" w:color="FFFFFF" w:sz="0"/>
              <w:bottom w:val="single" w:color="000000" w:sz="8"/>
              <w:right w:val="none" w:color="FFFFFF" w:sz="0"/>
            </w:tcBorders>
            <w:shd w:fill="EDEDED" w:color="auto" w:val="clear"/>
            <w:tcMar>
              <w:top w:type="dxa" w:w="40"/>
              <w:left w:type="dxa" w:w="80"/>
              <w:bottom w:type="dxa" w:w="40"/>
              <w:right w:type="dxa" w:w="80"/>
            </w:tcMar>
          </w:tcPr>
          <w:p>
            <w:pPr>
              <w:spacing w:after="0" w:before="0"/>
              <w:jc w:val="right"/>
            </w:pPr>
            <w:r>
              <w:rPr>
                <w:b/>
                <w:bCs/>
                <w:sz w:val="17"/>
                <w:szCs w:val="17"/>
              </w:rPr>
              <w:t xml:space="preserve">Q2 F1</w:t>
            </w:r>
          </w:p>
        </w:tc>
        <w:tc>
          <w:tcPr>
            <w:tcW w:type="dxa" w:w="1329"/>
            <w:gridSpan w:val="1"/>
            <w:tcBorders>
              <w:top w:val="single" w:color="000000" w:sz="8"/>
              <w:left w:val="none" w:color="FFFFFF" w:sz="0"/>
              <w:bottom w:val="single" w:color="000000" w:sz="8"/>
              <w:right w:val="none" w:color="FFFFFF" w:sz="0"/>
            </w:tcBorders>
            <w:shd w:fill="EDEDED" w:color="auto" w:val="clear"/>
            <w:tcMar>
              <w:top w:type="dxa" w:w="40"/>
              <w:left w:type="dxa" w:w="80"/>
              <w:bottom w:type="dxa" w:w="40"/>
              <w:right w:type="dxa" w:w="80"/>
            </w:tcMar>
          </w:tcPr>
          <w:p>
            <w:pPr>
              <w:spacing w:after="0" w:before="0"/>
              <w:jc w:val="right"/>
            </w:pPr>
            <w:r>
              <w:rPr>
                <w:b/>
                <w:bCs/>
                <w:sz w:val="17"/>
                <w:szCs w:val="17"/>
              </w:rPr>
              <w:t xml:space="preserve">Joint</w:t>
            </w:r>
          </w:p>
        </w:tc>
        <w:tc>
          <w:tcPr>
            <w:tcW w:type="dxa" w:w="1329"/>
            <w:gridSpan w:val="1"/>
            <w:tcBorders>
              <w:top w:val="single" w:color="000000" w:sz="8"/>
              <w:left w:val="none" w:color="FFFFFF" w:sz="0"/>
              <w:bottom w:val="single" w:color="000000" w:sz="8"/>
              <w:right w:val="none" w:color="FFFFFF" w:sz="0"/>
            </w:tcBorders>
            <w:shd w:fill="EDEDED" w:color="auto" w:val="clear"/>
            <w:tcMar>
              <w:top w:type="dxa" w:w="40"/>
              <w:left w:type="dxa" w:w="80"/>
              <w:bottom w:type="dxa" w:w="40"/>
              <w:right w:type="dxa" w:w="80"/>
            </w:tcMar>
          </w:tcPr>
          <w:p>
            <w:pPr>
              <w:spacing w:after="0" w:before="0"/>
              <w:jc w:val="right"/>
            </w:pPr>
            <w:r>
              <w:rPr>
                <w:b/>
                <w:bCs/>
                <w:sz w:val="17"/>
                <w:szCs w:val="17"/>
              </w:rPr>
              <w:t xml:space="preserve">CE</w:t>
            </w:r>
          </w:p>
        </w:tc>
        <w:tc>
          <w:tcPr>
            <w:tcW w:type="dxa" w:w="1332"/>
            <w:gridSpan w:val="1"/>
            <w:tcBorders>
              <w:top w:val="single" w:color="000000" w:sz="8"/>
              <w:left w:val="none" w:color="FFFFFF" w:sz="0"/>
              <w:bottom w:val="single" w:color="000000" w:sz="8"/>
              <w:right w:val="none" w:color="FFFFFF" w:sz="0"/>
            </w:tcBorders>
            <w:shd w:fill="EDEDED" w:color="auto" w:val="clear"/>
            <w:tcMar>
              <w:top w:type="dxa" w:w="40"/>
              <w:left w:type="dxa" w:w="80"/>
              <w:bottom w:type="dxa" w:w="40"/>
              <w:right w:type="dxa" w:w="80"/>
            </w:tcMar>
          </w:tcPr>
          <w:p>
            <w:pPr>
              <w:spacing w:after="0" w:before="0"/>
              <w:jc w:val="right"/>
            </w:pPr>
            <w:r>
              <w:rPr>
                <w:b/>
                <w:bCs/>
                <w:sz w:val="17"/>
                <w:szCs w:val="17"/>
              </w:rPr>
              <w:t xml:space="preserve">FDR</w:t>
            </w:r>
          </w:p>
        </w:tc>
      </w:tr>
      <w:tr>
        <w:trPr>
          <w:tblHeader w:val="off"/>
        </w:trPr>
        <w:tc>
          <w:tcPr>
            <w:tcW w:type="dxa" w:w="2658"/>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Image only</w:t>
            </w:r>
          </w:p>
        </w:tc>
        <w:tc>
          <w:tcPr>
            <w:tcW w:type="dxa" w:w="1329"/>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.618 / .583</w:t>
            </w:r>
          </w:p>
        </w:tc>
        <w:tc>
          <w:tcPr>
            <w:tcW w:type="dxa" w:w="1329"/>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.483 / .450</w:t>
            </w:r>
          </w:p>
        </w:tc>
        <w:tc>
          <w:tcPr>
            <w:tcW w:type="dxa" w:w="1329"/>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.496 / .431</w:t>
            </w:r>
          </w:p>
        </w:tc>
        <w:tc>
          <w:tcPr>
            <w:tcW w:type="dxa" w:w="1329"/>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.280 / .341</w:t>
            </w:r>
          </w:p>
        </w:tc>
        <w:tc>
          <w:tcPr>
            <w:tcW w:type="dxa" w:w="1332"/>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.308 / .411</w:t>
            </w:r>
          </w:p>
        </w:tc>
      </w:tr>
      <w:tr>
        <w:trPr>
          <w:tblHeader w:val="off"/>
        </w:trPr>
        <w:tc>
          <w:tcPr>
            <w:tcW w:type="dxa" w:w="2658"/>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 normal ref.</w:t>
            </w:r>
          </w:p>
        </w:tc>
        <w:tc>
          <w:tcPr>
            <w:tcW w:type="dxa" w:w="1329"/>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.753 / .752</w:t>
            </w:r>
          </w:p>
        </w:tc>
        <w:tc>
          <w:tcPr>
            <w:tcW w:type="dxa" w:w="1329"/>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.461 / .469</w:t>
            </w:r>
          </w:p>
        </w:tc>
        <w:tc>
          <w:tcPr>
            <w:tcW w:type="dxa" w:w="1329"/>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.484 / .480</w:t>
            </w:r>
          </w:p>
        </w:tc>
        <w:tc>
          <w:tcPr>
            <w:tcW w:type="dxa" w:w="1329"/>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.110 / .126</w:t>
            </w:r>
          </w:p>
        </w:tc>
        <w:tc>
          <w:tcPr>
            <w:tcW w:type="dxa" w:w="1332"/>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.841 / .841</w:t>
            </w:r>
          </w:p>
        </w:tc>
      </w:tr>
      <w:tr>
        <w:trPr>
          <w:tblHeader w:val="off"/>
        </w:trPr>
        <w:tc>
          <w:tcPr>
            <w:tcW w:type="dxa" w:w="2658"/>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 defect ref.</w:t>
            </w:r>
          </w:p>
        </w:tc>
        <w:tc>
          <w:tcPr>
            <w:tcW w:type="dxa" w:w="1329"/>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.014 / .000</w:t>
            </w:r>
          </w:p>
        </w:tc>
        <w:tc>
          <w:tcPr>
            <w:tcW w:type="dxa" w:w="1329"/>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.328 / .332</w:t>
            </w:r>
          </w:p>
        </w:tc>
        <w:tc>
          <w:tcPr>
            <w:tcW w:type="dxa" w:w="1329"/>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.415 / .415</w:t>
            </w:r>
          </w:p>
        </w:tc>
        <w:tc>
          <w:tcPr>
            <w:tcW w:type="dxa" w:w="1329"/>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.142 / .146</w:t>
            </w:r>
          </w:p>
        </w:tc>
        <w:tc>
          <w:tcPr>
            <w:tcW w:type="dxa" w:w="1332"/>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.047 / .047</w:t>
            </w:r>
          </w:p>
        </w:tc>
      </w:tr>
      <w:tr>
        <w:trPr>
          <w:tblHeader w:val="off"/>
        </w:trPr>
        <w:tc>
          <w:tcPr>
            <w:tcW w:type="dxa" w:w="2658"/>
            <w:gridSpan w:val="1"/>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 normal &amp; defect ref.</w:t>
            </w:r>
          </w:p>
        </w:tc>
        <w:tc>
          <w:tcPr>
            <w:tcW w:type="dxa" w:w="1329"/>
            <w:gridSpan w:val="1"/>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.648 / .632</w:t>
            </w:r>
          </w:p>
        </w:tc>
        <w:tc>
          <w:tcPr>
            <w:tcW w:type="dxa" w:w="1329"/>
            <w:gridSpan w:val="1"/>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.488 / .500</w:t>
            </w:r>
          </w:p>
        </w:tc>
        <w:tc>
          <w:tcPr>
            <w:tcW w:type="dxa" w:w="1329"/>
            <w:gridSpan w:val="1"/>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.447 / .439</w:t>
            </w:r>
          </w:p>
        </w:tc>
        <w:tc>
          <w:tcPr>
            <w:tcW w:type="dxa" w:w="1329"/>
            <w:gridSpan w:val="1"/>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.301 / .317</w:t>
            </w:r>
          </w:p>
        </w:tc>
        <w:tc>
          <w:tcPr>
            <w:tcW w:type="dxa" w:w="1332"/>
            <w:gridSpan w:val="1"/>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.607 / .589</w:t>
            </w:r>
          </w:p>
        </w:tc>
      </w:tr>
    </w:tbl>
    <w:p>
      <w:pPr>
        <w:spacing w:after="120"/>
      </w:pPr>
    </w:p>
    <w:p>
      <w:pPr>
        <w:pStyle w:val="Heading1"/>
        <w:keepNext/>
      </w:pPr>
      <w:r>
        <w:t xml:space="preserve">Appendix C. </w:t>
      </w:r>
      <w:r>
        <w:t xml:space="preserve">Negative follow-up experiments</w:t>
      </w:r>
    </w:p>
    <w:p>
      <w:pPr>
        <w:keepNext/>
        <w:spacing w:after="80" w:before="200"/>
      </w:pPr>
      <w:r>
        <w:rPr>
          <w:b/>
          <w:bCs/>
          <w:sz w:val="19"/>
          <w:szCs w:val="19"/>
        </w:rPr>
        <w:t xml:space="preserve">Table 10. </w:t>
      </w:r>
      <w:r>
        <w:rPr>
          <w:sz w:val="19"/>
          <w:szCs w:val="19"/>
        </w:rPr>
        <w:t xml:space="preserve">Follow-up interventions for missed defects (development data only; fixed settings; pass gates where defined).</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008"/>
        <w:gridCol w:w="1539"/>
        <w:gridCol w:w="4759"/>
      </w:tblGrid>
      <w:tr>
        <w:trPr>
          <w:tblHeader/>
        </w:trPr>
        <w:tc>
          <w:tcPr>
            <w:tcW w:type="dxa" w:w="3008"/>
            <w:gridSpan w:val="1"/>
            <w:tcBorders>
              <w:top w:val="single" w:color="000000" w:sz="8"/>
              <w:left w:val="none" w:color="FFFFFF" w:sz="0"/>
              <w:bottom w:val="single" w:color="000000" w:sz="8"/>
              <w:right w:val="none" w:color="FFFFFF" w:sz="0"/>
            </w:tcBorders>
            <w:shd w:fill="EDEDED" w:color="auto" w:val="clear"/>
            <w:tcMar>
              <w:top w:type="dxa" w:w="40"/>
              <w:left w:type="dxa" w:w="80"/>
              <w:bottom w:type="dxa" w:w="40"/>
              <w:right w:type="dxa" w:w="80"/>
            </w:tcMar>
          </w:tcPr>
          <w:p>
            <w:pPr>
              <w:spacing w:after="0" w:before="0"/>
              <w:jc w:val="left"/>
            </w:pPr>
            <w:r>
              <w:rPr>
                <w:b/>
                <w:bCs/>
                <w:sz w:val="17"/>
                <w:szCs w:val="17"/>
              </w:rPr>
              <w:t xml:space="preserve">Intervention</w:t>
            </w:r>
          </w:p>
        </w:tc>
        <w:tc>
          <w:tcPr>
            <w:tcW w:type="dxa" w:w="1539"/>
            <w:gridSpan w:val="1"/>
            <w:tcBorders>
              <w:top w:val="single" w:color="000000" w:sz="8"/>
              <w:left w:val="none" w:color="FFFFFF" w:sz="0"/>
              <w:bottom w:val="single" w:color="000000" w:sz="8"/>
              <w:right w:val="none" w:color="FFFFFF" w:sz="0"/>
            </w:tcBorders>
            <w:shd w:fill="EDEDED" w:color="auto" w:val="clear"/>
            <w:tcMar>
              <w:top w:type="dxa" w:w="40"/>
              <w:left w:type="dxa" w:w="80"/>
              <w:bottom w:type="dxa" w:w="40"/>
              <w:right w:type="dxa" w:w="80"/>
            </w:tcMar>
          </w:tcPr>
          <w:p>
            <w:pPr>
              <w:spacing w:after="0" w:before="0"/>
              <w:jc w:val="left"/>
            </w:pPr>
            <w:r>
              <w:rPr>
                <w:b/>
                <w:bCs/>
                <w:sz w:val="17"/>
                <w:szCs w:val="17"/>
              </w:rPr>
              <w:t xml:space="preserve">Data</w:t>
            </w:r>
          </w:p>
        </w:tc>
        <w:tc>
          <w:tcPr>
            <w:tcW w:type="dxa" w:w="4759"/>
            <w:gridSpan w:val="1"/>
            <w:tcBorders>
              <w:top w:val="single" w:color="000000" w:sz="8"/>
              <w:left w:val="none" w:color="FFFFFF" w:sz="0"/>
              <w:bottom w:val="single" w:color="000000" w:sz="8"/>
              <w:right w:val="none" w:color="FFFFFF" w:sz="0"/>
            </w:tcBorders>
            <w:shd w:fill="EDEDED" w:color="auto" w:val="clear"/>
            <w:tcMar>
              <w:top w:type="dxa" w:w="40"/>
              <w:left w:type="dxa" w:w="80"/>
              <w:bottom w:type="dxa" w:w="40"/>
              <w:right w:type="dxa" w:w="80"/>
            </w:tcMar>
          </w:tcPr>
          <w:p>
            <w:pPr>
              <w:spacing w:after="0" w:before="0"/>
              <w:jc w:val="left"/>
            </w:pPr>
            <w:r>
              <w:rPr>
                <w:b/>
                <w:bCs/>
                <w:sz w:val="17"/>
                <w:szCs w:val="17"/>
              </w:rPr>
              <w:t xml:space="preserve">Result</w:t>
            </w:r>
          </w:p>
        </w:tc>
      </w:tr>
      <w:tr>
        <w:trPr>
          <w:tblHeader w:val="off"/>
        </w:trPr>
        <w:tc>
          <w:tcPr>
            <w:tcW w:type="dxa" w:w="3008"/>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Target zoom </w:t>
            </w:r>
            <w:r>
              <w:rPr>
                <w:b w:val="false"/>
                <w:bCs w:val="false"/>
                <w:sz w:val="17"/>
                <w:szCs w:val="17"/>
              </w:rPr>
              <w:t xml:space="preserve">×</w:t>
            </w:r>
            <w:r>
              <w:rPr>
                <w:b w:val="false"/>
                <w:bCs w:val="false"/>
                <w:sz w:val="17"/>
                <w:szCs w:val="17"/>
              </w:rPr>
              <w:t xml:space="preserve"> short prompt (2</w:t>
            </w:r>
            <w:r>
              <w:rPr>
                <w:b w:val="false"/>
                <w:bCs w:val="false"/>
                <w:sz w:val="17"/>
                <w:szCs w:val="17"/>
              </w:rPr>
              <w:t xml:space="preserve">×</w:t>
            </w:r>
            <w:r>
              <w:rPr>
                <w:b w:val="false"/>
                <w:bCs w:val="false"/>
                <w:sz w:val="17"/>
                <w:szCs w:val="17"/>
              </w:rPr>
              <w:t xml:space="preserve">2)</w:t>
            </w:r>
          </w:p>
        </w:tc>
        <w:tc>
          <w:tcPr>
            <w:tcW w:type="dxa" w:w="1539"/>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dev 240</w:t>
            </w:r>
          </w:p>
        </w:tc>
        <w:tc>
          <w:tcPr>
            <w:tcW w:type="dxa" w:w="4759"/>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Q2 F1 .693 </w:t>
            </w:r>
            <w:r>
              <w:rPr>
                <w:b w:val="false"/>
                <w:bCs w:val="false"/>
                <w:sz w:val="17"/>
                <w:szCs w:val="17"/>
              </w:rPr>
              <w:t xml:space="preserve">→</w:t>
            </w:r>
            <w:r>
              <w:rPr>
                <w:b w:val="false"/>
                <w:bCs w:val="false"/>
                <w:sz w:val="17"/>
                <w:szCs w:val="17"/>
              </w:rPr>
              <w:t xml:space="preserve"> .594/.627/.593; missing caps 6 </w:t>
            </w:r>
            <w:r>
              <w:rPr>
                <w:b w:val="false"/>
                <w:bCs w:val="false"/>
                <w:sz w:val="17"/>
                <w:szCs w:val="17"/>
              </w:rPr>
              <w:t xml:space="preserve">→</w:t>
            </w:r>
            <w:r>
              <w:rPr>
                <w:b w:val="false"/>
                <w:bCs w:val="false"/>
                <w:sz w:val="17"/>
                <w:szCs w:val="17"/>
              </w:rPr>
              <w:t xml:space="preserve"> 2/4/1 of 25</w:t>
            </w:r>
          </w:p>
        </w:tc>
      </w:tr>
      <w:tr>
        <w:trPr>
          <w:tblHeader w:val="off"/>
        </w:trPr>
        <w:tc>
          <w:tcPr>
            <w:tcW w:type="dxa" w:w="3008"/>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Cross-model re-check (InternVL+Qwen)</w:t>
            </w:r>
          </w:p>
        </w:tc>
        <w:tc>
          <w:tcPr>
            <w:tcW w:type="dxa" w:w="1539"/>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dev 40</w:t>
            </w:r>
          </w:p>
        </w:tc>
        <w:tc>
          <w:tcPr>
            <w:tcW w:type="dxa" w:w="4759"/>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Q2 F1 .652 </w:t>
            </w:r>
            <w:r>
              <w:rPr>
                <w:b w:val="false"/>
                <w:bCs w:val="false"/>
                <w:sz w:val="17"/>
                <w:szCs w:val="17"/>
              </w:rPr>
              <w:t xml:space="preserve">→</w:t>
            </w:r>
            <w:r>
              <w:rPr>
                <w:b w:val="false"/>
                <w:bCs w:val="false"/>
                <w:sz w:val="17"/>
                <w:szCs w:val="17"/>
              </w:rPr>
              <w:t xml:space="preserve"> .692, CI </w:t>
            </w:r>
            <w:r>
              <w:rPr>
                <w:b w:val="false"/>
                <w:bCs w:val="false"/>
                <w:sz w:val="17"/>
                <w:szCs w:val="17"/>
              </w:rPr>
              <w:t xml:space="preserve">[−.055,+.181]</w:t>
            </w:r>
            <w:r>
              <w:rPr>
                <w:b w:val="false"/>
                <w:bCs w:val="false"/>
                <w:sz w:val="17"/>
                <w:szCs w:val="17"/>
              </w:rPr>
              <w:t xml:space="preserve">; format revised once after invalid outputs; additional-200 run excluded (invalid outputs)</w:t>
            </w:r>
          </w:p>
        </w:tc>
      </w:tr>
      <w:tr>
        <w:trPr>
          <w:tblHeader w:val="off"/>
        </w:trPr>
        <w:tc>
          <w:tcPr>
            <w:tcW w:type="dxa" w:w="3008"/>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Qwen3-VL-8B replacement</w:t>
            </w:r>
          </w:p>
        </w:tc>
        <w:tc>
          <w:tcPr>
            <w:tcW w:type="dxa" w:w="1539"/>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dev 40 </w:t>
            </w:r>
            <w:r>
              <w:rPr>
                <w:b w:val="false"/>
                <w:bCs w:val="false"/>
                <w:sz w:val="17"/>
                <w:szCs w:val="17"/>
              </w:rPr>
              <w:t xml:space="preserve">→</w:t>
            </w:r>
            <w:r>
              <w:rPr>
                <w:b w:val="false"/>
                <w:bCs w:val="false"/>
                <w:sz w:val="17"/>
                <w:szCs w:val="17"/>
              </w:rPr>
              <w:t xml:space="preserve"> 240</w:t>
            </w:r>
          </w:p>
        </w:tc>
        <w:tc>
          <w:tcPr>
            <w:tcW w:type="dxa" w:w="4759"/>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Q3 BAcc .792 </w:t>
            </w:r>
            <w:r>
              <w:rPr>
                <w:b w:val="false"/>
                <w:bCs w:val="false"/>
                <w:sz w:val="17"/>
                <w:szCs w:val="17"/>
              </w:rPr>
              <w:t xml:space="preserve">→</w:t>
            </w:r>
            <w:r>
              <w:rPr>
                <w:b w:val="false"/>
                <w:bCs w:val="false"/>
                <w:sz w:val="17"/>
                <w:szCs w:val="17"/>
              </w:rPr>
              <w:t xml:space="preserve"> .833 on 40 not reproduced on 240 (.818 </w:t>
            </w:r>
            <w:r>
              <w:rPr>
                <w:b w:val="false"/>
                <w:bCs w:val="false"/>
                <w:sz w:val="17"/>
                <w:szCs w:val="17"/>
              </w:rPr>
              <w:t xml:space="preserve">→</w:t>
            </w:r>
            <w:r>
              <w:rPr>
                <w:b w:val="false"/>
                <w:bCs w:val="false"/>
                <w:sz w:val="17"/>
                <w:szCs w:val="17"/>
              </w:rPr>
              <w:t xml:space="preserve"> .754); Q2 missing caps 1 </w:t>
            </w:r>
            <w:r>
              <w:rPr>
                <w:b w:val="false"/>
                <w:bCs w:val="false"/>
                <w:sz w:val="17"/>
                <w:szCs w:val="17"/>
              </w:rPr>
              <w:t xml:space="preserve">→</w:t>
            </w:r>
            <w:r>
              <w:rPr>
                <w:b w:val="false"/>
                <w:bCs w:val="false"/>
                <w:sz w:val="17"/>
                <w:szCs w:val="17"/>
              </w:rPr>
              <w:t xml:space="preserve"> 0 of 4</w:t>
            </w:r>
          </w:p>
        </w:tc>
      </w:tr>
      <w:tr>
        <w:trPr>
          <w:tblHeader w:val="off"/>
        </w:trPr>
        <w:tc>
          <w:tcPr>
            <w:tcW w:type="dxa" w:w="3008"/>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Ovis2.5-9B for Q2</w:t>
            </w:r>
          </w:p>
        </w:tc>
        <w:tc>
          <w:tcPr>
            <w:tcW w:type="dxa" w:w="1539"/>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dev 40</w:t>
            </w:r>
          </w:p>
        </w:tc>
        <w:tc>
          <w:tcPr>
            <w:tcW w:type="dxa" w:w="4759"/>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Q2 F1 .652 </w:t>
            </w:r>
            <w:r>
              <w:rPr>
                <w:b w:val="false"/>
                <w:bCs w:val="false"/>
                <w:sz w:val="17"/>
                <w:szCs w:val="17"/>
              </w:rPr>
              <w:t xml:space="preserve">→</w:t>
            </w:r>
            <w:r>
              <w:rPr>
                <w:b w:val="false"/>
                <w:bCs w:val="false"/>
                <w:sz w:val="17"/>
                <w:szCs w:val="17"/>
              </w:rPr>
              <w:t xml:space="preserve"> .637; missing caps 1 </w:t>
            </w:r>
            <w:r>
              <w:rPr>
                <w:b w:val="false"/>
                <w:bCs w:val="false"/>
                <w:sz w:val="17"/>
                <w:szCs w:val="17"/>
              </w:rPr>
              <w:t xml:space="preserve">→</w:t>
            </w:r>
            <w:r>
              <w:rPr>
                <w:b w:val="false"/>
                <w:bCs w:val="false"/>
                <w:sz w:val="17"/>
                <w:szCs w:val="17"/>
              </w:rPr>
              <w:t xml:space="preserve"> 0 of 4</w:t>
            </w:r>
          </w:p>
        </w:tc>
      </w:tr>
      <w:tr>
        <w:trPr>
          <w:tblHeader w:val="off"/>
        </w:trPr>
        <w:tc>
          <w:tcPr>
            <w:tcW w:type="dxa" w:w="3008"/>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AdaCLIP / AnomalyVFM / InCTRL for Q3 presence</w:t>
            </w:r>
          </w:p>
        </w:tc>
        <w:tc>
          <w:tcPr>
            <w:tcW w:type="dxa" w:w="1539"/>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dev 40</w:t>
            </w:r>
          </w:p>
        </w:tc>
        <w:tc>
          <w:tcPr>
            <w:tcW w:type="dxa" w:w="4759"/>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BAcc .792 </w:t>
            </w:r>
            <w:r>
              <w:rPr>
                <w:b w:val="false"/>
                <w:bCs w:val="false"/>
                <w:sz w:val="17"/>
                <w:szCs w:val="17"/>
              </w:rPr>
              <w:t xml:space="preserve">→</w:t>
            </w:r>
            <w:r>
              <w:rPr>
                <w:b w:val="false"/>
                <w:bCs w:val="false"/>
                <w:sz w:val="17"/>
                <w:szCs w:val="17"/>
              </w:rPr>
              <w:t xml:space="preserve"> .667 / .479 / .531</w:t>
            </w:r>
          </w:p>
        </w:tc>
      </w:tr>
      <w:tr>
        <w:trPr>
          <w:tblHeader w:val="off"/>
        </w:trPr>
        <w:tc>
          <w:tcPr>
            <w:tcW w:type="dxa" w:w="3008"/>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AnomalyR1</w:t>
            </w:r>
          </w:p>
        </w:tc>
        <w:tc>
          <w:tcPr>
            <w:tcW w:type="dxa" w:w="1539"/>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smoke 5</w:t>
            </w:r>
          </w:p>
        </w:tc>
        <w:tc>
          <w:tcPr>
            <w:tcW w:type="dxa" w:w="4759"/>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comparison model invalid 2/10; not comparable</w:t>
            </w:r>
          </w:p>
        </w:tc>
      </w:tr>
      <w:tr>
        <w:trPr>
          <w:tblHeader w:val="off"/>
        </w:trPr>
        <w:tc>
          <w:tcPr>
            <w:tcW w:type="dxa" w:w="3008"/>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Grounding DINO / CountGD++ / SAM part evidence</w:t>
            </w:r>
          </w:p>
        </w:tc>
        <w:tc>
          <w:tcPr>
            <w:tcW w:type="dxa" w:w="1539"/>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glass insulators</w:t>
            </w:r>
          </w:p>
        </w:tc>
        <w:tc>
          <w:tcPr>
            <w:tcW w:type="dxa" w:w="4759"/>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reliability gates failed (e.g. CountGD repeatability 2/7, SAM 4/7, need 6/7)</w:t>
            </w:r>
          </w:p>
        </w:tc>
      </w:tr>
      <w:tr>
        <w:trPr>
          <w:tblHeader w:val="off"/>
        </w:trPr>
        <w:tc>
          <w:tcPr>
            <w:tcW w:type="dxa" w:w="3008"/>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SIFT registration / DIFT correspondence</w:t>
            </w:r>
          </w:p>
        </w:tc>
        <w:tc>
          <w:tcPr>
            <w:tcW w:type="dxa" w:w="1539"/>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8 ref–target pairs / 7 normals</w:t>
            </w:r>
          </w:p>
        </w:tc>
        <w:tc>
          <w:tcPr>
            <w:tcW w:type="dxa" w:w="4759"/>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0/8 real pairs aligned; 0/7 flip checks</w:t>
            </w:r>
          </w:p>
        </w:tc>
      </w:tr>
      <w:tr>
        <w:trPr>
          <w:tblHeader w:val="off"/>
        </w:trPr>
        <w:tc>
          <w:tcPr>
            <w:tcW w:type="dxa" w:w="3008"/>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Crops: candidate cell / annotated cell / annotated box</w:t>
            </w:r>
          </w:p>
        </w:tc>
        <w:tc>
          <w:tcPr>
            <w:tcW w:type="dxa" w:w="1539"/>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dev 20</w:t>
            </w:r>
          </w:p>
        </w:tc>
        <w:tc>
          <w:tcPr>
            <w:tcW w:type="dxa" w:w="4759"/>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0/20 recovered in each arm (prompt showed the earlier empty answer)</w:t>
            </w:r>
          </w:p>
        </w:tc>
      </w:tr>
      <w:tr>
        <w:trPr>
          <w:tblHeader w:val="off"/>
        </w:trPr>
        <w:tc>
          <w:tcPr>
            <w:tcW w:type="dxa" w:w="3008"/>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Independent presence question</w:t>
            </w:r>
          </w:p>
        </w:tc>
        <w:tc>
          <w:tcPr>
            <w:tcW w:type="dxa" w:w="1539"/>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dev 20</w:t>
            </w:r>
          </w:p>
        </w:tc>
        <w:tc>
          <w:tcPr>
            <w:tcW w:type="dxa" w:w="4759"/>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60/60 calls answer “absent”</w:t>
            </w:r>
          </w:p>
        </w:tc>
      </w:tr>
      <w:tr>
        <w:trPr>
          <w:tblHeader w:val="off"/>
        </w:trPr>
        <w:tc>
          <w:tcPr>
            <w:tcW w:type="dxa" w:w="3008"/>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Supervised missing-cap head (frozen DINOv2)</w:t>
            </w:r>
          </w:p>
        </w:tc>
        <w:tc>
          <w:tcPr>
            <w:tcW w:type="dxa" w:w="1539"/>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dev 50 glass</w:t>
            </w:r>
          </w:p>
        </w:tc>
        <w:tc>
          <w:tcPr>
            <w:tcW w:type="dxa" w:w="4759"/>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presence 25/25 (1/25 normals flagged); location exact 12/24 vs. center 8/24</w:t>
            </w:r>
          </w:p>
        </w:tc>
      </w:tr>
      <w:tr>
        <w:trPr>
          <w:tblHeader w:val="off"/>
        </w:trPr>
        <w:tc>
          <w:tcPr>
            <w:tcW w:type="dxa" w:w="3008"/>
            <w:gridSpan w:val="1"/>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Integrated-gradients localization</w:t>
            </w:r>
          </w:p>
        </w:tc>
        <w:tc>
          <w:tcPr>
            <w:tcW w:type="dxa" w:w="1539"/>
            <w:gridSpan w:val="1"/>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dev 24</w:t>
            </w:r>
          </w:p>
        </w:tc>
        <w:tc>
          <w:tcPr>
            <w:tcW w:type="dxa" w:w="4759"/>
            <w:gridSpan w:val="1"/>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exact </w:t>
            </w:r>
            <w:r>
              <w:rPr>
                <w:b w:val="false"/>
                <w:bCs w:val="false"/>
                <w:sz w:val="17"/>
                <w:szCs w:val="17"/>
              </w:rPr>
              <w:t xml:space="preserve">≤</w:t>
            </w:r>
            <w:r>
              <w:rPr>
                <w:b w:val="false"/>
                <w:bCs w:val="false"/>
                <w:sz w:val="17"/>
                <w:szCs w:val="17"/>
              </w:rPr>
              <w:t xml:space="preserve"> 9/24; completeness warnings 49/52 (inconclusive)</w:t>
            </w:r>
          </w:p>
        </w:tc>
      </w:tr>
    </w:tbl>
    <w:p>
      <w:pPr>
        <w:spacing w:after="120"/>
      </w:pPr>
    </w:p>
    <w:p>
      <w:pPr>
        <w:pStyle w:val="Heading1"/>
        <w:keepNext/>
      </w:pPr>
      <w:r>
        <w:t xml:space="preserve">Appendix D. </w:t>
      </w:r>
      <w:r>
        <w:t xml:space="preserve">Reproducibility</w:t>
      </w:r>
    </w:p>
    <w:p>
      <w:pPr>
        <w:spacing w:after="120" w:line="276"/>
        <w:jc w:val="both"/>
      </w:pPr>
      <w:r>
        <w:t xml:space="preserve">Code, prompts, frozen configurations, Colab notebooks, leaderboards and per-question answers for the main results are in the project repository, together with a summary of every follow-up run. Some dev follow-ups in Appendix Table </w:t>
      </w:r>
      <w:r>
        <w:t xml:space="preserve">10</w:t>
      </w:r>
      <w:r>
        <w:t xml:space="preserve"> (the other LVLMs, anomaly detectors, cross-model re-check and part-evidence and alignment probes) ran from frozen source bundles; their code is archived rather than in the repository. Raw per-call logs (prompts, outputs, latencies) and all of this archived code are kept with SHA-256 hashes and available on request. Runs record the model ID, backend, benchmark commit, protocol and status; the later runs (agent, matched-call, MiniCPM re-run) also record the GPU. Notebooks verify the exact code revision before inference and resume from checkpoints saved every 20 calls.</w:t>
      </w:r>
    </w:p>
    <w:sectPr>
      <w:footerReference w:type="default" r:id="rId6"/>
      <w:pgSz w:w="11906" w:h="16838" w:orient="portrait"/>
      <w:pgMar w:top="1300" w:right="1300" w:bottom="13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r>
    <w:r>
      <w:rPr>
        <w:sz w:val="18"/>
        <w:szCs w:val="18"/>
      </w:rPr>
      <w:instrText xml:space="preserve">PAGE</w:instrText>
    </w:r>
    <w:r>
      <w:rPr>
        <w:sz w:val="18"/>
        <w:szCs w:val="18"/>
      </w:rPr>
      <w:fldChar w:fldCharType="separate"/>
    </w:r>
    <w:r>
      <w:rPr>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0" w:hanging="300"/>
      </w:pPr>
    </w:lvl>
  </w:abstractNum>
  <w:abstractNum w:abstractNumId="3" w15:restartNumberingAfterBreak="0">
    <w:multiLevelType w:val="hybridMultilevel"/>
    <w:lvl w:ilvl="0" w:tentative="1">
      <w:start w:val="1"/>
      <w:numFmt w:val="decimal"/>
      <w:lvlText w:val="%1."/>
      <w:lvlJc w:val="left"/>
      <w:pPr>
        <w:ind w:left="5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Malgun Gothic" w:hAnsi="Times New Roman"/>
        <w:sz w:val="21"/>
        <w:szCs w:val="21"/>
      </w:rPr>
    </w:rPrDefault>
    <w:pPrDefault>
      <w:pPr>
        <w:spacing w:after="12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20" w:before="280"/>
      <w:outlineLvl w:val="0"/>
    </w:pPr>
    <w:rPr>
      <w:rFonts w:ascii="Times New Roman" w:cs="Times New Roman" w:eastAsia="Malgun Gothic" w:hAnsi="Times New Roman"/>
      <w:b/>
      <w:bCs/>
      <w:sz w:val="26"/>
      <w:szCs w:val="26"/>
    </w:rPr>
  </w:style>
  <w:style w:type="paragraph" w:styleId="Heading2">
    <w:name w:val="Heading 2"/>
    <w:basedOn w:val="Normal"/>
    <w:next w:val="Normal"/>
    <w:qFormat/>
    <w:pPr>
      <w:spacing w:after="100" w:before="200"/>
      <w:outlineLvl w:val="1"/>
    </w:pPr>
    <w:rPr>
      <w:rFonts w:ascii="Times New Roman" w:cs="Times New Roman" w:eastAsia="Malgun Gothic" w:hAnsi="Times New Roman"/>
      <w:b/>
      <w:bCs/>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Fewer False Alarms, More Missed Defects: Benchmarking Vision-Language Models and Verification Agents for Power-Line Inspection on InsPLAD</dc:title>
  <dc:creator>InsPLAD-QA</dc:creator>
  <cp:lastModifiedBy>Un-named</cp:lastModifiedBy>
  <cp:revision>1</cp:revision>
  <dcterms:created xsi:type="dcterms:W3CDTF">2026-10-27T04:25:19.419Z</dcterms:created>
  <dcterms:modified xsi:type="dcterms:W3CDTF">2026-10-27T04:25:19.428Z</dcterms:modified>
</cp:coreProperties>
</file>

<file path=docProps/custom.xml><?xml version="1.0" encoding="utf-8"?>
<Properties xmlns="http://schemas.openxmlformats.org/officeDocument/2006/custom-properties" xmlns:vt="http://schemas.openxmlformats.org/officeDocument/2006/docPropsVTypes"/>
</file>