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GLEE CLUB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The criteria of how they allocate money isn’t clear. When they requested $2000 for the Glee Gab, why did we get nothing? Why did we receive $4000 for one program and $0 for the other program? In history, we have received funding in the past for the Glee Gab</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It’s a waste of everyone’s time talking about going through the appeals process when historically, we’ve gotten that allocation for the Glee Gab. We want a distinct set of criteria that you guys are using to determine allocation amounts. It’s beneficial to every student organization and it’ll make our job easier when it comes to having to deal with the appeals process. We want metrics and transparency.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Nick Labelle told Aditya that the metrics used seem clear to the Board but not to outsiders. Those metrics seem inconsistent as well. From one person, it’s based on the size of the student org, from another, the size of the event. From another, it’s based on your past allocations. Amartya’s heard in the past that you’re allocated based on how much you have in your MGR. </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Even if we’re transparent with our metrics, there is most likely one eboard member able to understand or try their best to decipher it. If we release these metrics, we cut down on the amount of appeals meetings and other time wasted. If we only got $700 on the Glee Gab, at least we’ll understand and can have a better appeals meeting and can we be more efficient at requesting in the future.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Make known to student organizations that publications won’t get funded beyond $2000. Make known to student orgs what they can and can’t do. It allows us to be more efficient in we conduct our internal business and the way we request allocations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CCF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treasurer training is not easy to go through. It’s 45 pages of guidelines when many of them are pretty simple. Something easier to digest or force the treasurer to do better by making the test a little harder with more meaningful questions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Make a better distinction between what’s in overhead and what’s in programming such as food. That decision is a very weird one to make - do I want to spend overhead money or program money for this one thing?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Lists of stuff (like approved vendors) aren’t updated constantly i.e. Noodle Gourmet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Make a better distinction between what RUSA does and what SABO does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