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59220" w14:textId="77777777" w:rsidR="00592C48" w:rsidRPr="00FC14BB" w:rsidRDefault="00837565" w:rsidP="00FC14BB">
      <w:pPr>
        <w:spacing w:after="160" w:line="278" w:lineRule="auto"/>
        <w:rPr>
          <w:b/>
          <w:bCs/>
          <w:kern w:val="2"/>
          <w:lang w:val="en-AU" w:eastAsia="zh-TW"/>
          <w14:ligatures w14:val="standardContextual"/>
        </w:rPr>
      </w:pPr>
      <w:bookmarkStart w:id="0" w:name="X8992dee0ed43cc2b4d2e4b63388ea9cc8d0fa84"/>
      <w:r w:rsidRPr="00FC14BB">
        <w:rPr>
          <w:b/>
          <w:bCs/>
          <w:kern w:val="2"/>
          <w:lang w:val="en-AU" w:eastAsia="zh-TW"/>
          <w14:ligatures w14:val="standardContextual"/>
        </w:rPr>
        <w:t>Appendix B. Synthetic illustration of rolling-sum correlations</w:t>
      </w:r>
    </w:p>
    <w:p w14:paraId="55D3989C" w14:textId="10C060FC" w:rsidR="00592C48" w:rsidRPr="00FC14BB" w:rsidRDefault="00B84718" w:rsidP="00FC14BB">
      <w:pPr>
        <w:spacing w:after="160" w:line="278" w:lineRule="auto"/>
        <w:rPr>
          <w:b/>
          <w:bCs/>
          <w:kern w:val="2"/>
          <w:lang w:val="en-AU" w:eastAsia="zh-TW"/>
          <w14:ligatures w14:val="standardContextual"/>
        </w:rPr>
      </w:pPr>
      <w:bookmarkStart w:id="1" w:name="b.1-purpose"/>
      <w:r w:rsidRPr="00B84718">
        <w:rPr>
          <w:b/>
          <w:bCs/>
          <w:kern w:val="2"/>
          <w:lang w:val="en-AU" w:eastAsia="zh-TW"/>
        </w:rPr>
        <w:t xml:space="preserve">Appendix </w:t>
      </w:r>
      <w:r w:rsidR="00837565" w:rsidRPr="00FC14BB">
        <w:rPr>
          <w:b/>
          <w:bCs/>
          <w:kern w:val="2"/>
          <w:lang w:val="en-AU" w:eastAsia="zh-TW"/>
          <w14:ligatures w14:val="standardContextual"/>
        </w:rPr>
        <w:t>B</w:t>
      </w:r>
      <w:r w:rsidR="00837565" w:rsidRPr="00FC14BB">
        <w:rPr>
          <w:b/>
          <w:bCs/>
          <w:kern w:val="2"/>
          <w:lang w:val="en-AU" w:eastAsia="zh-TW"/>
          <w14:ligatures w14:val="standardContextual"/>
        </w:rPr>
        <w:t>1 Purpose</w:t>
      </w:r>
    </w:p>
    <w:p w14:paraId="31928159" w14:textId="77777777" w:rsidR="00592C48" w:rsidRDefault="00837565">
      <w:pPr>
        <w:pStyle w:val="FirstParagraph"/>
      </w:pPr>
      <w:r>
        <w:t>This appendix uses an idealised synthetic experiment to clarify the statistical interpretation of the finite-window rolling-sum correlations used in the main analysis. It has two purposes: (1) to distinguish a trailing 9-month sum from a cumulative target, and (2) to demonstrate how nine lag-specific covariance contributions combine to produce each endpoint-month Pearson correlation. The experiment is methodological and is not intended to identify or attribute physical periodicities in the model simulations</w:t>
      </w:r>
      <w:r>
        <w:t>.</w:t>
      </w:r>
    </w:p>
    <w:p w14:paraId="5C7903A7" w14:textId="77777777" w:rsidR="00592C48" w:rsidRDefault="00837565">
      <w:pPr>
        <w:pStyle w:val="BodyText"/>
      </w:pPr>
      <w:r>
        <w:t>All synthetic quantities are expressed in arbitrary units, and the monthly time step is set to one. No physical heat-flux or temperature units are assigned.</w:t>
      </w:r>
    </w:p>
    <w:p w14:paraId="298E1315" w14:textId="675DB39C" w:rsidR="00592C48" w:rsidRPr="00FC14BB" w:rsidRDefault="00B84718" w:rsidP="00FC14BB">
      <w:pPr>
        <w:spacing w:after="160" w:line="278" w:lineRule="auto"/>
        <w:rPr>
          <w:b/>
          <w:bCs/>
          <w:kern w:val="2"/>
          <w:lang w:val="en-AU" w:eastAsia="zh-TW"/>
          <w14:ligatures w14:val="standardContextual"/>
        </w:rPr>
      </w:pPr>
      <w:bookmarkStart w:id="2" w:name="b.2-synthetic-construction"/>
      <w:bookmarkEnd w:id="1"/>
      <w:r w:rsidRPr="00B84718">
        <w:rPr>
          <w:b/>
          <w:bCs/>
          <w:kern w:val="2"/>
          <w:lang w:val="en-AU" w:eastAsia="zh-TW"/>
        </w:rPr>
        <w:t xml:space="preserve">Appendix </w:t>
      </w:r>
      <w:r w:rsidR="00837565" w:rsidRPr="00FC14BB">
        <w:rPr>
          <w:b/>
          <w:bCs/>
          <w:kern w:val="2"/>
          <w:lang w:val="en-AU" w:eastAsia="zh-TW"/>
          <w14:ligatures w14:val="standardContextual"/>
        </w:rPr>
        <w:t>B</w:t>
      </w:r>
      <w:r w:rsidR="00837565" w:rsidRPr="00FC14BB">
        <w:rPr>
          <w:b/>
          <w:bCs/>
          <w:kern w:val="2"/>
          <w:lang w:val="en-AU" w:eastAsia="zh-TW"/>
          <w14:ligatures w14:val="standardContextual"/>
        </w:rPr>
        <w:t>2 Synthetic construction</w:t>
      </w:r>
    </w:p>
    <w:p w14:paraId="4A7ED84E" w14:textId="77777777" w:rsidR="00592C48" w:rsidRDefault="00837565">
      <w:pPr>
        <w:pStyle w:val="FirstParagraph"/>
      </w:pPr>
      <w:r>
        <w:t>The complete synthetic monthly signal is</w:t>
      </w:r>
    </w:p>
    <w:p w14:paraId="7F3D13B4" w14:textId="77777777" w:rsidR="00592C48" w:rsidRDefault="00837565">
      <w:pPr>
        <w:pStyle w:val="BodyText"/>
      </w:pPr>
      <m:oMathPara>
        <m:oMathParaPr>
          <m:jc m:val="center"/>
        </m:oMathParaPr>
        <m:oMath>
          <m:sSub>
            <m:sSubPr>
              <m:ctrlPr>
                <w:rPr>
                  <w:rFonts w:ascii="Cambria Math" w:hAnsi="Cambria Math"/>
                </w:rPr>
              </m:ctrlPr>
            </m:sSubPr>
            <m:e>
              <m:r>
                <w:rPr>
                  <w:rFonts w:ascii="Cambria Math" w:hAnsi="Cambria Math"/>
                </w:rPr>
                <m:t>Q</m:t>
              </m:r>
            </m:e>
            <m:sub>
              <m:r>
                <m:rPr>
                  <m:sty m:val="p"/>
                </m:rPr>
                <w:rPr>
                  <w:rFonts w:ascii="Cambria Math" w:hAnsi="Cambria Math"/>
                </w:rPr>
                <m:t>full</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8</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πt</m:t>
                  </m:r>
                </m:num>
                <m:den>
                  <m:r>
                    <w:rPr>
                      <w:rFonts w:ascii="Cambria Math" w:hAnsi="Cambria Math"/>
                    </w:rPr>
                    <m:t>40</m:t>
                  </m:r>
                </m:den>
              </m:f>
            </m:e>
          </m:d>
          <m:r>
            <m:rPr>
              <m:sty m:val="p"/>
            </m:rPr>
            <w:rPr>
              <w:rFonts w:ascii="Cambria Math" w:hAnsi="Cambria Math"/>
            </w:rPr>
            <m:t>+</m:t>
          </m:r>
          <m:r>
            <w:rPr>
              <w:rFonts w:ascii="Cambria Math" w:hAnsi="Cambria Math"/>
            </w:rPr>
            <m:t>5</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πt</m:t>
                  </m:r>
                </m:num>
                <m:den>
                  <m:r>
                    <w:rPr>
                      <w:rFonts w:ascii="Cambria Math" w:hAnsi="Cambria Math"/>
                    </w:rPr>
                    <m:t>12</m:t>
                  </m:r>
                </m:den>
              </m:f>
            </m:e>
          </m:d>
          <m:r>
            <m:rPr>
              <m:sty m:val="p"/>
            </m:rPr>
            <w:rPr>
              <w:rFonts w:ascii="Cambria Math" w:hAnsi="Cambria Math"/>
            </w:rPr>
            <m:t>+</m:t>
          </m:r>
          <m:r>
            <w:rPr>
              <w:rFonts w:ascii="Cambria Math" w:hAnsi="Cambria Math"/>
            </w:rPr>
            <m:t>3</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πt</m:t>
                  </m:r>
                </m:num>
                <m:den>
                  <m:r>
                    <w:rPr>
                      <w:rFonts w:ascii="Cambria Math" w:hAnsi="Cambria Math"/>
                    </w:rPr>
                    <m:t>55</m:t>
                  </m:r>
                </m:den>
              </m:f>
            </m:e>
          </m:d>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0.15</m:t>
          </m:r>
          <m:r>
            <m:rPr>
              <m:sty m:val="p"/>
            </m:rPr>
            <w:rPr>
              <w:rFonts w:ascii="Cambria Math" w:hAnsi="Cambria Math"/>
            </w:rPr>
            <m:t>,</m:t>
          </m:r>
        </m:oMath>
      </m:oMathPara>
    </w:p>
    <w:p w14:paraId="6529EBC1" w14:textId="77777777" w:rsidR="00592C48" w:rsidRDefault="00837565">
      <w:pPr>
        <w:pStyle w:val="FirstParagraph"/>
      </w:pPr>
      <w:r>
        <w:t>where</w:t>
      </w:r>
    </w:p>
    <w:p w14:paraId="144645A0" w14:textId="77777777" w:rsidR="00592C48" w:rsidRDefault="00837565">
      <w:pPr>
        <w:pStyle w:val="BodyText"/>
      </w:pPr>
      <m:oMathPara>
        <m:oMathParaPr>
          <m:jc m:val="center"/>
        </m:oMathParaPr>
        <m:oMath>
          <m:r>
            <w:rPr>
              <w:rFonts w:ascii="Cambria Math" w:hAnsi="Cambria Math"/>
            </w:rPr>
            <m:t>ϵ</m:t>
          </m:r>
          <m:r>
            <m:rPr>
              <m:sty m:val="p"/>
            </m:rPr>
            <w:rPr>
              <w:rFonts w:ascii="Cambria Math" w:hAnsi="Cambria Math"/>
            </w:rPr>
            <m:t>(</m:t>
          </m:r>
          <m:r>
            <w:rPr>
              <w:rFonts w:ascii="Cambria Math" w:hAnsi="Cambria Math"/>
            </w:rPr>
            <m:t>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oMath>
      </m:oMathPara>
    </w:p>
    <w:p w14:paraId="66E9BDED" w14:textId="77777777" w:rsidR="00592C48" w:rsidRDefault="00837565">
      <w:pPr>
        <w:pStyle w:val="FirstParagraph"/>
      </w:pPr>
      <w:r>
        <w:t>The record contains 360 monthly samples, and a fixed random seed is used for reproducibility. The cumulative target is</w:t>
      </w:r>
    </w:p>
    <w:p w14:paraId="30280CC8" w14:textId="77777777" w:rsidR="00592C48" w:rsidRDefault="00837565">
      <w:pPr>
        <w:pStyle w:val="BodyText"/>
      </w:pPr>
      <m:oMathPara>
        <m:oMathParaPr>
          <m:jc m:val="center"/>
        </m:oMathParaPr>
        <m:oMath>
          <m:sSub>
            <m:sSubPr>
              <m:ctrlPr>
                <w:rPr>
                  <w:rFonts w:ascii="Cambria Math" w:hAnsi="Cambria Math"/>
                </w:rPr>
              </m:ctrlPr>
            </m:sSubPr>
            <m:e>
              <m:r>
                <w:rPr>
                  <w:rFonts w:ascii="Cambria Math" w:hAnsi="Cambria Math"/>
                </w:rPr>
                <m:t>S</m:t>
              </m:r>
            </m:e>
            <m:sub>
              <m:r>
                <m:rPr>
                  <m:sty m:val="p"/>
                </m:rPr>
                <w:rPr>
                  <w:rFonts w:ascii="Cambria Math" w:hAnsi="Cambria Math"/>
                </w:rPr>
                <m:t>full</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τ</m:t>
              </m:r>
              <m:r>
                <m:rPr>
                  <m:sty m:val="p"/>
                </m:rPr>
                <w:rPr>
                  <w:rFonts w:ascii="Cambria Math" w:hAnsi="Cambria Math"/>
                </w:rPr>
                <m:t>=</m:t>
              </m:r>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Q</m:t>
                  </m:r>
                </m:e>
                <m:sub>
                  <m:r>
                    <m:rPr>
                      <m:sty m:val="p"/>
                    </m:rPr>
                    <w:rPr>
                      <w:rFonts w:ascii="Cambria Math" w:hAnsi="Cambria Math"/>
                    </w:rPr>
                    <m:t>full</m:t>
                  </m:r>
                </m:sub>
              </m:sSub>
            </m:e>
          </m:nary>
          <m:r>
            <m:rPr>
              <m:sty m:val="p"/>
            </m:rPr>
            <w:rPr>
              <w:rFonts w:ascii="Cambria Math" w:hAnsi="Cambria Math"/>
            </w:rPr>
            <m:t>(</m:t>
          </m:r>
          <m:r>
            <w:rPr>
              <w:rFonts w:ascii="Cambria Math" w:hAnsi="Cambria Math"/>
            </w:rPr>
            <m:t>τ</m:t>
          </m:r>
          <m:r>
            <m:rPr>
              <m:sty m:val="p"/>
            </m:rPr>
            <w:rPr>
              <w:rFonts w:ascii="Cambria Math" w:hAnsi="Cambria Math"/>
            </w:rPr>
            <m:t>).</m:t>
          </m:r>
        </m:oMath>
      </m:oMathPara>
    </w:p>
    <w:p w14:paraId="0B7F2CC7" w14:textId="77777777" w:rsidR="00592C48" w:rsidRDefault="00837565">
      <w:pPr>
        <w:pStyle w:val="FirstParagraph"/>
      </w:pPr>
      <w:r>
        <w:t xml:space="preserve">Here, </w:t>
      </w:r>
      <m:oMath>
        <m:sSub>
          <m:sSubPr>
            <m:ctrlPr>
              <w:rPr>
                <w:rFonts w:ascii="Cambria Math" w:hAnsi="Cambria Math"/>
              </w:rPr>
            </m:ctrlPr>
          </m:sSubPr>
          <m:e>
            <m:r>
              <w:rPr>
                <w:rFonts w:ascii="Cambria Math" w:hAnsi="Cambria Math"/>
              </w:rPr>
              <m:t>Q</m:t>
            </m:r>
          </m:e>
          <m:sub>
            <m:r>
              <m:rPr>
                <m:sty m:val="p"/>
              </m:rPr>
              <w:rPr>
                <w:rFonts w:ascii="Cambria Math" w:hAnsi="Cambria Math"/>
              </w:rPr>
              <m:t>full</m:t>
            </m:r>
          </m:sub>
        </m:sSub>
      </m:oMath>
      <w:r>
        <w:t xml:space="preserve"> is a monthly synthetic increment, whereas </w:t>
      </w:r>
      <m:oMath>
        <m:sSub>
          <m:sSubPr>
            <m:ctrlPr>
              <w:rPr>
                <w:rFonts w:ascii="Cambria Math" w:hAnsi="Cambria Math"/>
              </w:rPr>
            </m:ctrlPr>
          </m:sSubPr>
          <m:e>
            <m:r>
              <w:rPr>
                <w:rFonts w:ascii="Cambria Math" w:hAnsi="Cambria Math"/>
              </w:rPr>
              <m:t>S</m:t>
            </m:r>
          </m:e>
          <m:sub>
            <m:r>
              <m:rPr>
                <m:sty m:val="p"/>
              </m:rPr>
              <w:rPr>
                <w:rFonts w:ascii="Cambria Math" w:hAnsi="Cambria Math"/>
              </w:rPr>
              <m:t>full</m:t>
            </m:r>
          </m:sub>
        </m:sSub>
      </m:oMath>
      <w:r>
        <w:t xml:space="preserve"> is its cumulative state. These quantities are related but are not the same time series.</w:t>
      </w:r>
    </w:p>
    <w:p w14:paraId="28E572C9" w14:textId="77777777" w:rsidR="00592C48" w:rsidRDefault="00837565">
      <w:pPr>
        <w:pStyle w:val="BodyText"/>
      </w:pPr>
      <w:r>
        <w:t>For each predictor, the calendar-month climatology is removed:</w:t>
      </w:r>
    </w:p>
    <w:p w14:paraId="05714E1B" w14:textId="77777777" w:rsidR="00592C48" w:rsidRDefault="00837565">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bar>
                <m:barPr>
                  <m:pos m:val="top"/>
                  <m:ctrlPr>
                    <w:rPr>
                      <w:rFonts w:ascii="Cambria Math" w:hAnsi="Cambria Math"/>
                    </w:rPr>
                  </m:ctrlPr>
                </m:barPr>
                <m:e>
                  <m:sSub>
                    <m:sSubPr>
                      <m:ctrlPr>
                        <w:rPr>
                          <w:rFonts w:ascii="Cambria Math" w:hAnsi="Cambria Math"/>
                        </w:rPr>
                      </m:ctrlPr>
                    </m:sSubPr>
                    <m:e>
                      <m:r>
                        <w:rPr>
                          <w:rFonts w:ascii="Cambria Math" w:hAnsi="Cambria Math"/>
                        </w:rPr>
                        <m:t>Q</m:t>
                      </m:r>
                    </m:e>
                    <m:sub>
                      <m:r>
                        <w:rPr>
                          <w:rFonts w:ascii="Cambria Math" w:hAnsi="Cambria Math"/>
                        </w:rPr>
                        <m:t>i</m:t>
                      </m:r>
                    </m:sub>
                  </m:sSub>
                </m:e>
              </m:bar>
            </m:e>
            <m:sub>
              <m: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sub>
          </m:sSub>
          <m:r>
            <m:rPr>
              <m:sty m:val="p"/>
            </m:rPr>
            <w:rPr>
              <w:rFonts w:ascii="Cambria Math" w:hAnsi="Cambria Math"/>
            </w:rPr>
            <m:t>,</m:t>
          </m:r>
        </m:oMath>
      </m:oMathPara>
    </w:p>
    <w:p w14:paraId="66CE276A" w14:textId="77777777" w:rsidR="00592C48" w:rsidRDefault="00837565">
      <w:pPr>
        <w:pStyle w:val="FirstParagraph"/>
      </w:pPr>
      <w:r>
        <w:t xml:space="preserve">where </w:t>
      </w:r>
      <m:oMath>
        <m: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denotes the calendar month. A trailing 9-month rolling sum is then calculated:</w:t>
      </w:r>
    </w:p>
    <w:p w14:paraId="0DCB03E6" w14:textId="77777777" w:rsidR="00592C48" w:rsidRDefault="00837565">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i</m:t>
              </m:r>
              <m:r>
                <m:rPr>
                  <m:sty m:val="p"/>
                </m:rPr>
                <w:rPr>
                  <w:rFonts w:ascii="Cambria Math" w:hAnsi="Cambria Math"/>
                </w:rPr>
                <m:t>,</m:t>
              </m:r>
              <m:r>
                <w:rPr>
                  <w:rFonts w:ascii="Cambria Math" w:hAnsi="Cambria Math"/>
                </w:rPr>
                <m:t>9</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8</m:t>
              </m:r>
            </m:sup>
            <m:e>
              <m:sSubSup>
                <m:sSubSupPr>
                  <m:ctrlPr>
                    <w:rPr>
                      <w:rFonts w:ascii="Cambria Math" w:hAnsi="Cambria Math"/>
                    </w:rPr>
                  </m:ctrlPr>
                </m:sSubSupPr>
                <m:e>
                  <m:r>
                    <w:rPr>
                      <w:rFonts w:ascii="Cambria Math" w:hAnsi="Cambria Math"/>
                    </w:rPr>
                    <m:t>Q</m:t>
                  </m:r>
                </m:e>
                <m:sub>
                  <m:r>
                    <w:rPr>
                      <w:rFonts w:ascii="Cambria Math" w:hAnsi="Cambria Math"/>
                    </w:rPr>
                    <m:t>i</m:t>
                  </m:r>
                </m:sub>
                <m:sup>
                  <m:r>
                    <m:rPr>
                      <m:sty m:val="p"/>
                    </m:rPr>
                    <w:rPr>
                      <w:rFonts w:ascii="Cambria Math" w:hAnsi="Cambria Math"/>
                    </w:rPr>
                    <m:t>'</m:t>
                  </m:r>
                </m:sup>
              </m:sSubSup>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406141BB" w14:textId="77777777" w:rsidR="00592C48" w:rsidRDefault="00837565">
      <w:pPr>
        <w:pStyle w:val="FirstParagraph"/>
      </w:pPr>
      <w:r>
        <w:t xml:space="preserve">The cumulative target </w:t>
      </w:r>
      <m:oMath>
        <m:sSub>
          <m:sSubPr>
            <m:ctrlPr>
              <w:rPr>
                <w:rFonts w:ascii="Cambria Math" w:hAnsi="Cambria Math"/>
              </w:rPr>
            </m:ctrlPr>
          </m:sSubPr>
          <m:e>
            <m:r>
              <w:rPr>
                <w:rFonts w:ascii="Cambria Math" w:hAnsi="Cambria Math"/>
              </w:rPr>
              <m:t>S</m:t>
            </m:r>
          </m:e>
          <m:sub>
            <m:r>
              <m:rPr>
                <m:sty m:val="p"/>
              </m:rPr>
              <w:rPr>
                <w:rFonts w:ascii="Cambria Math" w:hAnsi="Cambria Math"/>
              </w:rPr>
              <m:t>full</m:t>
            </m:r>
          </m:sub>
        </m:sSub>
      </m:oMath>
      <w:r>
        <w:t xml:space="preserve"> </w:t>
      </w:r>
      <w:r>
        <w:t>is held fixed in all comparisons. The time series in Figure B1 are standardised separately for visual comparison, whereas the reported correlations are calculated using the unstandardised values.</w:t>
      </w:r>
    </w:p>
    <w:p w14:paraId="6E237F18" w14:textId="77777777" w:rsidR="00592C48" w:rsidRDefault="00837565">
      <w:pPr>
        <w:pStyle w:val="CaptionedFigure"/>
      </w:pPr>
      <w:r>
        <w:rPr>
          <w:noProof/>
        </w:rPr>
        <w:lastRenderedPageBreak/>
        <w:drawing>
          <wp:inline distT="0" distB="0" distL="0" distR="0" wp14:anchorId="51AA4AC4" wp14:editId="0D030F35">
            <wp:extent cx="5067300" cy="1879376"/>
            <wp:effectExtent l="0" t="0" r="0" b="0"/>
            <wp:docPr id="11" name="Picture" descr="Figure B1. Comparison between the fixed cumulative synthetic target and trailing 9-month rolling sums. The fixed target S_{\mathrm{full}} is the cumulative sum of the complete synthetic signal. The predictors are constructed from the complete signal and from variants with individual imposed components removed. The left panel shows separately standardised time series for visual comparison. The right panel shows correlations calculated separately for each endpoint calendar month across years. The component-removal curves serve as controlled illustrations of how modifying a predictor changes its relationship with an unchanged cumulative target; they are not used to attribute physical periodicities in the model simulations."/>
            <wp:cNvGraphicFramePr/>
            <a:graphic xmlns:a="http://schemas.openxmlformats.org/drawingml/2006/main">
              <a:graphicData uri="http://schemas.openxmlformats.org/drawingml/2006/picture">
                <pic:pic xmlns:pic="http://schemas.openxmlformats.org/drawingml/2006/picture">
                  <pic:nvPicPr>
                    <pic:cNvPr id="12" name="Picture" descr="figures/dummy_9month_component_removal_comparison.png"/>
                    <pic:cNvPicPr>
                      <a:picLocks noChangeAspect="1" noChangeArrowheads="1"/>
                    </pic:cNvPicPr>
                  </pic:nvPicPr>
                  <pic:blipFill>
                    <a:blip r:embed="rId5"/>
                    <a:stretch>
                      <a:fillRect/>
                    </a:stretch>
                  </pic:blipFill>
                  <pic:spPr bwMode="auto">
                    <a:xfrm>
                      <a:off x="0" y="0"/>
                      <a:ext cx="5067300" cy="1879376"/>
                    </a:xfrm>
                    <a:prstGeom prst="rect">
                      <a:avLst/>
                    </a:prstGeom>
                    <a:noFill/>
                    <a:ln w="9525">
                      <a:noFill/>
                      <a:headEnd/>
                      <a:tailEnd/>
                    </a:ln>
                  </pic:spPr>
                </pic:pic>
              </a:graphicData>
            </a:graphic>
          </wp:inline>
        </w:drawing>
      </w:r>
    </w:p>
    <w:p w14:paraId="62CFA597" w14:textId="77777777" w:rsidR="00592C48" w:rsidRPr="00E33CB0" w:rsidRDefault="00837565">
      <w:pPr>
        <w:pStyle w:val="ImageCaption"/>
        <w:rPr>
          <w:sz w:val="20"/>
          <w:szCs w:val="20"/>
        </w:rPr>
      </w:pPr>
      <w:r w:rsidRPr="00E33CB0">
        <w:rPr>
          <w:b/>
          <w:bCs/>
          <w:sz w:val="20"/>
          <w:szCs w:val="20"/>
        </w:rPr>
        <w:t>Figure B1.</w:t>
      </w:r>
      <w:r w:rsidRPr="00E33CB0">
        <w:rPr>
          <w:sz w:val="20"/>
          <w:szCs w:val="20"/>
        </w:rPr>
        <w:t xml:space="preserve"> Comparison between the fixed cumulative synthetic target and trailing 9-month rolling sums. The fixed target </w:t>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full</m:t>
            </m:r>
          </m:sub>
        </m:sSub>
      </m:oMath>
      <w:r w:rsidRPr="00E33CB0">
        <w:rPr>
          <w:sz w:val="20"/>
          <w:szCs w:val="20"/>
        </w:rPr>
        <w:t xml:space="preserve"> </w:t>
      </w:r>
      <w:r w:rsidRPr="00E33CB0">
        <w:rPr>
          <w:sz w:val="20"/>
          <w:szCs w:val="20"/>
        </w:rPr>
        <w:t xml:space="preserve">is the cumulative sum of the complete synthetic signal. The predictors are constructed from the complete signal and from variants with individual imposed components removed. The left panel shows separately standardised time series for visual comparison. The right panel shows correlations calculated separately for each endpoint calendar month across years. The component-removal curves serve as controlled illustrations of how modifying a predictor changes its relationship with an unchanged cumulative target; </w:t>
      </w:r>
      <w:r w:rsidRPr="00E33CB0">
        <w:rPr>
          <w:sz w:val="20"/>
          <w:szCs w:val="20"/>
        </w:rPr>
        <w:t>they are not used to attribute physical periodicities in the model simulations.</w:t>
      </w:r>
    </w:p>
    <w:p w14:paraId="53108505" w14:textId="77777777" w:rsidR="00592C48" w:rsidRDefault="00837565">
      <w:pPr>
        <w:pStyle w:val="BodyText"/>
      </w:pPr>
      <w:r>
        <w:t xml:space="preserve">For an endpoint calendar month </w:t>
      </w:r>
      <m:oMath>
        <m:r>
          <w:rPr>
            <w:rFonts w:ascii="Cambria Math" w:hAnsi="Cambria Math"/>
          </w:rPr>
          <m:t>m</m:t>
        </m:r>
      </m:oMath>
      <w:r>
        <w:t>, the monthly coefficient is</w:t>
      </w:r>
    </w:p>
    <w:p w14:paraId="3BCBF1A0" w14:textId="77777777" w:rsidR="00592C48" w:rsidRDefault="0083756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corr</m:t>
              </m:r>
            </m:e>
            <m:sub>
              <m:r>
                <w:rPr>
                  <w:rFonts w:ascii="Cambria Math" w:hAnsi="Cambria Math"/>
                </w:rPr>
                <m:t>y</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i</m:t>
                  </m:r>
                  <m:r>
                    <m:rPr>
                      <m:sty m:val="p"/>
                    </m:rPr>
                    <w:rPr>
                      <w:rFonts w:ascii="Cambria Math" w:hAnsi="Cambria Math"/>
                    </w:rPr>
                    <m:t>,</m:t>
                  </m:r>
                  <m:r>
                    <w:rPr>
                      <w:rFonts w:ascii="Cambria Math" w:hAnsi="Cambria Math"/>
                    </w:rPr>
                    <m:t>9</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full</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m</m:t>
              </m:r>
              <m:r>
                <m:rPr>
                  <m:sty m:val="p"/>
                </m:rPr>
                <w:rPr>
                  <w:rFonts w:ascii="Cambria Math" w:hAnsi="Cambria Math"/>
                </w:rPr>
                <m:t>)</m:t>
              </m:r>
            </m:e>
          </m:d>
          <m:r>
            <m:rPr>
              <m:sty m:val="p"/>
            </m:rPr>
            <w:rPr>
              <w:rFonts w:ascii="Cambria Math" w:hAnsi="Cambria Math"/>
            </w:rPr>
            <m:t>,</m:t>
          </m:r>
        </m:oMath>
      </m:oMathPara>
    </w:p>
    <w:p w14:paraId="1A0154AE" w14:textId="77777777" w:rsidR="00592C48" w:rsidRDefault="00837565">
      <w:pPr>
        <w:pStyle w:val="FirstParagraph"/>
      </w:pPr>
      <w:r>
        <w:t xml:space="preserve">where </w:t>
      </w:r>
      <m:oMath>
        <m:r>
          <w:rPr>
            <w:rFonts w:ascii="Cambria Math" w:hAnsi="Cambria Math"/>
          </w:rPr>
          <m:t>y</m:t>
        </m:r>
      </m:oMath>
      <w:r>
        <w:t xml:space="preserve"> indexes years. For example, the May coefficient correlates the September-to-May rolling sum from each year with </w:t>
      </w:r>
      <m:oMath>
        <m:sSub>
          <m:sSubPr>
            <m:ctrlPr>
              <w:rPr>
                <w:rFonts w:ascii="Cambria Math" w:hAnsi="Cambria Math"/>
              </w:rPr>
            </m:ctrlPr>
          </m:sSubPr>
          <m:e>
            <m:r>
              <w:rPr>
                <w:rFonts w:ascii="Cambria Math" w:hAnsi="Cambria Math"/>
              </w:rPr>
              <m:t>S</m:t>
            </m:r>
          </m:e>
          <m:sub>
            <m:r>
              <m:rPr>
                <m:sty m:val="p"/>
              </m:rPr>
              <w:rPr>
                <w:rFonts w:ascii="Cambria Math" w:hAnsi="Cambria Math"/>
              </w:rPr>
              <m:t>full</m:t>
            </m:r>
          </m:sub>
        </m:sSub>
      </m:oMath>
      <w:r>
        <w:t xml:space="preserve"> evaluated in May of the same year. Adjacent endpoint months use strongly overlapping 9-month windows.</w:t>
      </w:r>
    </w:p>
    <w:p w14:paraId="401A4A9D" w14:textId="3F5559F2" w:rsidR="00592C48" w:rsidRPr="00FC14BB" w:rsidRDefault="00B84718" w:rsidP="00FC14BB">
      <w:pPr>
        <w:spacing w:after="160" w:line="278" w:lineRule="auto"/>
        <w:rPr>
          <w:b/>
          <w:bCs/>
          <w:kern w:val="2"/>
          <w:lang w:val="en-AU" w:eastAsia="zh-TW"/>
          <w14:ligatures w14:val="standardContextual"/>
        </w:rPr>
      </w:pPr>
      <w:bookmarkStart w:id="3" w:name="b.3-lag-by-lag-covariance-decomposition"/>
      <w:bookmarkEnd w:id="2"/>
      <w:r w:rsidRPr="00B84718">
        <w:rPr>
          <w:b/>
          <w:bCs/>
          <w:kern w:val="2"/>
          <w:lang w:val="en-AU" w:eastAsia="zh-TW"/>
        </w:rPr>
        <w:t xml:space="preserve">Appendix </w:t>
      </w:r>
      <w:r w:rsidR="00837565" w:rsidRPr="00FC14BB">
        <w:rPr>
          <w:b/>
          <w:bCs/>
          <w:kern w:val="2"/>
          <w:lang w:val="en-AU" w:eastAsia="zh-TW"/>
          <w14:ligatures w14:val="standardContextual"/>
        </w:rPr>
        <w:t>B</w:t>
      </w:r>
      <w:r w:rsidR="00837565" w:rsidRPr="00FC14BB">
        <w:rPr>
          <w:b/>
          <w:bCs/>
          <w:kern w:val="2"/>
          <w:lang w:val="en-AU" w:eastAsia="zh-TW"/>
          <w14:ligatures w14:val="standardContextual"/>
        </w:rPr>
        <w:t>3 Lag-by-lag covariance decomposition</w:t>
      </w:r>
    </w:p>
    <w:p w14:paraId="4BAD33BD" w14:textId="77777777" w:rsidR="00592C48" w:rsidRDefault="00837565">
      <w:pPr>
        <w:pStyle w:val="FirstParagraph"/>
      </w:pPr>
      <w:r>
        <w:t>The covariance between the 9-month rolling sum and the cumulative target can be decomposed exactly:</w:t>
      </w:r>
    </w:p>
    <w:p w14:paraId="4EA6B72C" w14:textId="77777777" w:rsidR="00592C48" w:rsidRDefault="00837565">
      <w:pPr>
        <w:pStyle w:val="BodyText"/>
      </w:pPr>
      <m:oMathPara>
        <m:oMathParaPr>
          <m:jc m:val="center"/>
        </m:oMathParaPr>
        <m:oMath>
          <m:r>
            <m:rPr>
              <m:sty m:val="p"/>
            </m:rPr>
            <w:rPr>
              <w:rFonts w:ascii="Cambria Math" w:hAnsi="Cambria Math"/>
            </w:rPr>
            <m:t>Cov</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8</m:t>
                  </m:r>
                </m:sup>
                <m:e>
                  <m:sSubSup>
                    <m:sSubSupPr>
                      <m:ctrlPr>
                        <w:rPr>
                          <w:rFonts w:ascii="Cambria Math" w:hAnsi="Cambria Math"/>
                        </w:rPr>
                      </m:ctrlPr>
                    </m:sSubSupPr>
                    <m:e>
                      <m:r>
                        <w:rPr>
                          <w:rFonts w:ascii="Cambria Math" w:hAnsi="Cambria Math"/>
                        </w:rPr>
                        <m:t>Q</m:t>
                      </m:r>
                    </m:e>
                    <m:sub>
                      <m:r>
                        <w:rPr>
                          <w:rFonts w:ascii="Cambria Math" w:hAnsi="Cambria Math"/>
                        </w:rPr>
                        <m:t>m</m:t>
                      </m:r>
                      <m:r>
                        <m:rPr>
                          <m:sty m:val="p"/>
                        </m:rPr>
                        <w:rPr>
                          <w:rFonts w:ascii="Cambria Math" w:hAnsi="Cambria Math"/>
                        </w:rPr>
                        <m:t>-</m:t>
                      </m:r>
                      <m:r>
                        <w:rPr>
                          <w:rFonts w:ascii="Cambria Math" w:hAnsi="Cambria Math"/>
                        </w:rPr>
                        <m:t>k</m:t>
                      </m:r>
                    </m:sub>
                    <m:sup>
                      <m:r>
                        <m:rPr>
                          <m:sty m:val="p"/>
                        </m:rPr>
                        <w:rPr>
                          <w:rFonts w:ascii="Cambria Math" w:hAnsi="Cambria Math"/>
                        </w:rPr>
                        <m:t>'</m:t>
                      </m:r>
                    </m:sup>
                  </m:sSubSup>
                </m:e>
              </m:nary>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8</m:t>
              </m:r>
            </m:sup>
            <m:e>
              <m:r>
                <m:rPr>
                  <m:sty m:val="p"/>
                </m:rPr>
                <w:rPr>
                  <w:rFonts w:ascii="Cambria Math" w:hAnsi="Cambria Math"/>
                </w:rPr>
                <m:t>Cov</m:t>
              </m:r>
            </m:e>
          </m:nary>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m</m:t>
                  </m:r>
                  <m:r>
                    <m:rPr>
                      <m:sty m:val="p"/>
                    </m:rPr>
                    <w:rPr>
                      <w:rFonts w:ascii="Cambria Math" w:hAnsi="Cambria Math"/>
                    </w:rPr>
                    <m:t>-</m:t>
                  </m:r>
                  <m:r>
                    <w:rPr>
                      <w:rFonts w:ascii="Cambria Math" w:hAnsi="Cambria Math"/>
                    </w:rPr>
                    <m:t>k</m:t>
                  </m:r>
                </m:sub>
                <m:sup>
                  <m:r>
                    <m:rPr>
                      <m:sty m:val="p"/>
                    </m:rPr>
                    <w:rPr>
                      <w:rFonts w:ascii="Cambria Math" w:hAnsi="Cambria Math"/>
                    </w:rPr>
                    <m:t>'</m:t>
                  </m:r>
                </m:sup>
              </m:sSubSup>
            </m:e>
          </m:d>
          <m:r>
            <m:rPr>
              <m:sty m:val="p"/>
            </m:rPr>
            <w:rPr>
              <w:rFonts w:ascii="Cambria Math" w:hAnsi="Cambria Math"/>
            </w:rPr>
            <m:t>.</m:t>
          </m:r>
        </m:oMath>
      </m:oMathPara>
    </w:p>
    <w:p w14:paraId="6CCDE0D5" w14:textId="77777777" w:rsidR="00592C48" w:rsidRDefault="00837565">
      <w:pPr>
        <w:pStyle w:val="FirstParagraph"/>
      </w:pPr>
      <w:r>
        <w:t xml:space="preserve">The contribution of lag </w:t>
      </w:r>
      <m:oMath>
        <m:r>
          <w:rPr>
            <w:rFonts w:ascii="Cambria Math" w:hAnsi="Cambria Math"/>
          </w:rPr>
          <m:t>k</m:t>
        </m:r>
      </m:oMath>
      <w:r>
        <w:t xml:space="preserve"> to the correlation for endpoint month </w:t>
      </w:r>
      <m:oMath>
        <m:r>
          <w:rPr>
            <w:rFonts w:ascii="Cambria Math" w:hAnsi="Cambria Math"/>
          </w:rPr>
          <m:t>m</m:t>
        </m:r>
      </m:oMath>
      <w:r>
        <w:t xml:space="preserve"> is defined as</w:t>
      </w:r>
    </w:p>
    <w:p w14:paraId="31374104" w14:textId="77777777" w:rsidR="00592C48" w:rsidRDefault="00837565">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Cov</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m</m:t>
                      </m:r>
                      <m:r>
                        <m:rPr>
                          <m:sty m:val="p"/>
                        </m:rPr>
                        <w:rPr>
                          <w:rFonts w:ascii="Cambria Math" w:hAnsi="Cambria Math"/>
                        </w:rPr>
                        <m:t>-</m:t>
                      </m:r>
                      <m:r>
                        <w:rPr>
                          <w:rFonts w:ascii="Cambria Math" w:hAnsi="Cambria Math"/>
                        </w:rPr>
                        <m:t>k</m:t>
                      </m:r>
                    </m:sub>
                    <m:sup>
                      <m:r>
                        <m:rPr>
                          <m:sty m:val="p"/>
                        </m:rPr>
                        <w:rPr>
                          <w:rFonts w:ascii="Cambria Math" w:hAnsi="Cambria Math"/>
                        </w:rPr>
                        <m:t>'</m:t>
                      </m:r>
                    </m:sup>
                  </m:sSubSup>
                </m:e>
              </m:d>
            </m:num>
            <m:den>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r>
                <w:rPr>
                  <w:rFonts w:ascii="Cambria Math" w:hAnsi="Cambria Math"/>
                </w:rPr>
                <m:t> </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r>
                    <m:rPr>
                      <m:sty m:val="p"/>
                    </m:rPr>
                    <w:rPr>
                      <w:rFonts w:ascii="Cambria Math" w:hAnsi="Cambria Math"/>
                    </w:rPr>
                    <m:t>,</m:t>
                  </m:r>
                  <m:r>
                    <w:rPr>
                      <w:rFonts w:ascii="Cambria Math" w:hAnsi="Cambria Math"/>
                    </w:rPr>
                    <m:t>m</m:t>
                  </m:r>
                </m:sub>
              </m:sSub>
              <m:r>
                <m:rPr>
                  <m:sty m:val="p"/>
                </m:rPr>
                <w:rPr>
                  <w:rFonts w:ascii="Cambria Math" w:hAnsi="Cambria Math"/>
                </w:rPr>
                <m:t>)</m:t>
              </m:r>
            </m:den>
          </m:f>
          <m:r>
            <m:rPr>
              <m:sty m:val="p"/>
            </m:rPr>
            <w:rPr>
              <w:rFonts w:ascii="Cambria Math" w:hAnsi="Cambria Math"/>
            </w:rPr>
            <m:t>.</m:t>
          </m:r>
        </m:oMath>
      </m:oMathPara>
    </w:p>
    <w:p w14:paraId="2FC61730" w14:textId="77777777" w:rsidR="00592C48" w:rsidRDefault="00837565">
      <w:pPr>
        <w:pStyle w:val="FirstParagraph"/>
      </w:pPr>
      <w:r>
        <w:t>Consequently,</w:t>
      </w:r>
    </w:p>
    <w:p w14:paraId="5D745305" w14:textId="77777777" w:rsidR="00592C48" w:rsidRDefault="00837565">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8</m:t>
              </m:r>
            </m:sup>
            <m:e>
              <m:sSub>
                <m:sSubPr>
                  <m:ctrlPr>
                    <w:rPr>
                      <w:rFonts w:ascii="Cambria Math" w:hAnsi="Cambria Math"/>
                    </w:rPr>
                  </m:ctrlPr>
                </m:sSubPr>
                <m:e>
                  <m:r>
                    <w:rPr>
                      <w:rFonts w:ascii="Cambria Math" w:hAnsi="Cambria Math"/>
                    </w:rPr>
                    <m:t>C</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oMath>
      </m:oMathPara>
    </w:p>
    <w:p w14:paraId="52A1C4B3" w14:textId="77777777" w:rsidR="00592C48" w:rsidRDefault="00837565">
      <w:pPr>
        <w:pStyle w:val="FirstParagraph"/>
      </w:pPr>
      <w:r>
        <w:t xml:space="preserve">The nine cells in each vertical column of Figure B2 therefore sum algebraically to the endpoint-month Pearson correlation shown in the upper panel. Positive contributions </w:t>
      </w:r>
      <w:r>
        <w:lastRenderedPageBreak/>
        <w:t>reinforce the correlation, whereas negative contributions partly cancel positive contributions.</w:t>
      </w:r>
    </w:p>
    <w:p w14:paraId="2303F7B9" w14:textId="77777777" w:rsidR="00592C48" w:rsidRDefault="00837565">
      <w:pPr>
        <w:pStyle w:val="BodyText"/>
      </w:pPr>
      <w:r>
        <w:t xml:space="preserve">An individual heat-map cell is not an independent Pearson correlation between </w:t>
      </w:r>
      <m:oMath>
        <m:sSub>
          <m:sSubPr>
            <m:ctrlPr>
              <w:rPr>
                <w:rFonts w:ascii="Cambria Math" w:hAnsi="Cambria Math"/>
              </w:rPr>
            </m:ctrlPr>
          </m:sSubPr>
          <m:e>
            <m:r>
              <w:rPr>
                <w:rFonts w:ascii="Cambria Math" w:hAnsi="Cambria Math"/>
              </w:rPr>
              <m:t>S</m:t>
            </m:r>
          </m:e>
          <m:sub>
            <m:r>
              <w:rPr>
                <w:rFonts w:ascii="Cambria Math" w:hAnsi="Cambria Math"/>
              </w:rPr>
              <m:t>m</m:t>
            </m:r>
          </m:sub>
        </m:sSub>
      </m:oMath>
      <w:r>
        <w:t xml:space="preserve"> and </w:t>
      </w:r>
      <m:oMath>
        <m:sSubSup>
          <m:sSubSupPr>
            <m:ctrlPr>
              <w:rPr>
                <w:rFonts w:ascii="Cambria Math" w:hAnsi="Cambria Math"/>
              </w:rPr>
            </m:ctrlPr>
          </m:sSubSupPr>
          <m:e>
            <m:r>
              <w:rPr>
                <w:rFonts w:ascii="Cambria Math" w:hAnsi="Cambria Math"/>
              </w:rPr>
              <m:t>Q</m:t>
            </m:r>
          </m:e>
          <m:sub>
            <m:r>
              <w:rPr>
                <w:rFonts w:ascii="Cambria Math" w:hAnsi="Cambria Math"/>
              </w:rPr>
              <m:t>m</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w:r>
        <w:t xml:space="preserve">. All cells within a column use the standard deviation of the complete 9-month sum, </w:t>
      </w:r>
      <m:oMath>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r>
              <m:rPr>
                <m:sty m:val="p"/>
              </m:rPr>
              <w:rPr>
                <w:rFonts w:ascii="Cambria Math" w:hAnsi="Cambria Math"/>
              </w:rPr>
              <m:t>,</m:t>
            </m:r>
            <m:r>
              <w:rPr>
                <w:rFonts w:ascii="Cambria Math" w:hAnsi="Cambria Math"/>
              </w:rPr>
              <m:t>m</m:t>
            </m:r>
          </m:sub>
        </m:sSub>
        <m:r>
          <m:rPr>
            <m:sty m:val="p"/>
          </m:rPr>
          <w:rPr>
            <w:rFonts w:ascii="Cambria Math" w:hAnsi="Cambria Math"/>
          </w:rPr>
          <m:t>)</m:t>
        </m:r>
      </m:oMath>
      <w:r>
        <w:t xml:space="preserve">, in the denominator. This common normalization permits the nine contributions to sum exactly to </w:t>
      </w:r>
      <m:oMath>
        <m:sSub>
          <m:sSubPr>
            <m:ctrlPr>
              <w:rPr>
                <w:rFonts w:ascii="Cambria Math" w:hAnsi="Cambria Math"/>
              </w:rPr>
            </m:ctrlPr>
          </m:sSubPr>
          <m:e>
            <m:r>
              <w:rPr>
                <w:rFonts w:ascii="Cambria Math" w:hAnsi="Cambria Math"/>
              </w:rPr>
              <m:t>r</m:t>
            </m:r>
          </m:e>
          <m:sub>
            <m:r>
              <w:rPr>
                <w:rFonts w:ascii="Cambria Math" w:hAnsi="Cambria Math"/>
              </w:rPr>
              <m:t>m</m:t>
            </m:r>
          </m:sub>
        </m:sSub>
      </m:oMath>
      <w:r>
        <w:t>.</w:t>
      </w:r>
    </w:p>
    <w:p w14:paraId="6A432EE0" w14:textId="77777777" w:rsidR="00592C48" w:rsidRDefault="00837565">
      <w:pPr>
        <w:pStyle w:val="BodyText"/>
      </w:pPr>
      <w:r>
        <w:t>The lag labels are relative to the endpoint month. For example,</w:t>
      </w:r>
    </w:p>
    <w:p w14:paraId="2E6A29D5" w14:textId="77777777" w:rsidR="00592C48" w:rsidRDefault="00837565">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Jan,</m:t>
              </m:r>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Cov[</m:t>
              </m:r>
              <m:r>
                <w:rPr>
                  <w:rFonts w:ascii="Cambria Math" w:hAnsi="Cambria Math"/>
                </w:rPr>
                <m:t>S</m:t>
              </m:r>
              <m:r>
                <m:rPr>
                  <m:sty m:val="p"/>
                </m:rPr>
                <w:rPr>
                  <w:rFonts w:ascii="Cambria Math" w:hAnsi="Cambria Math"/>
                </w:rPr>
                <m:t>(Jan),</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(Jan)]</m:t>
              </m:r>
            </m:num>
            <m:den>
              <m:r>
                <w:rPr>
                  <w:rFonts w:ascii="Cambria Math" w:hAnsi="Cambria Math"/>
                </w:rPr>
                <m:t>σ</m:t>
              </m:r>
              <m:r>
                <m:rPr>
                  <m:sty m:val="p"/>
                </m:rPr>
                <w:rPr>
                  <w:rFonts w:ascii="Cambria Math" w:hAnsi="Cambria Math"/>
                </w:rPr>
                <m:t>[</m:t>
              </m:r>
              <m:r>
                <w:rPr>
                  <w:rFonts w:ascii="Cambria Math" w:hAnsi="Cambria Math"/>
                </w:rPr>
                <m:t>S</m:t>
              </m:r>
              <m:r>
                <m:rPr>
                  <m:sty m:val="p"/>
                </m:rPr>
                <w:rPr>
                  <w:rFonts w:ascii="Cambria Math" w:hAnsi="Cambria Math"/>
                </w:rPr>
                <m:t>(Jan)]</m:t>
              </m:r>
              <m:r>
                <w:rPr>
                  <w:rFonts w:ascii="Cambria Math" w:hAnsi="Cambria Math"/>
                </w:rPr>
                <m:t> </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r>
                <m:rPr>
                  <m:sty m:val="p"/>
                </m:rPr>
                <w:rPr>
                  <w:rFonts w:ascii="Cambria Math" w:hAnsi="Cambria Math"/>
                </w:rPr>
                <m:t>(Jan)]</m:t>
              </m:r>
            </m:den>
          </m:f>
          <m:r>
            <m:rPr>
              <m:sty m:val="p"/>
            </m:rPr>
            <w:rPr>
              <w:rFonts w:ascii="Cambria Math" w:hAnsi="Cambria Math"/>
            </w:rPr>
            <m:t>,</m:t>
          </m:r>
        </m:oMath>
      </m:oMathPara>
    </w:p>
    <w:p w14:paraId="39D39DC8" w14:textId="77777777" w:rsidR="00592C48" w:rsidRDefault="00837565">
      <w:pPr>
        <w:pStyle w:val="FirstParagraph"/>
      </w:pPr>
      <w:r>
        <w:t>whereas</w:t>
      </w:r>
    </w:p>
    <w:p w14:paraId="0658CD7D" w14:textId="77777777" w:rsidR="00592C48" w:rsidRDefault="00837565">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Feb,</m:t>
              </m:r>
              <m:r>
                <w:rPr>
                  <w:rFonts w:ascii="Cambria Math" w:hAnsi="Cambria Math"/>
                </w:rPr>
                <m:t>1</m:t>
              </m:r>
            </m:sub>
          </m:sSub>
          <m:r>
            <m:rPr>
              <m:sty m:val="p"/>
            </m:rPr>
            <w:rPr>
              <w:rFonts w:ascii="Cambria Math" w:hAnsi="Cambria Math"/>
            </w:rPr>
            <m:t>=</m:t>
          </m:r>
          <m:f>
            <m:fPr>
              <m:ctrlPr>
                <w:rPr>
                  <w:rFonts w:ascii="Cambria Math" w:hAnsi="Cambria Math"/>
                </w:rPr>
              </m:ctrlPr>
            </m:fPr>
            <m:num>
              <m:r>
                <m:rPr>
                  <m:sty m:val="p"/>
                </m:rPr>
                <w:rPr>
                  <w:rFonts w:ascii="Cambria Math" w:hAnsi="Cambria Math"/>
                </w:rPr>
                <m:t>Cov[</m:t>
              </m:r>
              <m:r>
                <w:rPr>
                  <w:rFonts w:ascii="Cambria Math" w:hAnsi="Cambria Math"/>
                </w:rPr>
                <m:t>S</m:t>
              </m:r>
              <m:r>
                <m:rPr>
                  <m:sty m:val="p"/>
                </m:rPr>
                <w:rPr>
                  <w:rFonts w:ascii="Cambria Math" w:hAnsi="Cambria Math"/>
                </w:rPr>
                <m:t>(Feb),</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(Jan)]</m:t>
              </m:r>
            </m:num>
            <m:den>
              <m:r>
                <w:rPr>
                  <w:rFonts w:ascii="Cambria Math" w:hAnsi="Cambria Math"/>
                </w:rPr>
                <m:t>σ</m:t>
              </m:r>
              <m:r>
                <m:rPr>
                  <m:sty m:val="p"/>
                </m:rPr>
                <w:rPr>
                  <w:rFonts w:ascii="Cambria Math" w:hAnsi="Cambria Math"/>
                </w:rPr>
                <m:t>[</m:t>
              </m:r>
              <m:r>
                <w:rPr>
                  <w:rFonts w:ascii="Cambria Math" w:hAnsi="Cambria Math"/>
                </w:rPr>
                <m:t>S</m:t>
              </m:r>
              <m:r>
                <m:rPr>
                  <m:sty m:val="p"/>
                </m:rPr>
                <w:rPr>
                  <w:rFonts w:ascii="Cambria Math" w:hAnsi="Cambria Math"/>
                </w:rPr>
                <m:t>(Feb)]</m:t>
              </m:r>
              <m:r>
                <w:rPr>
                  <w:rFonts w:ascii="Cambria Math" w:hAnsi="Cambria Math"/>
                </w:rPr>
                <m:t> </m:t>
              </m:r>
              <m:r>
                <w:rPr>
                  <w:rFonts w:ascii="Cambria Math" w:hAnsi="Cambria Math"/>
                </w:rPr>
                <m:t>σ</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r>
                <m:rPr>
                  <m:sty m:val="p"/>
                </m:rPr>
                <w:rPr>
                  <w:rFonts w:ascii="Cambria Math" w:hAnsi="Cambria Math"/>
                </w:rPr>
                <m:t>(Feb)]</m:t>
              </m:r>
            </m:den>
          </m:f>
          <m:r>
            <m:rPr>
              <m:sty m:val="p"/>
            </m:rPr>
            <w:rPr>
              <w:rFonts w:ascii="Cambria Math" w:hAnsi="Cambria Math"/>
            </w:rPr>
            <m:t>.</m:t>
          </m:r>
        </m:oMath>
      </m:oMathPara>
    </w:p>
    <w:p w14:paraId="17CFE0FF" w14:textId="77777777" w:rsidR="00592C48" w:rsidRDefault="00837565">
      <w:pPr>
        <w:pStyle w:val="FirstParagraph"/>
      </w:pPr>
      <w:r>
        <w:t xml:space="preserve">Both terms contain January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t>, but they use different cumulative-target months and different normalizations. They are therefore not expected to be equal.</w:t>
      </w:r>
    </w:p>
    <w:p w14:paraId="1CF74D0A" w14:textId="77777777" w:rsidR="00592C48" w:rsidRDefault="00837565">
      <w:pPr>
        <w:pStyle w:val="CaptionedFigure"/>
      </w:pPr>
      <w:r>
        <w:rPr>
          <w:noProof/>
        </w:rPr>
        <w:drawing>
          <wp:inline distT="0" distB="0" distL="0" distR="0" wp14:anchorId="496B1B1A" wp14:editId="2CFB8CCA">
            <wp:extent cx="5067300" cy="3672900"/>
            <wp:effectExtent l="0" t="0" r="0" b="0"/>
            <wp:docPr id="15" name="Picture" descr="Figure B2. Lag-by-lag covariance decomposition of the endpoint-month correlations for the trailing 9-month predictor without the imposed 40-month component. The upper panel shows the Pearson correlation calculated separately for each endpoint calendar month. The lower panel decomposes each coefficient into contributions from the endpoint month and the preceding eight months. The nine cells in each vertical column sum exactly to the corresponding correlation in the upper panel. Red and blue denote positive and negative contributions, respectively. Individual cells are covariance contributions under a common column-wise normalization, not independent Pearson correlations. The labelled cells show that C_{\mathrm{Jan},0} compares January Q' with January S_{\mathrm{full}}, whereas C_{\mathrm{Feb},1} compares the same January Q' with February S_{\mathrm{full}}."/>
            <wp:cNvGraphicFramePr/>
            <a:graphic xmlns:a="http://schemas.openxmlformats.org/drawingml/2006/main">
              <a:graphicData uri="http://schemas.openxmlformats.org/drawingml/2006/picture">
                <pic:pic xmlns:pic="http://schemas.openxmlformats.org/drawingml/2006/picture">
                  <pic:nvPicPr>
                    <pic:cNvPr id="16" name="Picture" descr="figures/dummy_monthly_corr_covariance_proof.png"/>
                    <pic:cNvPicPr>
                      <a:picLocks noChangeAspect="1" noChangeArrowheads="1"/>
                    </pic:cNvPicPr>
                  </pic:nvPicPr>
                  <pic:blipFill>
                    <a:blip r:embed="rId6"/>
                    <a:stretch>
                      <a:fillRect/>
                    </a:stretch>
                  </pic:blipFill>
                  <pic:spPr bwMode="auto">
                    <a:xfrm>
                      <a:off x="0" y="0"/>
                      <a:ext cx="5067300" cy="3672900"/>
                    </a:xfrm>
                    <a:prstGeom prst="rect">
                      <a:avLst/>
                    </a:prstGeom>
                    <a:noFill/>
                    <a:ln w="9525">
                      <a:noFill/>
                      <a:headEnd/>
                      <a:tailEnd/>
                    </a:ln>
                  </pic:spPr>
                </pic:pic>
              </a:graphicData>
            </a:graphic>
          </wp:inline>
        </w:drawing>
      </w:r>
    </w:p>
    <w:p w14:paraId="5653272A" w14:textId="77777777" w:rsidR="00592C48" w:rsidRPr="00E33CB0" w:rsidRDefault="00837565">
      <w:pPr>
        <w:pStyle w:val="ImageCaption"/>
        <w:rPr>
          <w:sz w:val="20"/>
          <w:szCs w:val="20"/>
        </w:rPr>
      </w:pPr>
      <w:r w:rsidRPr="00E33CB0">
        <w:rPr>
          <w:b/>
          <w:bCs/>
          <w:sz w:val="20"/>
          <w:szCs w:val="20"/>
        </w:rPr>
        <w:t>Figure B2.</w:t>
      </w:r>
      <w:r w:rsidRPr="00E33CB0">
        <w:rPr>
          <w:sz w:val="20"/>
          <w:szCs w:val="20"/>
        </w:rPr>
        <w:t xml:space="preserve"> </w:t>
      </w:r>
      <w:r w:rsidRPr="00E33CB0">
        <w:rPr>
          <w:sz w:val="20"/>
          <w:szCs w:val="20"/>
        </w:rPr>
        <w:t>Lag-by-lag covariance decomposition of the endpoint-month correlations for the trailing 9-month predictor without the imposed 40-month component. The upper panel shows the Pearson correlation calculated separately for each endpoint calendar month. The lower panel decomposes each coefficient into contributions from the endpoint month and the preceding eight months. The nine cells in each vertical column sum exactly to the corresponding correlation in the upper panel. Red and blue denote positive and negative</w:t>
      </w:r>
      <w:r w:rsidRPr="00E33CB0">
        <w:rPr>
          <w:sz w:val="20"/>
          <w:szCs w:val="20"/>
        </w:rPr>
        <w:t xml:space="preserve"> contributions, respectively. Individual cells are covariance contributions under a common column-</w:t>
      </w:r>
      <w:r w:rsidRPr="00E33CB0">
        <w:rPr>
          <w:sz w:val="20"/>
          <w:szCs w:val="20"/>
        </w:rPr>
        <w:lastRenderedPageBreak/>
        <w:t>wise normalization, not independent Pearson correlations. The labelled cells show that</w:t>
      </w:r>
      <w:r w:rsidRPr="00E33CB0">
        <w:rPr>
          <w:sz w:val="20"/>
          <w:szCs w:val="20"/>
        </w:rPr>
        <w:t xml:space="preserve"> </w:t>
      </w:r>
      <m:oMath>
        <m:sSub>
          <m:sSubPr>
            <m:ctrlPr>
              <w:rPr>
                <w:rFonts w:ascii="Cambria Math" w:hAnsi="Cambria Math"/>
                <w:sz w:val="20"/>
                <w:szCs w:val="20"/>
              </w:rPr>
            </m:ctrlPr>
          </m:sSubPr>
          <m:e>
            <m:r>
              <w:rPr>
                <w:rFonts w:ascii="Cambria Math" w:hAnsi="Cambria Math"/>
                <w:sz w:val="20"/>
                <w:szCs w:val="20"/>
              </w:rPr>
              <m:t>C</m:t>
            </m:r>
          </m:e>
          <m:sub>
            <m:r>
              <w:rPr>
                <w:rFonts w:ascii="Cambria Math" w:hAnsi="Cambria Math"/>
                <w:sz w:val="20"/>
                <w:szCs w:val="20"/>
              </w:rPr>
              <m:t>Jan,</m:t>
            </m:r>
            <m:r>
              <w:rPr>
                <w:rFonts w:ascii="Cambria Math" w:hAnsi="Cambria Math"/>
                <w:sz w:val="20"/>
                <w:szCs w:val="20"/>
              </w:rPr>
              <m:t>0</m:t>
            </m:r>
          </m:sub>
        </m:sSub>
      </m:oMath>
      <w:r w:rsidRPr="00E33CB0">
        <w:rPr>
          <w:sz w:val="20"/>
          <w:szCs w:val="20"/>
        </w:rPr>
        <w:t xml:space="preserve"> compares January </w:t>
      </w:r>
      <m:oMath>
        <m:sSup>
          <m:sSupPr>
            <m:ctrlPr>
              <w:rPr>
                <w:rFonts w:ascii="Cambria Math" w:hAnsi="Cambria Math"/>
                <w:sz w:val="20"/>
                <w:szCs w:val="20"/>
              </w:rPr>
            </m:ctrlPr>
          </m:sSupPr>
          <m:e>
            <m:r>
              <w:rPr>
                <w:rFonts w:ascii="Cambria Math" w:hAnsi="Cambria Math"/>
                <w:sz w:val="20"/>
                <w:szCs w:val="20"/>
              </w:rPr>
              <m:t>Q</m:t>
            </m:r>
          </m:e>
          <m:sup>
            <m:r>
              <w:rPr>
                <w:rFonts w:ascii="Cambria Math" w:hAnsi="Cambria Math"/>
                <w:sz w:val="20"/>
                <w:szCs w:val="20"/>
              </w:rPr>
              <m:t>'</m:t>
            </m:r>
          </m:sup>
        </m:sSup>
      </m:oMath>
      <w:r w:rsidRPr="00E33CB0">
        <w:rPr>
          <w:sz w:val="20"/>
          <w:szCs w:val="20"/>
        </w:rPr>
        <w:t xml:space="preserve"> with January </w:t>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full</m:t>
            </m:r>
          </m:sub>
        </m:sSub>
      </m:oMath>
      <w:r w:rsidRPr="00E33CB0">
        <w:rPr>
          <w:sz w:val="20"/>
          <w:szCs w:val="20"/>
        </w:rPr>
        <w:t xml:space="preserve">, whereas </w:t>
      </w:r>
      <m:oMath>
        <m:sSub>
          <m:sSubPr>
            <m:ctrlPr>
              <w:rPr>
                <w:rFonts w:ascii="Cambria Math" w:hAnsi="Cambria Math"/>
                <w:sz w:val="20"/>
                <w:szCs w:val="20"/>
              </w:rPr>
            </m:ctrlPr>
          </m:sSubPr>
          <m:e>
            <m:r>
              <w:rPr>
                <w:rFonts w:ascii="Cambria Math" w:hAnsi="Cambria Math"/>
                <w:sz w:val="20"/>
                <w:szCs w:val="20"/>
              </w:rPr>
              <m:t>C</m:t>
            </m:r>
          </m:e>
          <m:sub>
            <m:r>
              <w:rPr>
                <w:rFonts w:ascii="Cambria Math" w:hAnsi="Cambria Math"/>
                <w:sz w:val="20"/>
                <w:szCs w:val="20"/>
              </w:rPr>
              <m:t>Feb,</m:t>
            </m:r>
            <m:r>
              <w:rPr>
                <w:rFonts w:ascii="Cambria Math" w:hAnsi="Cambria Math"/>
                <w:sz w:val="20"/>
                <w:szCs w:val="20"/>
              </w:rPr>
              <m:t>1</m:t>
            </m:r>
          </m:sub>
        </m:sSub>
      </m:oMath>
      <w:r w:rsidRPr="00E33CB0">
        <w:rPr>
          <w:sz w:val="20"/>
          <w:szCs w:val="20"/>
        </w:rPr>
        <w:t xml:space="preserve"> compares the same January </w:t>
      </w:r>
      <m:oMath>
        <m:sSup>
          <m:sSupPr>
            <m:ctrlPr>
              <w:rPr>
                <w:rFonts w:ascii="Cambria Math" w:hAnsi="Cambria Math"/>
                <w:sz w:val="20"/>
                <w:szCs w:val="20"/>
              </w:rPr>
            </m:ctrlPr>
          </m:sSupPr>
          <m:e>
            <m:r>
              <w:rPr>
                <w:rFonts w:ascii="Cambria Math" w:hAnsi="Cambria Math"/>
                <w:sz w:val="20"/>
                <w:szCs w:val="20"/>
              </w:rPr>
              <m:t>Q</m:t>
            </m:r>
          </m:e>
          <m:sup>
            <m:r>
              <w:rPr>
                <w:rFonts w:ascii="Cambria Math" w:hAnsi="Cambria Math"/>
                <w:sz w:val="20"/>
                <w:szCs w:val="20"/>
              </w:rPr>
              <m:t>'</m:t>
            </m:r>
          </m:sup>
        </m:sSup>
      </m:oMath>
      <w:r w:rsidRPr="00E33CB0">
        <w:rPr>
          <w:sz w:val="20"/>
          <w:szCs w:val="20"/>
        </w:rPr>
        <w:t xml:space="preserve"> with February </w:t>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full</m:t>
            </m:r>
          </m:sub>
        </m:sSub>
      </m:oMath>
      <w:r w:rsidRPr="00E33CB0">
        <w:rPr>
          <w:sz w:val="20"/>
          <w:szCs w:val="20"/>
        </w:rPr>
        <w:t>.</w:t>
      </w:r>
    </w:p>
    <w:p w14:paraId="4F124861" w14:textId="7DDB767E" w:rsidR="00592C48" w:rsidRPr="00FC14BB" w:rsidRDefault="00B84718" w:rsidP="00FC14BB">
      <w:pPr>
        <w:spacing w:after="160" w:line="278" w:lineRule="auto"/>
        <w:rPr>
          <w:b/>
          <w:bCs/>
          <w:kern w:val="2"/>
          <w:lang w:val="en-AU" w:eastAsia="zh-TW"/>
          <w14:ligatures w14:val="standardContextual"/>
        </w:rPr>
      </w:pPr>
      <w:bookmarkStart w:id="4" w:name="b.4-interpretation"/>
      <w:bookmarkEnd w:id="3"/>
      <w:r w:rsidRPr="00B84718">
        <w:rPr>
          <w:b/>
          <w:bCs/>
          <w:kern w:val="2"/>
          <w:lang w:val="en-AU" w:eastAsia="zh-TW"/>
        </w:rPr>
        <w:t xml:space="preserve">Appendix </w:t>
      </w:r>
      <w:r w:rsidR="00837565" w:rsidRPr="00FC14BB">
        <w:rPr>
          <w:b/>
          <w:bCs/>
          <w:kern w:val="2"/>
          <w:lang w:val="en-AU" w:eastAsia="zh-TW"/>
          <w14:ligatures w14:val="standardContextual"/>
        </w:rPr>
        <w:t>B</w:t>
      </w:r>
      <w:r w:rsidR="00837565" w:rsidRPr="00FC14BB">
        <w:rPr>
          <w:b/>
          <w:bCs/>
          <w:kern w:val="2"/>
          <w:lang w:val="en-AU" w:eastAsia="zh-TW"/>
          <w14:ligatures w14:val="standardContextual"/>
        </w:rPr>
        <w:t>4 Interpretation</w:t>
      </w:r>
    </w:p>
    <w:p w14:paraId="0B6F8E14" w14:textId="77777777" w:rsidR="00592C48" w:rsidRDefault="00837565">
      <w:pPr>
        <w:pStyle w:val="FirstParagraph"/>
      </w:pPr>
      <w:r>
        <w:t>This synthetic experiment demonstrates that a finite-window rolling sum and a cumulative state are related but distinct quantities. Each endpoint-month correlation reflects the combined covariance contributions of all nine months in the rolling window. Month-to-month differences in the correlation therefore arise from changes in the combination of positive and negative lag contributions and should not be interpreted from a single lag cell or assumed to represent a phase reversal of the complete rolling sum.</w:t>
      </w:r>
      <w:bookmarkEnd w:id="0"/>
      <w:bookmarkEnd w:id="4"/>
    </w:p>
    <w:sectPr w:rsidR="00592C4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66EE8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04652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92C48"/>
    <w:rsid w:val="00592C48"/>
    <w:rsid w:val="00837565"/>
    <w:rsid w:val="00B84718"/>
    <w:rsid w:val="00BA085D"/>
    <w:rsid w:val="00E33CB0"/>
    <w:rsid w:val="00FC14B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D3A48"/>
  <w15:docId w15:val="{AE0F02B1-6183-42F0-8652-8971386A6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4</Pages>
  <Words>824</Words>
  <Characters>4702</Characters>
  <Application>Microsoft Office Word</Application>
  <DocSecurity>0</DocSecurity>
  <Lines>39</Lines>
  <Paragraphs>11</Paragraphs>
  <ScaleCrop>false</ScaleCrop>
  <Company>Monash University</Company>
  <LinksUpToDate>false</LinksUpToDate>
  <CharactersWithSpaces>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Arnold Sullivan</cp:lastModifiedBy>
  <cp:revision>4</cp:revision>
  <dcterms:created xsi:type="dcterms:W3CDTF">2026-10-16T03:18:00Z</dcterms:created>
  <dcterms:modified xsi:type="dcterms:W3CDTF">2026-10-16T03:23:00Z</dcterms:modified>
</cp:coreProperties>
</file>