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Construction health and safety officer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Construction work only; assess project circumstances, applicable appointment requirements and registration.</w:t>
      </w:r>
    </w:p>
    <w:p>
      <w:r>
        <w:t>Verify project circumstances, applicable registration and competence requirements. This role does not replace construction management or supervision duties.</w:t>
      </w:r>
    </w:p>
    <w:p>
      <w:r>
        <w:t>Legal / regulatory reference to verify: Construction Regulations 2014, regulation 8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the project, time allocation, reporting line and advisory scope.</w:t>
      </w:r>
    </w:p>
    <w:p>
      <w:r>
        <w:t>2. Monitor implementation of the project health and safety plan.</w:t>
      </w:r>
    </w:p>
    <w:p>
      <w:r>
        <w:t>3. Conduct agreed inspections and report nonconformities.</w:t>
      </w:r>
    </w:p>
    <w:p>
      <w:r>
        <w:t>4. Track corrective actions and advise site management on unresolved risks.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