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risk assessment competent person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Construction work only; verify competence and risk assessment responsibilities.</w:t>
      </w:r>
    </w:p>
    <w:p>
      <w:r>
        <w:t>Construction work only. Verify regulation 9 competence, project scope and required review arrangements.</w:t>
      </w:r>
    </w:p>
    <w:p>
      <w:r>
        <w:t>Legal / regulatory reference to verify: Construction Regulations 2014, regulation 9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Identify project activities, hazards and persons exposed.</w:t>
      </w:r>
    </w:p>
    <w:p>
      <w:r>
        <w:t>2. Evaluate risks using an agreed method and specify suitable controls.</w:t>
      </w:r>
    </w:p>
    <w:p>
      <w:r>
        <w:t>3. Consult relevant personnel and communicate assessment findings.</w:t>
      </w:r>
    </w:p>
    <w:p>
      <w:r>
        <w:t>4. Review assessments after changes, incidents or control failures.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