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Construction supervisor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Construction work only; determine supervision needed for each work area and shift.</w:t>
      </w:r>
    </w:p>
    <w:p>
      <w:r>
        <w:t>Verify the project appointment hierarchy, regulation 8 duties and the competence needed for the specific construction activities.</w:t>
      </w:r>
    </w:p>
    <w:p>
      <w:r>
        <w:t>Legal / regulatory reference to verify: Construction Regulations 2014, regulation 8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Define the activities, work area, workforce and shifts supervised.</w:t>
      </w:r>
    </w:p>
    <w:p>
      <w:r>
        <w:t>2. Communicate risk controls and check safe work arrangements.</w:t>
      </w:r>
    </w:p>
    <w:p>
      <w:r>
        <w:t>3. Verify required inspections and controls before work proceeds.</w:t>
      </w:r>
    </w:p>
    <w:p>
      <w:r>
        <w:t>4. Stop or escalate unsafe work and report defects and incidents.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