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Excavation competent person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Where excavation work is performed; assess supervision and inspection responsibilities.</w:t>
      </w:r>
    </w:p>
    <w:p>
      <w:r>
        <w:t>Verify regulation 13 duties and the competent-person function required. This letter does not replace the excavation risk assessment or engineering design.</w:t>
      </w:r>
    </w:p>
    <w:p>
      <w:r>
        <w:t>Legal / regulatory reference to verify: Construction Regulations 2014, regulation 13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Define excavations, location and supervision / inspection scope.</w:t>
      </w:r>
    </w:p>
    <w:p>
      <w:r>
        <w:t>2. Check agreed precautions for collapse, services, access and adjacent loads.</w:t>
      </w:r>
    </w:p>
    <w:p>
      <w:r>
        <w:t>3. Record inspections and changes affecting excavation safety.</w:t>
      </w:r>
    </w:p>
    <w:p>
      <w:r>
        <w:t>4. Stop unsafe work and escalate the need for specialist assessment.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