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HSE committee member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Assess whether two or more health and safety representatives are designated and the committee requirements that follow.</w:t>
      </w:r>
    </w:p>
    <w:p>
      <w:r>
        <w:t>Verify whether a committee is required and how membership is constituted. Record the representative designation or employer nomination as applicable.</w:t>
      </w:r>
    </w:p>
    <w:p>
      <w:r>
        <w:t>Legal / regulatory reference to verify: OHS Act, sections 19–20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Record committee composition and the basis for this membership.</w:t>
      </w:r>
    </w:p>
    <w:p>
      <w:r>
        <w:t>2. Participate in meetings and review representative recommendations.</w:t>
      </w:r>
    </w:p>
    <w:p>
      <w:r>
        <w:t>3. Review incidents, inspections and corrective-action progress.</w:t>
      </w:r>
    </w:p>
    <w:p>
      <w:r>
        <w:t>4. Record recommendations to the employer and track responses.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