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investigator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Determine the employer’s incident recording and investigation responsibilities and the designated investigator.</w:t>
      </w:r>
    </w:p>
    <w:p>
      <w:r>
        <w:t>Verify incident investigation, recording and notification duties. This appointment and the internal report do not replace statutory reporting or an official investigation.</w:t>
      </w:r>
    </w:p>
    <w:p>
      <w:r>
        <w:t>Legal / regulatory reference to verify: General Administrative Regulations, regulation 9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event / investigation scope and preserve appropriate evidence.</w:t>
      </w:r>
    </w:p>
    <w:p>
      <w:r>
        <w:t>2. Gather factual accounts, timelines and relevant records.</w:t>
      </w:r>
    </w:p>
    <w:p>
      <w:r>
        <w:t>3. Identify contributing factors and supported root causes.</w:t>
      </w:r>
    </w:p>
    <w:p>
      <w:r>
        <w:t>4. Recommend controls, action owners and effectiveness checks; report findings promptly.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