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Lifting equipment competent person — select specific function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Where lifting machinery or tackle is used; distinguish inspections, examinations and testing with required competence / registration.</w:t>
      </w:r>
    </w:p>
    <w:p>
      <w:r>
        <w:t>Distinguish routine inspection from statutory examination / testing. Verify regulation 18, competence and required registration; use separate appointments where necessary.</w:t>
      </w:r>
    </w:p>
    <w:p>
      <w:r>
        <w:t>Legal / regulatory reference to verify: Driven Machinery Regulations 2015, regulation 18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Select the function: routine inspection, examination, testing or another permitted task.</w:t>
      </w:r>
    </w:p>
    <w:p>
      <w:r>
        <w:t>2. List equipment / tackle identifiers and the limits of authority.</w:t>
      </w:r>
    </w:p>
    <w:p>
      <w:r>
        <w:t>3. Record findings using the required method and applicable criteria.</w:t>
      </w:r>
    </w:p>
    <w:p>
      <w:r>
        <w:t>4. Quarantine defective equipment and report corrective actions / required specialist work.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