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Machinery supervision competent person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Assess the machinery installation and the applicable supervision and designation requirements.</w:t>
      </w:r>
    </w:p>
    <w:p>
      <w:r>
        <w:t>Verify General Machinery Regulations applicability, required qualifications and any additional machinery-specific duties before appointment.</w:t>
      </w:r>
    </w:p>
    <w:p>
      <w:r>
        <w:t>Legal / regulatory reference to verify: General Machinery Regulations, regulation 2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the machinery installation and supervision scope.</w:t>
      </w:r>
    </w:p>
    <w:p>
      <w:r>
        <w:t>2. Check safe-use, guarding, isolation and maintenance arrangements.</w:t>
      </w:r>
    </w:p>
    <w:p>
      <w:r>
        <w:t>3. Monitor inspections and escalate defects or unsafe conditions.</w:t>
      </w:r>
    </w:p>
    <w:p>
      <w:r>
        <w:t>4. Maintain required records and communicate changes to management.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