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§13 — Regulatory Compliance Alignment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§13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Compliance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Regulatory Compliance Alignment</w:t>
      </w:r>
      <w:r>
        <w:t xml:space="preserve"> as defined in the Trust Security Reference Architecture (TSRA), Section §13 — Regulatory Compliance Alignment (SOX, FERPA).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SOX (Sarbanes-Oxley Act) — IT General Controls (ITGCs) for logical access, program change management, computer operations, and segregation of duties applicable to systems supporting financial reporting</w:t>
      </w:r>
    </w:p>
    <w:p>
      <w:pPr>
        <w:pStyle w:val="ListBullet"/>
      </w:pPr>
      <w:r>
        <w:t>FERPA (Family Educational Rights and Privacy Act) — protection of student education records, access controls, and breach notification requirements</w:t>
      </w:r>
    </w:p>
    <w:p>
      <w:pPr>
        <w:pStyle w:val="ListBullet"/>
      </w:pPr>
      <w:r>
        <w:t>Contractual commitments — security obligations derived from customer contracts and partnership agreements</w:t>
      </w:r>
    </w:p>
    <w:p>
      <w:pPr>
        <w:pStyle w:val="ListBullet"/>
      </w:pPr>
      <w:r>
        <w:t>Control framework alignment: TOGAF (enterprise architecture), NIST CSF 2.0 (control mapping), NIST SP 800-207 (Zero Trust)</w:t>
      </w:r>
    </w:p>
    <w:p>
      <w:pPr>
        <w:pStyle w:val="ListBullet"/>
      </w:pPr>
      <w:r>
        <w:t>Six implemented control domains: Identity &amp; Access Management, Privileged Access Management, Application Security Controls, Device Posture Controls, Exposure &amp; Vulnerability Management, Incident Detection &amp; Response</w:t>
      </w:r>
    </w:p>
    <w:p>
      <w:pPr>
        <w:pStyle w:val="ListBullet"/>
      </w:pPr>
      <w:r>
        <w:t>Evidence and assurance model: control evidence artifacts, risk-control-evidence traceability, audit and attestation readiness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Domain-specific control implementation details (covered in respective governance memos: §4–§9)</w:t>
      </w:r>
    </w:p>
    <w:p>
      <w:pPr>
        <w:pStyle w:val="ListBullet"/>
      </w:pPr>
      <w:r>
        <w:t>Legal interpretation of regulatory requirements (deferred to Legal/Compliance counsel)</w:t>
      </w:r>
    </w:p>
    <w:p>
      <w:pPr>
        <w:pStyle w:val="ListBullet"/>
      </w:pPr>
      <w:r>
        <w:t>Non-security regulatory obligations (e.g., financial reporting controls outside IT scope)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§13</w:t>
      </w:r>
    </w:p>
    <w:p>
      <w:pPr>
        <w:pStyle w:val="ListBullet"/>
      </w:pPr>
      <w:r>
        <w:t>SRA Control Register (`SRA_Control_Register.xlsx`), Control ID: CTRL-013</w:t>
      </w:r>
    </w:p>
    <w:p>
      <w:pPr>
        <w:pStyle w:val="ListBullet"/>
      </w:pPr>
      <w:r>
        <w:t>D2 Architecture Diagram: `18-regulatory-compliance-alignment.d2`</w:t>
      </w:r>
    </w:p>
    <w:p>
      <w:pPr>
        <w:pStyle w:val="ListBullet"/>
      </w:pPr>
      <w:r>
        <w:t>STRIDE ISP — Governance, Risk, and Compliance (GV.RM, GV.OV, RC.CO)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regulatory compliance mapping, manages control narratives, coordinates audit readiness activities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Ensures architecture controls map to regulatory requirements; maintains traceability in the SRA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control effectiveness, manages risk acceptance register, produces compliance dashboards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Domain Control Owners (IAM, Endpoint, AppSec, VulnMgmt, SecOps)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Produce evidence artifacts within their respective domains for regulatory validation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Legal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Advises on regulatory interpretation and breach notification obligations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compliance posture, risk acceptance for unresolved findings, and audit response strategy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Regulatory Compliance Alignment architecture establishes the traceability chain from external regulatory drivers through control frameworks to implemented control domains and evidence assurance:</w:t>
      </w:r>
    </w:p>
    <w:p>
      <w:r>
        <w:rPr>
          <w:b/>
          <w:i w:val="0"/>
        </w:rPr>
        <w:t>Regulatory Drivers:</w:t>
      </w:r>
    </w:p>
    <w:p>
      <w:pPr>
        <w:pStyle w:val="ListBullet"/>
      </w:pPr>
      <w:r/>
      <w:r>
        <w:rPr>
          <w:b/>
          <w:i w:val="0"/>
        </w:rPr>
        <w:t>SOX (Sarbanes-Oxley)</w:t>
      </w:r>
      <w:r>
        <w:t>: IT General Controls requirements for systems supporting financial reporting — logical access, change management, computer operations, and SoD</w:t>
      </w:r>
    </w:p>
    <w:p>
      <w:pPr>
        <w:pStyle w:val="ListBullet"/>
      </w:pPr>
      <w:r/>
      <w:r>
        <w:rPr>
          <w:b/>
          <w:i w:val="0"/>
        </w:rPr>
        <w:t>FERPA (Family Educational Rights and Privacy Act)</w:t>
      </w:r>
      <w:r>
        <w:t>: Protection of student education records — access controls, audit logging, disclosure restrictions, and breach notification</w:t>
      </w:r>
    </w:p>
    <w:p>
      <w:pPr>
        <w:pStyle w:val="ListBullet"/>
      </w:pPr>
      <w:r/>
      <w:r>
        <w:rPr>
          <w:b/>
          <w:i w:val="0"/>
        </w:rPr>
        <w:t>Contractual Commitments</w:t>
      </w:r>
      <w:r>
        <w:t>: Security obligations in customer contracts and partnership agreements that impose controls beyond baseline regulatory requirements</w:t>
      </w:r>
    </w:p>
    <w:p>
      <w:r>
        <w:rPr>
          <w:b/>
          <w:i w:val="0"/>
        </w:rPr>
        <w:t>Control Frameworks:</w:t>
      </w:r>
    </w:p>
    <w:p>
      <w:pPr>
        <w:pStyle w:val="ListBullet"/>
      </w:pPr>
      <w:r/>
      <w:r>
        <w:rPr>
          <w:b/>
          <w:i w:val="0"/>
        </w:rPr>
        <w:t>TOGAF</w:t>
      </w:r>
      <w:r>
        <w:t>: Enterprise architecture methodology guiding the structural organization of the TSRA</w:t>
      </w:r>
    </w:p>
    <w:p>
      <w:pPr>
        <w:pStyle w:val="ListBullet"/>
      </w:pPr>
      <w:r/>
      <w:r>
        <w:rPr>
          <w:b/>
          <w:i w:val="0"/>
        </w:rPr>
        <w:t>NIST CSF 2.0</w:t>
      </w:r>
      <w:r>
        <w:t>: Primary control mapping framework — all SRA controls are mapped to CSF subcategories with implementation status tracking</w:t>
      </w:r>
    </w:p>
    <w:p>
      <w:pPr>
        <w:pStyle w:val="ListBullet"/>
      </w:pPr>
      <w:r/>
      <w:r>
        <w:rPr>
          <w:b/>
          <w:i w:val="0"/>
        </w:rPr>
        <w:t>NIST SP 800-207 (Zero Trust)</w:t>
      </w:r>
      <w:r>
        <w:t>: Zero Trust principles inform identity-centric access controls (§4), privileged access (§5), and device trust (§6)</w:t>
      </w:r>
    </w:p>
    <w:p>
      <w:r>
        <w:rPr>
          <w:b/>
          <w:i w:val="0"/>
        </w:rPr>
        <w:t>Implemented Control Domains:</w:t>
      </w:r>
    </w:p>
    <w:p>
      <w:r>
        <w:t>Each regulatory requirement maps through the control frameworks to one or more of six implemented control domains: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Domain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Key SOX Relevance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Key FERPA Relevance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Identity &amp; Access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§4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Entra ID, Okta CIAM, SailPoint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Logical access, user account management, SoD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Access to student records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Privileged Access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§5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Delinea, Entra PIM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Privileged access restriction and monitoring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Admin access to student data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Device Posture Controls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§6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CrowdStrike, Defender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Endpoint protection for financial systems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Device controls for FERPA-scope apps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Exposure &amp; Vulnerability Mgmt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§7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Tenable VM, CSPM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IT risk assessment, secure configuration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management for student systems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Application Security Controls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§8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Sonatype, Burp Suite, Salt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Program change management, code security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Application testing for student data apps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Incident Detection &amp; Response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§9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ServiceNow SecOps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Monitoring, incident response, evidence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Incident handling for student data</w:t>
            </w:r>
          </w:p>
        </w:tc>
      </w:tr>
    </w:tbl>
    <w:p>
      <w:r>
        <w:rPr>
          <w:b/>
          <w:i w:val="0"/>
        </w:rPr>
        <w:t>Evidence and Assurance:</w:t>
      </w:r>
    </w:p>
    <w:p>
      <w:pPr>
        <w:pStyle w:val="ListBullet"/>
      </w:pPr>
      <w:r/>
      <w:r>
        <w:rPr>
          <w:b/>
          <w:i w:val="0"/>
        </w:rPr>
        <w:t>Control Evidence Artifacts</w:t>
      </w:r>
      <w:r>
        <w:t>: Each domain control owner produces evidence artifacts (policy exports, scan reports, audit logs, certification records) that validate control effectiveness</w:t>
      </w:r>
    </w:p>
    <w:p>
      <w:pPr>
        <w:pStyle w:val="ListBullet"/>
      </w:pPr>
      <w:r/>
      <w:r>
        <w:rPr>
          <w:b/>
          <w:i w:val="0"/>
        </w:rPr>
        <w:t>Risk-Control-Evidence Traceability</w:t>
      </w:r>
      <w:r>
        <w:t>: The SRA Control Register (`SRA_Control_Register.xlsx`) provides bidirectional traceability from regulatory requirements → NIST CSF subcategories → SRA controls → evidence sources</w:t>
      </w:r>
    </w:p>
    <w:p>
      <w:pPr>
        <w:pStyle w:val="ListBullet"/>
      </w:pPr>
      <w:r/>
      <w:r>
        <w:rPr>
          <w:b/>
          <w:i w:val="0"/>
        </w:rPr>
        <w:t>Audit and Attestation Readiness</w:t>
      </w:r>
      <w:r>
        <w:t>: Evidence is organized for assessor consumption with defined retention periods, artifact locations, and verification dates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All domain governance memos providing evidence: §4, §5, §6, §7, §8, §9</w:t>
      </w:r>
    </w:p>
    <w:p>
      <w:pPr>
        <w:ind w:left="720"/>
      </w:pPr>
      <w:r>
        <w:rPr>
          <w:b w:val="0"/>
          <w:i/>
          <w:color w:val="757575"/>
        </w:rPr>
        <w:t>- NIST CSF 2.0 outcome mapping: SRA §10</w:t>
      </w:r>
    </w:p>
    <w:p>
      <w:pPr>
        <w:ind w:left="720"/>
      </w:pPr>
      <w:r>
        <w:rPr>
          <w:b w:val="0"/>
          <w:i/>
          <w:color w:val="757575"/>
        </w:rPr>
        <w:t>- KPI framework for compliance metrics: SRA §12</w:t>
      </w:r>
    </w:p>
    <w:p>
      <w:pPr>
        <w:ind w:left="720"/>
      </w:pPr>
      <w:r>
        <w:rPr>
          <w:b w:val="0"/>
          <w:i/>
          <w:color w:val="757575"/>
        </w:rPr>
        <w:t>- Executive governance oversight: SRA §1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`18-regulatory-compliance-alignment.d2`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GV.RM-03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Govern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Cybersecurity risk management activities and outcomes are included in enterprise risk management processes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GV.OV-03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Govern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Risk management strategy and results are documented and developed through a coordinated approach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RC.CO-03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Recover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Recovery activities and progress are communicated to designated internal and external stakeholders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>
      <w:r/>
      <w:r>
        <w:rPr>
          <w:b w:val="0"/>
          <w:i/>
        </w:rPr>
        <w:t>Source: SRA Control Register, "NIST CSF Crosswalk" sheet, filtered to CTRL-013.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GV.RM-03</w:t>
      </w:r>
      <w:r>
        <w:t>: Cybersecurity risk management is integrated into the TSRA governance model, and control outcomes are tracked in the SRA Control Register. Gap: formal integration with enterprise risk management (ERM) processes beyond IT security is in progress</w:t>
      </w:r>
    </w:p>
    <w:p>
      <w:pPr>
        <w:pStyle w:val="ListBullet"/>
      </w:pPr>
      <w:r/>
      <w:r>
        <w:rPr>
          <w:b/>
          <w:i w:val="0"/>
        </w:rPr>
        <w:t>GV.OV-03</w:t>
      </w:r>
      <w:r>
        <w:t>: Risk management strategy is documented through the TSRA and governance memos; results are tracked via the control register and KPI framework. Gap: automated compliance dashboarding that consolidates domain-level evidence into a single view is not yet operational</w:t>
      </w:r>
    </w:p>
    <w:p>
      <w:pPr>
        <w:pStyle w:val="ListBullet"/>
      </w:pPr>
      <w:r/>
      <w:r>
        <w:rPr>
          <w:b/>
          <w:i w:val="0"/>
        </w:rPr>
        <w:t>RC.CO-03</w:t>
      </w:r>
      <w:r>
        <w:t>: Recovery communication protocols exist for major incidents. Gap: structured regulatory notification workflows (especially FERPA breach notification) need formalization and testing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CTRL-013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Regulatory compliance controls including SOX ITGC alignment, FERPA compliance, control narratives, evidence traceability, and audit readiness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Compliance framework; SRA Control Register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Compliance control narratives; audit workpapers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</w:tr>
    </w:tbl>
    <w:p>
      <w:r>
        <w:rPr>
          <w:b/>
          <w:i w:val="0"/>
        </w:rPr>
        <w:t>Key Requirements:</w:t>
      </w:r>
    </w:p>
    <w:p>
      <w:pPr>
        <w:pStyle w:val="ListNumber"/>
      </w:pPr>
      <w:r>
        <w:t>All SRA controls must maintain documented traceability from regulatory requirements through NIST CSF 2.0 subcategories to implementation and evidence artifacts</w:t>
      </w:r>
    </w:p>
    <w:p>
      <w:pPr>
        <w:pStyle w:val="ListNumber"/>
      </w:pPr>
      <w:r>
        <w:t>SOX ITGC control narratives must be reviewed and updated annually, or upon material changes to underlying systems or controls</w:t>
      </w:r>
    </w:p>
    <w:p>
      <w:pPr>
        <w:pStyle w:val="ListNumber"/>
      </w:pPr>
      <w:r>
        <w:t>FERPA compliance documentation must include access control inventories, audit logging confirmation, and breach notification procedures for all systems processing student data</w:t>
      </w:r>
    </w:p>
    <w:p>
      <w:pPr>
        <w:pStyle w:val="ListNumber"/>
      </w:pPr>
      <w:r>
        <w:t>Evidence artifacts must be organized by control domain with defined artifact locations, retention periods, and last-verified dates in the SRA Control Register</w:t>
      </w:r>
    </w:p>
    <w:p>
      <w:pPr>
        <w:pStyle w:val="ListNumber"/>
      </w:pPr>
      <w:r>
        <w:t>Compliance gaps identified through audit or self-assessment must be tracked in the risk acceptance register with remediation plans and target dates</w:t>
      </w:r>
    </w:p>
    <w:p>
      <w:pPr>
        <w:pStyle w:val="ListNumber"/>
      </w:pPr>
      <w:r>
        <w:t>Annual compliance readiness assessments must be conducted prior to external audit cycles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NIST CSF 2.0 subcategory mapping complete for all 14 SRA sections; SRA Control Register with evidence traceability; SOX ITGC control narratives for identity and access domains; FERPA access control documentation for primary student-facing applications; audit-ready governance memo framework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Evidence automation for domain control artifacts; compliance dashboard consolidation; FERPA breach notification workflow formalization; SOX ITGC narrative expansion to Tenable and ServiceNow domains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Automated evidence collection and freshness monitoring; GRC platform integration (e.g., ServiceNow GRC module); contractual commitment compliance tracking automation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— cross-cutting governance strand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SOX ITGC narrative expansion (all domains)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FERPA breach notification workflow formalization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Evidence automation for domain artifacts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Compliance dashboard consolidation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platform integration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Automated evidence freshness monitoring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Contractual commitment tracking automation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SOX ITGC control narrative currency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narratives reviewed within trailing 12 months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Compliance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FERPA compliance documentation completeness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FERPA-scope systems with documented access controls and audit logging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Compliance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Evidence artifact freshness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of evidence artifacts verified within defined cadence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Compliance gap remediation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identified gaps with active remediation plans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Audit finding closure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90% of findings remediated within agreed timelines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Compliance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acceptance register currency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expired acceptances without renewal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</w:tr>
    </w:tbl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Overall IT control environment: an IT control framework must exist with documented controls, risk assessments, monitoring, and management oversight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§13, CTRL-013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TSRA architecture document; SRA Control Register; governance memo set; NIST CSF 2.0 mapping; executive review records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Internal audit coordination: IT controls must be assessed for design and operating effectiveness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§13, CTRL-013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Control self-assessment results; evidence traceability matrix; audit workpapers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Institutional safeguards: reasonable methods must be used to ensure the security and confidentiality of education records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§13, CTRL-013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 control inventory; access control documentation; audit logging confirmation; breach notification procedures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Breach notification: institutions must notify affected parties in a timely manner following a breach of student records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§13, CTRL-013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Breach notification procedures; incident response integration (SRA §9); notification testing records</w:t>
            </w:r>
          </w:p>
        </w:tc>
      </w:tr>
    </w:tbl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§13.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CTRL-013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§13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GV.RM-03, GV.OV-03, RC.CO-03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Compliance control narratives; audit workpapers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Compliance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Compliance → Security Architecture → Executive Security Leadership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§13 — Regulatory Compliance Alignment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