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287f251d234952664b0e0cb6450a662ea622c1"/>
    <w:p>
      <w:pPr>
        <w:pStyle w:val="Heading1"/>
      </w:pPr>
      <w:r>
        <w:t xml:space="preserve">Governance Memo: SRA §13 — Regulatory Compliance Alignment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§13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Compliance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Regulatory Compliance Alignment</w:t>
      </w:r>
      <w:r>
        <w:t xml:space="preserve"> </w:t>
      </w:r>
      <w:r>
        <w:t xml:space="preserve">as defined in the Trust Security Reference Architecture (TSRA), Section §13 — Regulatory Compliance Alignment (SOX, FERPA).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SOX (Sarbanes-Oxley Act) — IT General Controls (ITGCs) for logical access, program change management, computer operations, and segregation of duties applicable to systems supporting financial reporting</w:t>
      </w:r>
      <w:r>
        <w:t xml:space="preserve"> </w:t>
      </w:r>
      <w:r>
        <w:t xml:space="preserve">- FERPA (Family Educational Rights and Privacy Act) — protection of student education records, access controls, and breach notification requirements</w:t>
      </w:r>
      <w:r>
        <w:t xml:space="preserve"> </w:t>
      </w:r>
      <w:r>
        <w:t xml:space="preserve">- Contractual commitments — security obligations derived from customer contracts and partnership agreements</w:t>
      </w:r>
      <w:r>
        <w:t xml:space="preserve"> </w:t>
      </w:r>
      <w:r>
        <w:t xml:space="preserve">- Control framework alignment: TOGAF (enterprise architecture), NIST CSF 2.0 (control mapping), NIST SP 800-207 (Zero Trust)</w:t>
      </w:r>
      <w:r>
        <w:t xml:space="preserve"> </w:t>
      </w:r>
      <w:r>
        <w:t xml:space="preserve">- Six implemented control domains: Identity &amp; Access Management, Privileged Access Management, Application Security Controls, Device Posture Controls, Exposure &amp; Vulnerability Management, Incident Detection &amp; Response</w:t>
      </w:r>
      <w:r>
        <w:t xml:space="preserve"> </w:t>
      </w:r>
      <w:r>
        <w:t xml:space="preserve">- Evidence and assurance model: control evidence artifacts, risk-control-evidence traceability, audit and attestation readiness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Domain-specific control implementation details (covered in respective governance memos: §4–§9)</w:t>
      </w:r>
      <w:r>
        <w:t xml:space="preserve"> </w:t>
      </w:r>
      <w:r>
        <w:t xml:space="preserve">- Legal interpretation of regulatory requirements (deferred to Legal/Compliance counsel)</w:t>
      </w:r>
      <w:r>
        <w:t xml:space="preserve"> </w:t>
      </w:r>
      <w:r>
        <w:t xml:space="preserve">- Non-security regulatory obligations (e.g., financial reporting controls outside IT scope)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§13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CTRL-013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18-regulatory-compliance-alignment.d2</w:t>
      </w:r>
      <w:r>
        <w:t xml:space="preserve"> </w:t>
      </w:r>
      <w:r>
        <w:t xml:space="preserve">- STRIDE ISP — Governance, Risk, and Compliance (GV.RM, GV.OV, RC.CO)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Owns regulatory compliance mapping, manages control narratives, coordinates audit readiness activities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Ensures architecture controls map to regulatory requirements; maintains traceability in the SRA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</w:t>
            </w:r>
          </w:p>
        </w:tc>
        <w:tc>
          <w:tcPr/>
          <w:p>
            <w:pPr>
              <w:pStyle w:val="Compact"/>
            </w:pPr>
            <w:r>
              <w:t xml:space="preserve">Validates control effectiveness, manages risk acceptance register, produces compliance dashboards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Control Owners (IAM, Endpoint, AppSec, VulnMgmt, SecOps)</w:t>
            </w:r>
          </w:p>
        </w:tc>
        <w:tc>
          <w:tcPr/>
          <w:p>
            <w:pPr>
              <w:pStyle w:val="Compact"/>
            </w:pPr>
            <w:r>
              <w:t xml:space="preserve">Produce evidence artifacts within their respective domains for regulatory validation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Advises on regulatory interpretation and breach notification obligations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compliance posture, risk acceptance for unresolved findings, and audit response strategy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Regulatory Compliance Alignment architecture establishes the traceability chain from external regulatory drivers through control frameworks to implemented control domains and evidence assurance:</w:t>
      </w:r>
    </w:p>
    <w:p>
      <w:pPr>
        <w:pStyle w:val="BodyText"/>
      </w:pPr>
      <w:r>
        <w:rPr>
          <w:b/>
          <w:bCs/>
        </w:rPr>
        <w:t xml:space="preserve">Regulatory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SOX (Sarbanes-Oxley)</w:t>
      </w:r>
      <w:r>
        <w:t xml:space="preserve">: IT General Controls requirements for systems supporting financial reporting — logical access, change management, computer operations, and SoD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FERPA (Family Educational Rights and Privacy Act)</w:t>
      </w:r>
      <w:r>
        <w:t xml:space="preserve">: Protection of student education records — access controls, audit logging, disclosure restrictions, and breach notification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Contractual Commitments</w:t>
      </w:r>
      <w:r>
        <w:t xml:space="preserve">: Security obligations in customer contracts and partnership agreements that impose controls beyond baseline regulatory requirements</w:t>
      </w:r>
    </w:p>
    <w:p>
      <w:pPr>
        <w:pStyle w:val="BodyText"/>
      </w:pPr>
      <w:r>
        <w:rPr>
          <w:b/>
          <w:bCs/>
        </w:rPr>
        <w:t xml:space="preserve">Control Frameworks: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TOGAF</w:t>
      </w:r>
      <w:r>
        <w:t xml:space="preserve">: Enterprise architecture methodology guiding the structural organization of the TSRA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NIST CSF 2.0</w:t>
      </w:r>
      <w:r>
        <w:t xml:space="preserve">: Primary control mapping framework — all SRA controls are mapped to CSF subcategories with implementation status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NIST SP 800-207 (Zero Trust)</w:t>
      </w:r>
      <w:r>
        <w:t xml:space="preserve">: Zero Trust principles inform identity-centric access controls (§4), privileged access (§5), and device trust (§6)</w:t>
      </w:r>
    </w:p>
    <w:p>
      <w:pPr>
        <w:pStyle w:val="BodyText"/>
      </w:pPr>
      <w:r>
        <w:rPr>
          <w:b/>
          <w:bCs/>
        </w:rPr>
        <w:t xml:space="preserve">Implemented Control Domains:</w:t>
      </w:r>
      <w:r>
        <w:t xml:space="preserve"> </w:t>
      </w:r>
      <w:r>
        <w:t xml:space="preserve">Each regulatory requirement maps through the control frameworks to one or more of six implemented control domains: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Key SOX Relevance</w:t>
            </w:r>
          </w:p>
        </w:tc>
        <w:tc>
          <w:tcPr/>
          <w:p>
            <w:pPr>
              <w:pStyle w:val="Compact"/>
            </w:pPr>
            <w:r>
              <w:t xml:space="preserve">Key FERPA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Access Management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Entra ID, Okta CIAM, SailPoint</w:t>
            </w:r>
          </w:p>
        </w:tc>
        <w:tc>
          <w:tcPr/>
          <w:p>
            <w:pPr>
              <w:pStyle w:val="Compact"/>
            </w:pPr>
            <w:r>
              <w:t xml:space="preserve">Logical access, user account management, SoD</w:t>
            </w:r>
          </w:p>
        </w:tc>
        <w:tc>
          <w:tcPr/>
          <w:p>
            <w:pPr>
              <w:pStyle w:val="Compact"/>
            </w:pPr>
            <w:r>
              <w:t xml:space="preserve">Access to student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Access Management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Delinea, Entra PIM</w:t>
            </w:r>
          </w:p>
        </w:tc>
        <w:tc>
          <w:tcPr/>
          <w:p>
            <w:pPr>
              <w:pStyle w:val="Compact"/>
            </w:pPr>
            <w:r>
              <w:t xml:space="preserve">Privileged access restriction and monitoring</w:t>
            </w:r>
          </w:p>
        </w:tc>
        <w:tc>
          <w:tcPr/>
          <w:p>
            <w:pPr>
              <w:pStyle w:val="Compact"/>
            </w:pPr>
            <w:r>
              <w:t xml:space="preserve">Admin access to student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Posture Controls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CrowdStrike, Defender</w:t>
            </w:r>
          </w:p>
        </w:tc>
        <w:tc>
          <w:tcPr/>
          <w:p>
            <w:pPr>
              <w:pStyle w:val="Compact"/>
            </w:pPr>
            <w:r>
              <w:t xml:space="preserve">Endpoint protection for financial systems</w:t>
            </w:r>
          </w:p>
        </w:tc>
        <w:tc>
          <w:tcPr/>
          <w:p>
            <w:pPr>
              <w:pStyle w:val="Compact"/>
            </w:pPr>
            <w:r>
              <w:t xml:space="preserve">Device controls for FERPA-scope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&amp; Vulnerability Mgmt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Tenable VM, CSPM</w:t>
            </w:r>
          </w:p>
        </w:tc>
        <w:tc>
          <w:tcPr/>
          <w:p>
            <w:pPr>
              <w:pStyle w:val="Compact"/>
            </w:pPr>
            <w:r>
              <w:t xml:space="preserve">IT risk assessment, secure configuration</w:t>
            </w:r>
          </w:p>
        </w:tc>
        <w:tc>
          <w:tcPr/>
          <w:p>
            <w:pPr>
              <w:pStyle w:val="Compact"/>
            </w:pPr>
            <w:r>
              <w:t xml:space="preserve">Vulnerability management for student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Security Controls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Sonatype, Burp Suite, Salt</w:t>
            </w:r>
          </w:p>
        </w:tc>
        <w:tc>
          <w:tcPr/>
          <w:p>
            <w:pPr>
              <w:pStyle w:val="Compact"/>
            </w:pPr>
            <w:r>
              <w:t xml:space="preserve">Program change management, code security</w:t>
            </w:r>
          </w:p>
        </w:tc>
        <w:tc>
          <w:tcPr/>
          <w:p>
            <w:pPr>
              <w:pStyle w:val="Compact"/>
            </w:pPr>
            <w:r>
              <w:t xml:space="preserve">Application testing for student data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Detection &amp; Response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ServiceNow SecOps</w:t>
            </w:r>
          </w:p>
        </w:tc>
        <w:tc>
          <w:tcPr/>
          <w:p>
            <w:pPr>
              <w:pStyle w:val="Compact"/>
            </w:pPr>
            <w:r>
              <w:t xml:space="preserve">Monitoring, incident response, evidence</w:t>
            </w:r>
          </w:p>
        </w:tc>
        <w:tc>
          <w:tcPr/>
          <w:p>
            <w:pPr>
              <w:pStyle w:val="Compact"/>
            </w:pPr>
            <w:r>
              <w:t xml:space="preserve">Incident handling for student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and Assurance: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Evidence Artifacts</w:t>
      </w:r>
      <w:r>
        <w:t xml:space="preserve">: Each domain control owner produces evidence artifacts (policy exports, scan reports, audit logs, certification records) that validate control effectiveness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Risk-Control-Evidence Traceability</w:t>
      </w:r>
      <w:r>
        <w:t xml:space="preserve">: The SRA Control Register (</w:t>
      </w:r>
      <w:r>
        <w:rPr>
          <w:rStyle w:val="VerbatimChar"/>
        </w:rPr>
        <w:t xml:space="preserve">SRA_Control_Register.xlsx</w:t>
      </w:r>
      <w:r>
        <w:t xml:space="preserve">) provides bidirectional traceability from regulatory requirements → NIST CSF subcategories → SRA controls → evidence 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and Attestation Readiness</w:t>
      </w:r>
      <w:r>
        <w:t xml:space="preserve">: Evidence is organized for assessor consumption with defined retention periods, artifact locations, and verification dates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All domain governance memos providing evidence: §4, §5, §6, §7, §8, §9</w:t>
      </w:r>
      <w:r>
        <w:t xml:space="preserve"> </w:t>
      </w:r>
      <w:r>
        <w:t xml:space="preserve">- NIST CSF 2.0 outcome mapping: SRA §10</w:t>
      </w:r>
      <w:r>
        <w:t xml:space="preserve"> </w:t>
      </w:r>
      <w:r>
        <w:t xml:space="preserve">- KPI framework for compliance metrics: SRA §12</w:t>
      </w:r>
      <w:r>
        <w:t xml:space="preserve"> </w:t>
      </w:r>
      <w:r>
        <w:t xml:space="preserve">- Executive governance oversight: SRA §1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18-regulatory-compliance-alignment.d2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GV.RM-03</w:t>
            </w:r>
          </w:p>
        </w:tc>
        <w:tc>
          <w:tcPr/>
          <w:p>
            <w:pPr>
              <w:pStyle w:val="Compact"/>
            </w:pPr>
            <w:r>
              <w:t xml:space="preserve">Govern</w:t>
            </w:r>
          </w:p>
        </w:tc>
        <w:tc>
          <w:tcPr/>
          <w:p>
            <w:pPr>
              <w:pStyle w:val="Compact"/>
            </w:pPr>
            <w:r>
              <w:t xml:space="preserve">Cybersecurity risk management activities and outcomes are included in enterprise risk management processes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GV.OV-03</w:t>
            </w:r>
          </w:p>
        </w:tc>
        <w:tc>
          <w:tcPr/>
          <w:p>
            <w:pPr>
              <w:pStyle w:val="Compact"/>
            </w:pPr>
            <w:r>
              <w:t xml:space="preserve">Govern</w:t>
            </w:r>
          </w:p>
        </w:tc>
        <w:tc>
          <w:tcPr/>
          <w:p>
            <w:pPr>
              <w:pStyle w:val="Compact"/>
            </w:pPr>
            <w:r>
              <w:t xml:space="preserve">Risk management strategy and results are documented and developed through a coordinated approach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RC.CO-03</w:t>
            </w:r>
          </w:p>
        </w:tc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Recovery activities and progress are communicated to designated internal and external stakeholders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CTRL-013.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GV.RM-03</w:t>
      </w:r>
      <w:r>
        <w:t xml:space="preserve">: Cybersecurity risk management is integrated into the TSRA governance model, and control outcomes are tracked in the SRA Control Register. Gap: formal integration with enterprise risk management (ERM) processes beyond IT security is in progress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GV.OV-03</w:t>
      </w:r>
      <w:r>
        <w:t xml:space="preserve">: Risk management strategy is documented through the TSRA and governance memos; results are tracked via the control register and KPI framework. Gap: automated compliance dashboarding that consolidates domain-level evidence into a single view is not yet operational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RC.CO-03</w:t>
      </w:r>
      <w:r>
        <w:t xml:space="preserve">: Recovery communication protocols exist for major incidents. Gap: structured regulatory notification workflows (especially FERPA breach notification) need formalization and testing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CTRL-013</w:t>
            </w:r>
          </w:p>
        </w:tc>
        <w:tc>
          <w:tcPr/>
          <w:p>
            <w:pPr>
              <w:pStyle w:val="Compact"/>
            </w:pPr>
            <w:r>
              <w:t xml:space="preserve">Regulatory compliance controls including SOX ITGC alignment, FERPA compliance, control narratives, evidence traceability, and audit readiness</w:t>
            </w:r>
          </w:p>
        </w:tc>
        <w:tc>
          <w:tcPr/>
          <w:p>
            <w:pPr>
              <w:pStyle w:val="Compact"/>
            </w:pPr>
            <w:r>
              <w:t xml:space="preserve">Compliance framework; SRA Control Register</w:t>
            </w:r>
          </w:p>
        </w:tc>
        <w:tc>
          <w:tcPr/>
          <w:p>
            <w:pPr>
              <w:pStyle w:val="Compact"/>
            </w:pPr>
            <w:r>
              <w:t xml:space="preserve">Compliance control narratives; audit workpapers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SRA controls must maintain documented traceability from regulatory requirements through NIST CSF 2.0 subcategories to implementation and evidence artifacts</w:t>
      </w:r>
      <w:r>
        <w:t xml:space="preserve"> </w:t>
      </w:r>
      <w:r>
        <w:t xml:space="preserve">2. SOX ITGC control narratives must be reviewed and updated annually, or upon material changes to underlying systems or controls</w:t>
      </w:r>
      <w:r>
        <w:t xml:space="preserve"> </w:t>
      </w:r>
      <w:r>
        <w:t xml:space="preserve">3. FERPA compliance documentation must include access control inventories, audit logging confirmation, and breach notification procedures for all systems processing student data</w:t>
      </w:r>
      <w:r>
        <w:t xml:space="preserve"> </w:t>
      </w:r>
      <w:r>
        <w:t xml:space="preserve">4. Evidence artifacts must be organized by control domain with defined artifact locations, retention periods, and last-verified dates in the SRA Control Register</w:t>
      </w:r>
      <w:r>
        <w:t xml:space="preserve"> </w:t>
      </w:r>
      <w:r>
        <w:t xml:space="preserve">5. Compliance gaps identified through audit or self-assessment must be tracked in the risk acceptance register with remediation plans and target dates</w:t>
      </w:r>
      <w:r>
        <w:t xml:space="preserve"> </w:t>
      </w:r>
      <w:r>
        <w:t xml:space="preserve">6. Annual compliance readiness assessments must be conducted prior to external audit cycles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NIST CSF 2.0 subcategory mapping complete for all 14 SRA sections; SRA Control Register with evidence traceability; SOX ITGC control narratives for identity and access domains; FERPA access control documentation for primary student-facing applications; audit-ready governance memo framework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Evidence automation for domain control artifacts; compliance dashboard consolidation; FERPA breach notification workflow formalization; SOX ITGC narrative expansion to Tenable and ServiceNow domains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Automated evidence collection and freshness monitoring; GRC platform integration (e.g., ServiceNow GRC module); contractual commitment compliance tracking automation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— cross-cutting governance strand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ITGC narrative expansion (all domains)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 breach notification workflow formalization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automation for domain artifacts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dashboard consolidation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platform integration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evidence freshness monitoring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Contractual commitment tracking automation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ITGC control narrative currency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narratives reviewed within trailing 12 months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 compliance documentation completeness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FERPA-scope systems with documented access controls and audit logging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artifact freshness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95% of evidence artifacts verified within defined cadence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GRC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gap remediation rate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100% of identified gaps with active remediation plans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GRC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finding closure rate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≥ 90% of findings remediated within agreed timelines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acceptance register currency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0 expired acceptances without renewal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GRC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Overall IT control environment: an IT control framework must exist with documented controls, risk assessments, monitoring, and management oversight</w:t>
            </w:r>
          </w:p>
        </w:tc>
        <w:tc>
          <w:tcPr/>
          <w:p>
            <w:pPr>
              <w:pStyle w:val="Compact"/>
            </w:pPr>
            <w:r>
              <w:t xml:space="preserve">§13, CTRL-013</w:t>
            </w:r>
          </w:p>
        </w:tc>
        <w:tc>
          <w:tcPr/>
          <w:p>
            <w:pPr>
              <w:pStyle w:val="Compact"/>
            </w:pPr>
            <w:r>
              <w:t xml:space="preserve">TSRA architecture document; SRA Control Register; governance memo set; NIST CSF 2.0 mapping; executive review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Internal audit coordination: IT controls must be assessed for design and operating effectiveness</w:t>
            </w:r>
          </w:p>
        </w:tc>
        <w:tc>
          <w:tcPr/>
          <w:p>
            <w:pPr>
              <w:pStyle w:val="Compact"/>
            </w:pPr>
            <w:r>
              <w:t xml:space="preserve">§13, CTRL-013</w:t>
            </w:r>
          </w:p>
        </w:tc>
        <w:tc>
          <w:tcPr/>
          <w:p>
            <w:pPr>
              <w:pStyle w:val="Compact"/>
            </w:pPr>
            <w:r>
              <w:t xml:space="preserve">Control self-assessment results; evidence traceability matrix; audit workpapers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Institutional safeguards: reasonable methods must be used to ensure the security and confidentiality of education records</w:t>
            </w:r>
          </w:p>
        </w:tc>
        <w:tc>
          <w:tcPr/>
          <w:p>
            <w:pPr>
              <w:pStyle w:val="Compact"/>
            </w:pPr>
            <w:r>
              <w:t xml:space="preserve">§13, CTRL-013</w:t>
            </w:r>
          </w:p>
        </w:tc>
        <w:tc>
          <w:tcPr/>
          <w:p>
            <w:pPr>
              <w:pStyle w:val="Compact"/>
            </w:pPr>
            <w:r>
              <w:t xml:space="preserve">FERPA control inventory; access control documentation; audit logging confirmation; breach notification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Breach notification: institutions must notify affected parties in a timely manner following a breach of student records</w:t>
            </w:r>
          </w:p>
        </w:tc>
        <w:tc>
          <w:tcPr/>
          <w:p>
            <w:pPr>
              <w:pStyle w:val="Compact"/>
            </w:pPr>
            <w:r>
              <w:t xml:space="preserve">§13, CTRL-013</w:t>
            </w:r>
          </w:p>
        </w:tc>
        <w:tc>
          <w:tcPr/>
          <w:p>
            <w:pPr>
              <w:pStyle w:val="Compact"/>
            </w:pPr>
            <w:r>
              <w:t xml:space="preserve">Breach notification procedures; incident response integration (SRA §9); notification testing records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§13.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CTRL-013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GV.RM-03, GV.OV-03, RC.CO-03</w:t>
            </w:r>
          </w:p>
        </w:tc>
        <w:tc>
          <w:tcPr/>
          <w:p>
            <w:pPr>
              <w:pStyle w:val="Compact"/>
            </w:pPr>
            <w:r>
              <w:t xml:space="preserve">Compliance control narratives; audit workpapers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Compliance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2026-03-03T03:33:36Z</dcterms:created>
  <dcterms:modified xsi:type="dcterms:W3CDTF">2026-03-03T03:33:36Z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