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cc2426704de371a43643fcf085cf8bb63d5a2da"/>
    <w:p>
      <w:pPr>
        <w:pStyle w:val="Heading1"/>
      </w:pPr>
      <w:r>
        <w:t xml:space="preserve">Governance Memo: SRA §5 — Privileged Trust Architecture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 / Controlled</w:t>
      </w:r>
      <w:r>
        <w:br/>
      </w:r>
      <w:r>
        <w:rPr>
          <w:b/>
          <w:bCs/>
        </w:rPr>
        <w:t xml:space="preserve">SRA Section Reference:</w:t>
      </w:r>
      <w:r>
        <w:t xml:space="preserve"> </w:t>
      </w:r>
      <w:r>
        <w:t xml:space="preserve">§5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— 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2, 2026</w:t>
      </w:r>
      <w:r>
        <w:br/>
      </w:r>
      <w:r>
        <w:rPr>
          <w:b/>
          <w:bCs/>
        </w:rPr>
        <w:t xml:space="preserve">Control Owner:</w:t>
      </w:r>
      <w:r>
        <w:t xml:space="preserve"> </w:t>
      </w:r>
      <w:r>
        <w:t xml:space="preserve">IAM + Security Operations</w:t>
      </w:r>
      <w:r>
        <w:br/>
      </w:r>
      <w:r>
        <w:rPr>
          <w:b/>
          <w:bCs/>
        </w:rPr>
        <w:t xml:space="preserve">Approved By:</w:t>
      </w:r>
      <w:r>
        <w:t xml:space="preserve"> </w:t>
      </w:r>
      <w:r>
        <w:rPr>
          <w:i/>
          <w:iCs/>
        </w:rPr>
        <w:t xml:space="preserve">[Pending — Executive Security Leadership]</w:t>
      </w:r>
    </w:p>
    <w:p>
      <w:r>
        <w:pict>
          <v:rect style="width:0;height:1.5pt" o:hralign="center" o:hrstd="t" o:hr="t"/>
        </w:pict>
      </w:r>
    </w:p>
    <w:bookmarkStart w:id="9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governance memo establishes the security architecture governance position for</w:t>
      </w:r>
      <w:r>
        <w:t xml:space="preserve"> </w:t>
      </w:r>
      <w:r>
        <w:rPr>
          <w:b/>
          <w:bCs/>
        </w:rPr>
        <w:t xml:space="preserve">Privileged Trust</w:t>
      </w:r>
      <w:r>
        <w:t xml:space="preserve"> </w:t>
      </w:r>
      <w:r>
        <w:t xml:space="preserve">as defined in the Trust Security Reference Architecture (TSRA), Section §5 — Privileged Trust (Delinea and Entra PIM).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- All privileged access management (PAM) capabilities including just-in-time (JIT) elevation, session recording, and role governance</w:t>
      </w:r>
      <w:r>
        <w:t xml:space="preserve"> </w:t>
      </w:r>
      <w:r>
        <w:t xml:space="preserve">- Delinea Secret Server / Privilege Manager for vault-based credential management</w:t>
      </w:r>
      <w:r>
        <w:t xml:space="preserve"> </w:t>
      </w:r>
      <w:r>
        <w:t xml:space="preserve">- Microsoft Entra Privileged Identity Management (PIM) for Azure AD role activation</w:t>
      </w:r>
      <w:r>
        <w:t xml:space="preserve"> </w:t>
      </w:r>
      <w:r>
        <w:t xml:space="preserve">- Applicable to all staff personas with elevated or administrative access (ref: SRA §3)</w:t>
      </w:r>
    </w:p>
    <w:p>
      <w:pPr>
        <w:pStyle w:val="BodyText"/>
      </w:pPr>
      <w:r>
        <w:rPr>
          <w:b/>
          <w:bCs/>
        </w:rPr>
        <w:t xml:space="preserve">Exclusions:</w:t>
      </w:r>
      <w:r>
        <w:t xml:space="preserve"> </w:t>
      </w:r>
      <w:r>
        <w:t xml:space="preserve">- Standard user access controls (covered under SRA §4 — Identity and Access Architecture)</w:t>
      </w:r>
      <w:r>
        <w:t xml:space="preserve"> </w:t>
      </w:r>
      <w:r>
        <w:t xml:space="preserve">- Service account management beyond privileged scope (future roadmap item)</w:t>
      </w:r>
    </w:p>
    <w:p>
      <w:pPr>
        <w:pStyle w:val="BodyText"/>
      </w:pPr>
      <w:r>
        <w:rPr>
          <w:b/>
          <w:bCs/>
        </w:rPr>
        <w:t xml:space="preserve">Authoritative References:</w:t>
      </w:r>
      <w:r>
        <w:t xml:space="preserve"> </w:t>
      </w:r>
      <w:r>
        <w:t xml:space="preserve">- Trust Security Reference Architecture (TSRA), §5</w:t>
      </w:r>
      <w:r>
        <w:t xml:space="preserve"> </w:t>
      </w:r>
      <w:r>
        <w:t xml:space="preserve">- SRA Control Register (</w:t>
      </w:r>
      <w:r>
        <w:rPr>
          <w:rStyle w:val="VerbatimChar"/>
        </w:rPr>
        <w:t xml:space="preserve">SRA_Control_Register.xlsx</w:t>
      </w:r>
      <w:r>
        <w:t xml:space="preserve">), Control ID: CTRL-005</w:t>
      </w:r>
      <w:r>
        <w:t xml:space="preserve"> </w:t>
      </w:r>
      <w:r>
        <w:t xml:space="preserve">- D2 Architecture Diagram:</w:t>
      </w:r>
      <w:r>
        <w:t xml:space="preserve"> </w:t>
      </w:r>
      <w:r>
        <w:rPr>
          <w:rStyle w:val="VerbatimChar"/>
        </w:rPr>
        <w:t xml:space="preserve">09-privileged-trust-architecture.d2</w:t>
      </w:r>
      <w:r>
        <w:t xml:space="preserve"> </w:t>
      </w:r>
      <w:r>
        <w:t xml:space="preserve">- STRIDE ISP 4.1 — Identity Management, Authentication, and Access Control (PR.AA)</w:t>
      </w:r>
    </w:p>
    <w:p>
      <w:r>
        <w:pict>
          <v:rect style="width:0;height:1.5pt" o:hralign="center" o:hrstd="t" o:hr="t"/>
        </w:pict>
      </w:r>
    </w:p>
    <w:bookmarkEnd w:id="9"/>
    <w:bookmarkStart w:id="10" w:name="governance-authority"/>
    <w:p>
      <w:pPr>
        <w:pStyle w:val="Heading2"/>
      </w:pPr>
      <w:r>
        <w:t xml:space="preserve">2. Governance Authority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RACI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 + Security Operations</w:t>
            </w:r>
          </w:p>
        </w:tc>
        <w:tc>
          <w:tcPr/>
          <w:p>
            <w:pPr>
              <w:pStyle w:val="Compact"/>
            </w:pPr>
            <w:r>
              <w:t xml:space="preserve">Owns privileged access controls, manages PIM/PAM platforms, produces evidence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t xml:space="preserve">Defines privileged trust architecture standards and reviews design decisions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Operations</w:t>
            </w:r>
          </w:p>
        </w:tc>
        <w:tc>
          <w:tcPr/>
          <w:p>
            <w:pPr>
              <w:pStyle w:val="Compact"/>
            </w:pPr>
            <w:r>
              <w:t xml:space="preserve">Monitors privileged session activity, escalates anomalies</w:t>
            </w:r>
          </w:p>
        </w:tc>
        <w:tc>
          <w:tcPr/>
          <w:p>
            <w:pPr>
              <w:pStyle w:val="Compact"/>
            </w:pPr>
            <w:r>
              <w:t xml:space="preserve">Consulted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GRC / Compliance</w:t>
            </w:r>
          </w:p>
        </w:tc>
        <w:tc>
          <w:tcPr/>
          <w:p>
            <w:pPr>
              <w:pStyle w:val="Compact"/>
            </w:pPr>
            <w:r>
              <w:t xml:space="preserve">Validates SOX ITGC alignment for privileged access; reviews audit evidence</w:t>
            </w:r>
          </w:p>
        </w:tc>
        <w:tc>
          <w:tcPr/>
          <w:p>
            <w:pPr>
              <w:pStyle w:val="Compact"/>
            </w:pPr>
            <w:r>
              <w:t xml:space="preserve">Informed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Security Leadership</w:t>
            </w:r>
          </w:p>
        </w:tc>
        <w:tc>
          <w:tcPr/>
          <w:p>
            <w:pPr>
              <w:pStyle w:val="Compact"/>
            </w:pPr>
            <w:r>
              <w:t xml:space="preserve">Approves governance position and any risk acceptance for deferred controls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</w:tbl>
    <w:p>
      <w:pPr>
        <w:pStyle w:val="BodyText"/>
      </w:pPr>
      <w:r>
        <w:rPr>
          <w:i/>
          <w:iCs/>
        </w:rPr>
        <w:t xml:space="preserve">RACI assignments align to STRIDE GV.RR policy intent.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-summary"/>
    <w:p>
      <w:pPr>
        <w:pStyle w:val="Heading2"/>
      </w:pPr>
      <w:r>
        <w:t xml:space="preserve">3. Architecture Summary</w:t>
      </w:r>
    </w:p>
    <w:p>
      <w:pPr>
        <w:pStyle w:val="FirstParagraph"/>
      </w:pPr>
      <w:r>
        <w:t xml:space="preserve">The Privileged Trust Architecture implements a layered approach to controlling elevated access across the Stride environment:</w:t>
      </w:r>
    </w:p>
    <w:p>
      <w:pPr>
        <w:pStyle w:val="BodyText"/>
      </w:pPr>
      <w:r>
        <w:rPr>
          <w:b/>
          <w:bCs/>
        </w:rPr>
        <w:t xml:space="preserve">Delinea (Secret Server / Privilege Manager):</w:t>
      </w:r>
      <w:r>
        <w:t xml:space="preserve"> </w:t>
      </w:r>
      <w:r>
        <w:t xml:space="preserve">- Vault-based credential storage and rotation for infrastructure and application administrator accounts</w:t>
      </w:r>
      <w:r>
        <w:t xml:space="preserve"> </w:t>
      </w:r>
      <w:r>
        <w:t xml:space="preserve">- Session recording and privileged session management for auditability</w:t>
      </w:r>
      <w:r>
        <w:t xml:space="preserve"> </w:t>
      </w:r>
      <w:r>
        <w:t xml:space="preserve">- Just-in-time checkout with time-limited credential access and automatic revocation</w:t>
      </w:r>
    </w:p>
    <w:p>
      <w:pPr>
        <w:pStyle w:val="BodyText"/>
      </w:pPr>
      <w:r>
        <w:rPr>
          <w:b/>
          <w:bCs/>
        </w:rPr>
        <w:t xml:space="preserve">Microsoft Entra PIM:</w:t>
      </w:r>
      <w:r>
        <w:t xml:space="preserve"> </w:t>
      </w:r>
      <w:r>
        <w:t xml:space="preserve">- Role-based activation for Azure AD administrative roles (Global Admin, Exchange Admin, Security Admin, etc.)</w:t>
      </w:r>
      <w:r>
        <w:t xml:space="preserve"> </w:t>
      </w:r>
      <w:r>
        <w:t xml:space="preserve">- Activation requires MFA step-up and approval workflow for high-risk roles</w:t>
      </w:r>
      <w:r>
        <w:t xml:space="preserve"> </w:t>
      </w:r>
      <w:r>
        <w:t xml:space="preserve">- Time-bounded role assignments with automatic deactivation</w:t>
      </w:r>
      <w:r>
        <w:t xml:space="preserve"> </w:t>
      </w:r>
      <w:r>
        <w:t xml:space="preserve">- Audit logging of all PIM activations and approvals</w:t>
      </w:r>
    </w:p>
    <w:p>
      <w:pPr>
        <w:pStyle w:val="BodyText"/>
      </w:pPr>
      <w:r>
        <w:rPr>
          <w:b/>
          <w:bCs/>
        </w:rPr>
        <w:t xml:space="preserve">Trust Decision Integration:</w:t>
      </w:r>
      <w:r>
        <w:t xml:space="preserve"> </w:t>
      </w:r>
      <w:r>
        <w:t xml:space="preserve">- Privileged access requests feed into the Trust Decision Plane (SRA §2) as high-assurance signals</w:t>
      </w:r>
      <w:r>
        <w:t xml:space="preserve"> </w:t>
      </w:r>
      <w:r>
        <w:t xml:space="preserve">- Conditional Access policies at the</w:t>
      </w:r>
      <w:r>
        <w:t xml:space="preserve"> </w:t>
      </w:r>
      <w:r>
        <w:rPr>
          <w:b/>
          <w:bCs/>
        </w:rPr>
        <w:t xml:space="preserve">Privileged Access</w:t>
      </w:r>
      <w:r>
        <w:t xml:space="preserve"> </w:t>
      </w:r>
      <w:r>
        <w:t xml:space="preserve">tier require: device compliance, CrowdStrike active, strong MFA (FIDO/WHfB), 15-minute session timeout, and re-authentication every session (ref: SRA §4,</w:t>
      </w:r>
      <w:r>
        <w:t xml:space="preserve"> </w:t>
      </w:r>
      <w:r>
        <w:rPr>
          <w:rStyle w:val="VerbatimChar"/>
        </w:rPr>
        <w:t xml:space="preserve">05-staff-conditional-access-policy-matrix.d2</w:t>
      </w:r>
      <w:r>
        <w:t xml:space="preserve">)</w:t>
      </w:r>
      <w:r>
        <w:t xml:space="preserve"> </w:t>
      </w:r>
      <w:r>
        <w:t xml:space="preserve">- Privileged session telemetry is forwarded to the operational trust layer for incident correlation (ref: SRA §9)</w:t>
      </w:r>
    </w:p>
    <w:p>
      <w:pPr>
        <w:pStyle w:val="Block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- Trust model and policy engine: SRA §2</w:t>
      </w:r>
      <w:r>
        <w:t xml:space="preserve"> </w:t>
      </w:r>
      <w:r>
        <w:t xml:space="preserve">- Persona-specific boundaries (staff privileged): SRA §3</w:t>
      </w:r>
      <w:r>
        <w:t xml:space="preserve"> </w:t>
      </w:r>
      <w:r>
        <w:t xml:space="preserve">- Conditional Access privileged tier: SRA §4 (</w:t>
      </w:r>
      <w:r>
        <w:rPr>
          <w:rStyle w:val="VerbatimChar"/>
        </w:rPr>
        <w:t xml:space="preserve">05-staff-conditional-access-policy-matrix.d2</w:t>
      </w:r>
      <w:r>
        <w:t xml:space="preserve">)</w:t>
      </w:r>
      <w:r>
        <w:t xml:space="preserve"> </w:t>
      </w:r>
      <w:r>
        <w:t xml:space="preserve">- Device compliance signals: SRA §6</w:t>
      </w:r>
      <w:r>
        <w:t xml:space="preserve"> </w:t>
      </w:r>
      <w:r>
        <w:t xml:space="preserve">- Operational correlation: SRA §9</w:t>
      </w:r>
    </w:p>
    <w:p>
      <w:pPr>
        <w:pStyle w:val="FirstParagraph"/>
      </w:pPr>
      <w:r>
        <w:rPr>
          <w:b/>
          <w:bCs/>
        </w:rPr>
        <w:t xml:space="preserve">Current-State Architecture Diagram:</w:t>
      </w:r>
    </w:p>
    <w:p>
      <w:pPr>
        <w:pStyle w:val="BlockText"/>
      </w:pPr>
      <w:r>
        <w:t xml:space="preserve">See:</w:t>
      </w:r>
      <w:r>
        <w:t xml:space="preserve"> </w:t>
      </w:r>
      <w:r>
        <w:rPr>
          <w:rStyle w:val="VerbatimChar"/>
        </w:rPr>
        <w:t xml:space="preserve">09-privileged-trust-architecture.d2</w:t>
      </w:r>
      <w:r>
        <w:t xml:space="preserve"> </w:t>
      </w:r>
      <w:r>
        <w:t xml:space="preserve">(rendered in</w:t>
      </w:r>
      <w:r>
        <w:t xml:space="preserve"> </w:t>
      </w:r>
      <w:r>
        <w:rPr>
          <w:rStyle w:val="VerbatimChar"/>
        </w:rPr>
        <w:t xml:space="preserve">rendering_svg_v3/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rendering_png_v3/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Start w:id="12" w:name="nist-csf-2.0-alignment"/>
    <w:p>
      <w:pPr>
        <w:pStyle w:val="Heading2"/>
      </w:pPr>
      <w:r>
        <w:t xml:space="preserve">4. NIST CSF 2.0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NIST CSF 2.0 ID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Subcategory Description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PR.AA-05</w:t>
            </w:r>
          </w:p>
        </w:tc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Access permissions and authorizations are defined using least privilege and separation of duties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PR.PS-02</w:t>
            </w:r>
          </w:p>
        </w:tc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Software is maintained, replaced, and removed in a timely manner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DE.CM-03</w:t>
            </w:r>
          </w:p>
        </w:tc>
        <w:tc>
          <w:tcPr/>
          <w:p>
            <w:pPr>
              <w:pStyle w:val="Compact"/>
            </w:pPr>
            <w:r>
              <w:t xml:space="preserve">Detect</w:t>
            </w:r>
          </w:p>
        </w:tc>
        <w:tc>
          <w:tcPr/>
          <w:p>
            <w:pPr>
              <w:pStyle w:val="Compact"/>
            </w:pPr>
            <w:r>
              <w:t xml:space="preserve">Personnel activity and technology usage are monitored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Control Register,</w:t>
      </w:r>
      <w:r>
        <w:rPr>
          <w:i/>
          <w:iCs/>
        </w:rPr>
        <w:t xml:space="preserve"> </w:t>
      </w:r>
      <w:r>
        <w:rPr>
          <w:i/>
          <w:iCs/>
        </w:rPr>
        <w:t xml:space="preserve">“NIST CSF Crosswalk”</w:t>
      </w:r>
      <w:r>
        <w:rPr>
          <w:i/>
          <w:iCs/>
        </w:rPr>
        <w:t xml:space="preserve"> </w:t>
      </w:r>
      <w:r>
        <w:rPr>
          <w:i/>
          <w:iCs/>
        </w:rPr>
        <w:t xml:space="preserve">sheet, filtered to CTRL-005.</w:t>
      </w:r>
    </w:p>
    <w:p>
      <w:pPr>
        <w:pStyle w:val="BodyText"/>
      </w:pPr>
      <w:r>
        <w:rPr>
          <w:b/>
          <w:bCs/>
        </w:rPr>
        <w:t xml:space="preserve">Gap Notes: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PR.AA-05</w:t>
      </w:r>
      <w:r>
        <w:t xml:space="preserve">: Least-privilege role definitions are in place for Entra PIM; Delinea role scoping is operational but requires periodic access certification automation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PR.PS-02</w:t>
      </w:r>
      <w:r>
        <w:t xml:space="preserve">: Delinea credential rotation is automated; Entra PIM role lifecycle management is partially manual for custom roles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DE.CM-03</w:t>
      </w:r>
      <w:r>
        <w:t xml:space="preserve">: Session recording is active in Delinea; Entra PIM audit logs feed SIEM, but advanced analytics (UEBA) for privileged behavior is a future-state enhancement</w:t>
      </w:r>
    </w:p>
    <w:p>
      <w:r>
        <w:pict>
          <v:rect style="width:0;height:1.5pt" o:hralign="center" o:hrstd="t" o:hr="t"/>
        </w:pict>
      </w:r>
    </w:p>
    <w:bookmarkEnd w:id="12"/>
    <w:bookmarkStart w:id="13" w:name="control-objectives-and-requirements"/>
    <w:p>
      <w:pPr>
        <w:pStyle w:val="Heading2"/>
      </w:pPr>
      <w:r>
        <w:t xml:space="preserve">5. Control Objectives and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Control Description</w:t>
            </w:r>
          </w:p>
        </w:tc>
        <w:tc>
          <w:tcPr/>
          <w:p>
            <w:pPr>
              <w:pStyle w:val="Compact"/>
            </w:pPr>
            <w:r>
              <w:t xml:space="preserve">Primary Tooling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CTRL-005</w:t>
            </w:r>
          </w:p>
        </w:tc>
        <w:tc>
          <w:tcPr/>
          <w:p>
            <w:pPr>
              <w:pStyle w:val="Compact"/>
            </w:pPr>
            <w:r>
              <w:t xml:space="preserve">Privileged access controls including just-in-time elevation, session monitoring, and PIM role governance</w:t>
            </w:r>
          </w:p>
        </w:tc>
        <w:tc>
          <w:tcPr/>
          <w:p>
            <w:pPr>
              <w:pStyle w:val="Compact"/>
            </w:pPr>
            <w:r>
              <w:t xml:space="preserve">Delinea; Entra PIM</w:t>
            </w:r>
          </w:p>
        </w:tc>
        <w:tc>
          <w:tcPr/>
          <w:p>
            <w:pPr>
              <w:pStyle w:val="Compact"/>
            </w:pPr>
            <w:r>
              <w:t xml:space="preserve">PIM role assignments; privileged session audit logs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Requirements:</w:t>
      </w:r>
      <w:r>
        <w:t xml:space="preserve"> </w:t>
      </w:r>
      <w:r>
        <w:t xml:space="preserve">1. All administrative access must be provisioned through JIT activation (Entra PIM) or time-limited checkout (Delinea) — standing privileges are prohibited for Tier 0/1 roles</w:t>
      </w:r>
      <w:r>
        <w:t xml:space="preserve"> </w:t>
      </w:r>
      <w:r>
        <w:t xml:space="preserve">2. Privileged sessions for infrastructure accounts must be recorded and retrievable for 12 months minimum</w:t>
      </w:r>
      <w:r>
        <w:t xml:space="preserve"> </w:t>
      </w:r>
      <w:r>
        <w:t xml:space="preserve">3. PIM role activations for high-risk Azure AD roles require approval from a second authorized administrator</w:t>
      </w:r>
      <w:r>
        <w:t xml:space="preserve"> </w:t>
      </w:r>
      <w:r>
        <w:t xml:space="preserve">4. Credential rotation for vaulted accounts must occur at policy-defined intervals (90 days maximum, 30 days for Tier 0)</w:t>
      </w:r>
      <w:r>
        <w:t xml:space="preserve"> </w:t>
      </w:r>
      <w:r>
        <w:t xml:space="preserve">5. Monthly access certification reviews must validate that privileged role assignments remain appropriate</w:t>
      </w:r>
    </w:p>
    <w:p>
      <w:r>
        <w:pict>
          <v:rect style="width:0;height:1.5pt" o:hralign="center" o:hrstd="t" o:hr="t"/>
        </w:pict>
      </w:r>
    </w:p>
    <w:bookmarkEnd w:id="13"/>
    <w:bookmarkStart w:id="14" w:name="implementation-status-and-roadmap"/>
    <w:p>
      <w:pPr>
        <w:pStyle w:val="Heading2"/>
      </w:pPr>
      <w:r>
        <w:t xml:space="preserve">6. Implementation Status and Roadmap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Partially Implemented</w:t>
      </w:r>
    </w:p>
    <w:p>
      <w:pPr>
        <w:pStyle w:val="BodyText"/>
      </w:pPr>
      <w:r>
        <w:rPr>
          <w:b/>
          <w:bCs/>
        </w:rPr>
        <w:t xml:space="preserve">Maturity Assessment: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place:</w:t>
      </w:r>
      <w:r>
        <w:t xml:space="preserve"> </w:t>
      </w:r>
      <w:r>
        <w:t xml:space="preserve">Delinea vault operational for infrastructure credentials; Entra PIM active for Azure AD roles; conditional access at privileged tier enforced; session recording enabled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flight:</w:t>
      </w:r>
      <w:r>
        <w:t xml:space="preserve"> </w:t>
      </w:r>
      <w:r>
        <w:t xml:space="preserve">Entra PIM access review automation; Delinea role scoping refinement; integration of privileged session telemetry with ServiceNow SecOps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Deferred:</w:t>
      </w:r>
      <w:r>
        <w:t xml:space="preserve"> </w:t>
      </w:r>
      <w:r>
        <w:t xml:space="preserve">UEBA-based privileged behavior analytics; automated service account discovery and onboarding</w:t>
      </w:r>
    </w:p>
    <w:p>
      <w:pPr>
        <w:pStyle w:val="BodyText"/>
      </w:pPr>
      <w:r>
        <w:rPr>
          <w:b/>
          <w:bCs/>
        </w:rPr>
        <w:t xml:space="preserve">Roadmap Alignment:</w:t>
      </w:r>
      <w:r>
        <w:t xml:space="preserve"> </w:t>
      </w:r>
      <w:r>
        <w:t xml:space="preserve">&gt; See: SRA §11, Implementation Roadmap Phase 2 — Identity + Privileged</w:t>
      </w:r>
      <w:r>
        <w:br/>
      </w:r>
      <w:r>
        <w:t xml:space="preserve">&gt; Diagram:</w:t>
      </w:r>
      <w:r>
        <w:t xml:space="preserve"> </w:t>
      </w:r>
      <w:r>
        <w:rPr>
          <w:rStyle w:val="VerbatimChar"/>
        </w:rPr>
        <w:t xml:space="preserve">15-implementation-roadmap-v2.d2</w:t>
      </w:r>
      <w:r>
        <w:t xml:space="preserve">, Phase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 PIM access review automation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Delinea role scope refinement (Tier 0/1/2 segmentation)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Privileged session telemetry → ServiceNow SecOps integration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UEBA for privileged behavior analytics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service account discovery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key-performance-indicators"/>
    <w:p>
      <w:pPr>
        <w:pStyle w:val="Heading2"/>
      </w:pPr>
      <w:r>
        <w:t xml:space="preserve">7. Key Performance Indicators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Metric Type</w:t>
            </w:r>
          </w:p>
        </w:tc>
        <w:tc>
          <w:tcPr/>
          <w:p>
            <w:pPr>
              <w:pStyle w:val="Compact"/>
            </w:pPr>
            <w:r>
              <w:t xml:space="preserve">Target / Threshold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Privileged JIT adoption rate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≥ 95% of Tier 0/1 activations via PIM/Delinea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Standing privilege count</w:t>
            </w:r>
          </w:p>
        </w:tc>
        <w:tc>
          <w:tcPr/>
          <w:p>
            <w:pPr>
              <w:pStyle w:val="Compact"/>
            </w:pPr>
            <w:r>
              <w:t xml:space="preserve">Risk Outcome</w:t>
            </w:r>
          </w:p>
        </w:tc>
        <w:tc>
          <w:tcPr/>
          <w:p>
            <w:pPr>
              <w:pStyle w:val="Compact"/>
            </w:pPr>
            <w:r>
              <w:t xml:space="preserve">0 standing Tier 0 privileges; ≤ 5 Tier 1 exceptions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rotation compliance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100% within policy SLA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revoke terminated privileged access</w:t>
            </w:r>
          </w:p>
        </w:tc>
        <w:tc>
          <w:tcPr/>
          <w:p>
            <w:pPr>
              <w:pStyle w:val="Compact"/>
            </w:pPr>
            <w:r>
              <w:t xml:space="preserve">Time-Based</w:t>
            </w:r>
          </w:p>
        </w:tc>
        <w:tc>
          <w:tcPr/>
          <w:p>
            <w:pPr>
              <w:pStyle w:val="Compact"/>
            </w:pPr>
            <w:r>
              <w:t xml:space="preserve">≤ 4 hours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Privileged access certification completion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100% monthly cycle completion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Privileged session recording gaps</w:t>
            </w:r>
          </w:p>
        </w:tc>
        <w:tc>
          <w:tcPr/>
          <w:p>
            <w:pPr>
              <w:pStyle w:val="Compact"/>
            </w:pPr>
            <w:r>
              <w:t xml:space="preserve">Control Quality</w:t>
            </w:r>
          </w:p>
        </w:tc>
        <w:tc>
          <w:tcPr/>
          <w:p>
            <w:pPr>
              <w:pStyle w:val="Compact"/>
            </w:pPr>
            <w:r>
              <w:t xml:space="preserve">0 unrecorded privileged sessions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§12, KPI Framework.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17-kpi-framework.d2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regulatory-alignment"/>
    <w:p>
      <w:pPr>
        <w:pStyle w:val="Heading2"/>
      </w:pPr>
      <w:r>
        <w:t xml:space="preserve">8. Regulatory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Applicable Requirements</w:t>
            </w:r>
          </w:p>
        </w:tc>
        <w:tc>
          <w:tcPr/>
          <w:p>
            <w:pPr>
              <w:pStyle w:val="Compact"/>
            </w:pPr>
            <w:r>
              <w:t xml:space="preserve">SRA Mapping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Logical access to programs and data: privileged access must be restricted, monitored, and periodically reviewed</w:t>
            </w:r>
          </w:p>
        </w:tc>
        <w:tc>
          <w:tcPr/>
          <w:p>
            <w:pPr>
              <w:pStyle w:val="Compact"/>
            </w:pPr>
            <w:r>
              <w:t xml:space="preserve">§5, CTRL-005</w:t>
            </w:r>
          </w:p>
        </w:tc>
        <w:tc>
          <w:tcPr/>
          <w:p>
            <w:pPr>
              <w:pStyle w:val="Compact"/>
            </w:pPr>
            <w:r>
              <w:t xml:space="preserve">PIM activation logs; Delinea session recordings; monthly access certification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Segregation of duties: privileged role assignments must enforce SoD constraints</w:t>
            </w:r>
          </w:p>
        </w:tc>
        <w:tc>
          <w:tcPr/>
          <w:p>
            <w:pPr>
              <w:pStyle w:val="Compact"/>
            </w:pPr>
            <w:r>
              <w:t xml:space="preserve">§5, CTRL-005</w:t>
            </w:r>
          </w:p>
        </w:tc>
        <w:tc>
          <w:tcPr/>
          <w:p>
            <w:pPr>
              <w:pStyle w:val="Compact"/>
            </w:pPr>
            <w:r>
              <w:t xml:space="preserve">Role conflict analysis; PIM approval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FERPA</w:t>
            </w:r>
          </w:p>
        </w:tc>
        <w:tc>
          <w:tcPr/>
          <w:p>
            <w:pPr>
              <w:pStyle w:val="Compact"/>
            </w:pPr>
            <w:r>
              <w:t xml:space="preserve">Access to student records by privileged administrators must be logged and auditable</w:t>
            </w:r>
          </w:p>
        </w:tc>
        <w:tc>
          <w:tcPr/>
          <w:p>
            <w:pPr>
              <w:pStyle w:val="Compact"/>
            </w:pPr>
            <w:r>
              <w:t xml:space="preserve">§5, CTRL-005</w:t>
            </w:r>
          </w:p>
        </w:tc>
        <w:tc>
          <w:tcPr/>
          <w:p>
            <w:pPr>
              <w:pStyle w:val="Compact"/>
            </w:pPr>
            <w:r>
              <w:t xml:space="preserve">Privileged session audit logs; access-to-FERPA-data reports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§13, Regulatory Compliance Alignment.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18-regulatory-compliance-alignment.d2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appendix-d-control-register-snapshot"/>
    <w:p>
      <w:pPr>
        <w:pStyle w:val="Heading2"/>
      </w:pPr>
      <w:r>
        <w:t xml:space="preserve">Appendix D — Control Register Snapshot</w:t>
      </w:r>
    </w:p>
    <w:p>
      <w:pPr>
        <w:pStyle w:val="FirstParagraph"/>
      </w:pPr>
      <w:r>
        <w:rPr>
          <w:i/>
          <w:iCs/>
        </w:rPr>
        <w:t xml:space="preserve">This appendix is a derived snapshot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SRA_Control_Register.xlsx</w:t>
      </w:r>
      <w:r>
        <w:rPr>
          <w:i/>
          <w:iCs/>
        </w:rPr>
        <w:t xml:space="preserve">, filtered to SRA §5.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 not edit this table directly</w:t>
      </w:r>
      <w:r>
        <w:rPr>
          <w:i/>
          <w:iCs/>
        </w:rPr>
        <w:t xml:space="preserve"> </w:t>
      </w:r>
      <w:r>
        <w:rPr>
          <w:i/>
          <w:iCs/>
        </w:rPr>
        <w:t xml:space="preserve">— update the Excel register and regenerate.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SRA Section</w:t>
            </w:r>
          </w:p>
        </w:tc>
        <w:tc>
          <w:tcPr/>
          <w:p>
            <w:pPr>
              <w:pStyle w:val="Compact"/>
            </w:pPr>
            <w:r>
              <w:t xml:space="preserve">NIST CSF 2.0 IDs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Control Owner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CTRL-005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PR.AA-05, PR.PS-02, DE.CM-03</w:t>
            </w:r>
          </w:p>
        </w:tc>
        <w:tc>
          <w:tcPr/>
          <w:p>
            <w:pPr>
              <w:pStyle w:val="Compact"/>
            </w:pPr>
            <w:r>
              <w:t xml:space="preserve">PIM role assignments; privileged session audit logs</w:t>
            </w:r>
          </w:p>
        </w:tc>
        <w:tc>
          <w:tcPr/>
          <w:p>
            <w:pPr>
              <w:pStyle w:val="Compact"/>
            </w:pPr>
            <w:r>
              <w:t xml:space="preserve">IAM + Security Operations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—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March 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March 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June 2, 2026 (Quarterly)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Chain</w:t>
            </w:r>
          </w:p>
        </w:tc>
        <w:tc>
          <w:tcPr/>
          <w:p>
            <w:pPr>
              <w:pStyle w:val="Compact"/>
            </w:pPr>
            <w:r>
              <w:t xml:space="preserve">IAM + Security Operations → Security Architecture → Executive Security Leadership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is governed by the TSRA Document Control model (SRA §14).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20-document-control-metadata.d2</w:t>
      </w:r>
      <w:r>
        <w:rPr>
          <w:i/>
          <w:iCs/>
        </w:rP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2026-03-03T03:33:37Z</dcterms:created>
  <dcterms:modified xsi:type="dcterms:W3CDTF">2026-03-03T03:33:37Z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