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132a7f865631a4f0f6900c89d0ccadf9f970c8"/>
    <w:p>
      <w:pPr>
        <w:pStyle w:val="Heading1"/>
      </w:pPr>
      <w:r>
        <w:t xml:space="preserve">Governance Memo: SRA §6 — Device Trust Architecture</w:t>
      </w:r>
    </w:p>
    <w:p>
      <w:pPr>
        <w:pStyle w:val="FirstParagraph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Internal / Controlled</w:t>
      </w:r>
      <w:r>
        <w:br/>
      </w:r>
      <w:r>
        <w:rPr>
          <w:b/>
          <w:bCs/>
        </w:rPr>
        <w:t xml:space="preserve">SRA Section Reference:</w:t>
      </w:r>
      <w:r>
        <w:t xml:space="preserve"> </w:t>
      </w:r>
      <w:r>
        <w:t xml:space="preserve">§6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— 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2, 2026</w:t>
      </w:r>
      <w:r>
        <w:br/>
      </w:r>
      <w:r>
        <w:rPr>
          <w:b/>
          <w:bCs/>
        </w:rPr>
        <w:t xml:space="preserve">Control Owner:</w:t>
      </w:r>
      <w:r>
        <w:t xml:space="preserve"> </w:t>
      </w:r>
      <w:r>
        <w:t xml:space="preserve">Endpoint Security</w:t>
      </w:r>
      <w:r>
        <w:br/>
      </w:r>
      <w:r>
        <w:rPr>
          <w:b/>
          <w:bCs/>
        </w:rPr>
        <w:t xml:space="preserve">Approved By:</w:t>
      </w:r>
      <w:r>
        <w:t xml:space="preserve"> </w:t>
      </w:r>
      <w:r>
        <w:rPr>
          <w:i/>
          <w:iCs/>
        </w:rPr>
        <w:t xml:space="preserve">[Pending — Executive Security Leadership]</w:t>
      </w:r>
    </w:p>
    <w:p>
      <w:r>
        <w:pict>
          <v:rect style="width:0;height:1.5pt" o:hralign="center" o:hrstd="t" o:hr="t"/>
        </w:pic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governance memo establishes the security architecture governance position for</w:t>
      </w:r>
      <w:r>
        <w:t xml:space="preserve"> </w:t>
      </w:r>
      <w:r>
        <w:rPr>
          <w:b/>
          <w:bCs/>
        </w:rPr>
        <w:t xml:space="preserve">Device Trust</w:t>
      </w:r>
      <w:r>
        <w:t xml:space="preserve"> </w:t>
      </w:r>
      <w:r>
        <w:t xml:space="preserve">as defined in the Trust Security Reference Architecture (TSRA), Section §6 — Device Trust (CrowdStrike and Defender).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- CrowdStrike Falcon — primary endpoint trust signal and EDR platform</w:t>
      </w:r>
      <w:r>
        <w:t xml:space="preserve"> </w:t>
      </w:r>
      <w:r>
        <w:t xml:space="preserve">- Microsoft Defender for Endpoint — monitor-mode telemetry and secondary signal</w:t>
      </w:r>
      <w:r>
        <w:t xml:space="preserve"> </w:t>
      </w:r>
      <w:r>
        <w:t xml:space="preserve">- Tenable exposure context — vulnerability-informed device risk input</w:t>
      </w:r>
      <w:r>
        <w:t xml:space="preserve"> </w:t>
      </w:r>
      <w:r>
        <w:t xml:space="preserve">- Composite device trust score computation and its integration with access decisions</w:t>
      </w:r>
      <w:r>
        <w:t xml:space="preserve"> </w:t>
      </w:r>
      <w:r>
        <w:t xml:space="preserve">- Conditional access policy enforcement of device compliance across all four risk tiers</w:t>
      </w:r>
      <w:r>
        <w:t xml:space="preserve"> </w:t>
      </w:r>
      <w:r>
        <w:t xml:space="preserve">- Trust outcomes: allow, step-up MFA, limit session, deny</w:t>
      </w:r>
    </w:p>
    <w:p>
      <w:pPr>
        <w:pStyle w:val="BodyText"/>
      </w:pPr>
      <w:r>
        <w:rPr>
          <w:b/>
          <w:bCs/>
        </w:rPr>
        <w:t xml:space="preserve">Exclusions:</w:t>
      </w:r>
      <w:r>
        <w:t xml:space="preserve"> </w:t>
      </w:r>
      <w:r>
        <w:t xml:space="preserve">- Identity-layer conditional access policy definitions (covered under SRA §4 — Identity and Access Architecture)</w:t>
      </w:r>
      <w:r>
        <w:t xml:space="preserve"> </w:t>
      </w:r>
      <w:r>
        <w:t xml:space="preserve">- Privileged access device requirements (covered under SRA §5 — Privileged Trust)</w:t>
      </w:r>
      <w:r>
        <w:t xml:space="preserve"> </w:t>
      </w:r>
      <w:r>
        <w:t xml:space="preserve">- Vulnerability management program operations (covered under SRA §7 — Exposure and Posture)</w:t>
      </w:r>
    </w:p>
    <w:p>
      <w:pPr>
        <w:pStyle w:val="BodyText"/>
      </w:pPr>
      <w:r>
        <w:rPr>
          <w:b/>
          <w:bCs/>
        </w:rPr>
        <w:t xml:space="preserve">Authoritative References:</w:t>
      </w:r>
      <w:r>
        <w:t xml:space="preserve"> </w:t>
      </w:r>
      <w:r>
        <w:t xml:space="preserve">- Trust Security Reference Architecture (TSRA), §6</w:t>
      </w:r>
      <w:r>
        <w:t xml:space="preserve"> </w:t>
      </w:r>
      <w:r>
        <w:t xml:space="preserve">- SRA Control Register (</w:t>
      </w:r>
      <w:r>
        <w:rPr>
          <w:rStyle w:val="VerbatimChar"/>
        </w:rPr>
        <w:t xml:space="preserve">SRA_Control_Register.xlsx</w:t>
      </w:r>
      <w:r>
        <w:t xml:space="preserve">), Control ID: CTRL-006</w:t>
      </w:r>
      <w:r>
        <w:t xml:space="preserve"> </w:t>
      </w:r>
      <w:r>
        <w:t xml:space="preserve">- D2 Architecture Diagram:</w:t>
      </w:r>
      <w:r>
        <w:t xml:space="preserve"> </w:t>
      </w:r>
      <w:r>
        <w:rPr>
          <w:rStyle w:val="VerbatimChar"/>
        </w:rPr>
        <w:t xml:space="preserve">10-device-trust-architecture.d2</w:t>
      </w:r>
      <w:r>
        <w:t xml:space="preserve"> </w:t>
      </w:r>
      <w:r>
        <w:t xml:space="preserve">- STRIDE ISP — Endpoint Protection and Platform Security (PR.PS)</w:t>
      </w:r>
    </w:p>
    <w:p>
      <w:r>
        <w:pict>
          <v:rect style="width:0;height:1.5pt" o:hralign="center" o:hrstd="t" o:hr="t"/>
        </w:pict>
      </w:r>
    </w:p>
    <w:bookmarkEnd w:id="9"/>
    <w:bookmarkStart w:id="10" w:name="governance-authority"/>
    <w:p>
      <w:pPr>
        <w:pStyle w:val="Heading2"/>
      </w:pPr>
      <w:r>
        <w:t xml:space="preserve">2. Governance Authority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RACI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Security</w:t>
            </w:r>
          </w:p>
        </w:tc>
        <w:tc>
          <w:tcPr/>
          <w:p>
            <w:pPr>
              <w:pStyle w:val="Compact"/>
            </w:pPr>
            <w:r>
              <w:t xml:space="preserve">Owns endpoint trust platforms (CrowdStrike, Defender), manages EDR policies, produces device compliance evidence</w:t>
            </w:r>
          </w:p>
        </w:tc>
        <w:tc>
          <w:tcPr/>
          <w:p>
            <w:pPr>
              <w:pStyle w:val="Compact"/>
            </w:pPr>
            <w:r>
              <w:t xml:space="preserve">Accountable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Defines device trust architecture standards, maintains integration with the trust decision plane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Consumes device trust signals in conditional access policy decisions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GRC / Compliance</w:t>
            </w:r>
          </w:p>
        </w:tc>
        <w:tc>
          <w:tcPr/>
          <w:p>
            <w:pPr>
              <w:pStyle w:val="Compact"/>
            </w:pPr>
            <w:r>
              <w:t xml:space="preserve">Validates endpoint control alignment to SOX and FERPA requirements</w:t>
            </w:r>
          </w:p>
        </w:tc>
        <w:tc>
          <w:tcPr/>
          <w:p>
            <w:pPr>
              <w:pStyle w:val="Compact"/>
            </w:pPr>
            <w:r>
              <w:t xml:space="preserve">Informed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Security Leadership</w:t>
            </w:r>
          </w:p>
        </w:tc>
        <w:tc>
          <w:tcPr/>
          <w:p>
            <w:pPr>
              <w:pStyle w:val="Compact"/>
            </w:pPr>
            <w:r>
              <w:t xml:space="preserve">Approves governance position and risk acceptance for device trust exceptions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</w:tbl>
    <w:p>
      <w:pPr>
        <w:pStyle w:val="BodyText"/>
      </w:pPr>
      <w:r>
        <w:rPr>
          <w:i/>
          <w:iCs/>
        </w:rPr>
        <w:t xml:space="preserve">RACI assignments align to STRIDE GV.RR policy intent.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-summary"/>
    <w:p>
      <w:pPr>
        <w:pStyle w:val="Heading2"/>
      </w:pPr>
      <w:r>
        <w:t xml:space="preserve">3. Architecture Summary</w:t>
      </w:r>
    </w:p>
    <w:p>
      <w:pPr>
        <w:pStyle w:val="FirstParagraph"/>
      </w:pPr>
      <w:r>
        <w:t xml:space="preserve">The Device Trust Architecture implements a multi-signal approach to establishing and maintaining endpoint trust across the Stride environment:</w:t>
      </w:r>
    </w:p>
    <w:p>
      <w:pPr>
        <w:pStyle w:val="BodyText"/>
      </w:pPr>
      <w:r>
        <w:rPr>
          <w:b/>
          <w:bCs/>
        </w:rPr>
        <w:t xml:space="preserve">CrowdStrike Falcon — Primary Trust Signal:</w:t>
      </w:r>
      <w:r>
        <w:t xml:space="preserve"> </w:t>
      </w:r>
      <w:r>
        <w:t xml:space="preserve">- Deployed as the primary endpoint detection and response (EDR) platform across all managed devices</w:t>
      </w:r>
      <w:r>
        <w:t xml:space="preserve"> </w:t>
      </w:r>
      <w:r>
        <w:t xml:space="preserve">- Provides real-time threat detection, behavioral analytics, and device health attestation</w:t>
      </w:r>
      <w:r>
        <w:t xml:space="preserve"> </w:t>
      </w:r>
      <w:r>
        <w:t xml:space="preserve">- CrowdStrike sensor presence is a mandatory conditional access condition across all four risk tiers (Privileged, High, Medium, Low)</w:t>
      </w:r>
      <w:r>
        <w:t xml:space="preserve"> </w:t>
      </w:r>
      <w:r>
        <w:t xml:space="preserve">- Feeds device trust telemetry into the composite risk score</w:t>
      </w:r>
    </w:p>
    <w:p>
      <w:pPr>
        <w:pStyle w:val="BodyText"/>
      </w:pPr>
      <w:r>
        <w:rPr>
          <w:b/>
          <w:bCs/>
        </w:rPr>
        <w:t xml:space="preserve">Microsoft Defender for Endpoint — Secondary Signal:</w:t>
      </w:r>
      <w:r>
        <w:t xml:space="preserve"> </w:t>
      </w:r>
      <w:r>
        <w:t xml:space="preserve">- Operates in monitor-mode to provide complementary telemetry and threat intelligence</w:t>
      </w:r>
      <w:r>
        <w:t xml:space="preserve"> </w:t>
      </w:r>
      <w:r>
        <w:t xml:space="preserve">- Provides additional device compliance signals for Microsoft ecosystem integration</w:t>
      </w:r>
      <w:r>
        <w:t xml:space="preserve"> </w:t>
      </w:r>
      <w:r>
        <w:t xml:space="preserve">- Does not serve as primary enforcement; supplements CrowdStrike with defense-in-depth visibility</w:t>
      </w:r>
    </w:p>
    <w:p>
      <w:pPr>
        <w:pStyle w:val="BodyText"/>
      </w:pPr>
      <w:r>
        <w:rPr>
          <w:b/>
          <w:bCs/>
        </w:rPr>
        <w:t xml:space="preserve">Tenable Exposure Context:</w:t>
      </w:r>
      <w:r>
        <w:t xml:space="preserve"> </w:t>
      </w:r>
      <w:r>
        <w:t xml:space="preserve">- Vulnerability scan results from Tenable VM contribute vulnerability-informed risk data to the device trust score</w:t>
      </w:r>
      <w:r>
        <w:t xml:space="preserve"> </w:t>
      </w:r>
      <w:r>
        <w:t xml:space="preserve">- Devices with critical unpatched vulnerabilities receive elevated risk scores, potentially triggering step-up or deny outcomes</w:t>
      </w:r>
    </w:p>
    <w:p>
      <w:pPr>
        <w:pStyle w:val="BodyText"/>
      </w:pPr>
      <w:r>
        <w:rPr>
          <w:b/>
          <w:bCs/>
        </w:rPr>
        <w:t xml:space="preserve">Access Decision Integration:</w:t>
      </w:r>
      <w:r>
        <w:t xml:space="preserve"> </w:t>
      </w:r>
      <w:r>
        <w:t xml:space="preserve">- Endpoint signals (CrowdStrike, Defender, Tenable) are aggregated into a composite device trust score</w:t>
      </w:r>
      <w:r>
        <w:t xml:space="preserve"> </w:t>
      </w:r>
      <w:r>
        <w:t xml:space="preserve">- The composite score feeds into Entra conditional access policies as a device compliance condition</w:t>
      </w:r>
      <w:r>
        <w:t xml:space="preserve"> </w:t>
      </w:r>
      <w:r>
        <w:t xml:space="preserve">- Four trust outcomes are possible based on the composite score and policy tier: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Allow</w:t>
      </w:r>
      <w:r>
        <w:t xml:space="preserve"> </w:t>
      </w:r>
      <w:r>
        <w:t xml:space="preserve">— device meets all compliance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Step-up MFA</w:t>
      </w:r>
      <w:r>
        <w:t xml:space="preserve"> </w:t>
      </w:r>
      <w:r>
        <w:t xml:space="preserve">— device has minor compliance concerns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 Session</w:t>
      </w:r>
      <w:r>
        <w:t xml:space="preserve"> </w:t>
      </w:r>
      <w:r>
        <w:t xml:space="preserve">— device has elevated risk; session restrictions applied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Deny</w:t>
      </w:r>
      <w:r>
        <w:t xml:space="preserve"> </w:t>
      </w:r>
      <w:r>
        <w:t xml:space="preserve">— device is non-compliant or has critical risk indicators</w:t>
      </w:r>
    </w:p>
    <w:p>
      <w:pPr>
        <w:pStyle w:val="Block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- Trust model and policy engine: SRA §2</w:t>
      </w:r>
      <w:r>
        <w:t xml:space="preserve"> </w:t>
      </w:r>
      <w:r>
        <w:t xml:space="preserve">- Persona-specific device requirements: SRA §3</w:t>
      </w:r>
      <w:r>
        <w:t xml:space="preserve"> </w:t>
      </w:r>
      <w:r>
        <w:t xml:space="preserve">- Conditional access policy tiers consuming device signals: SRA §4</w:t>
      </w:r>
      <w:r>
        <w:t xml:space="preserve"> </w:t>
      </w:r>
      <w:r>
        <w:t xml:space="preserve">- Privileged access device enforcement (15-min session, every-session reauth): SRA §5</w:t>
      </w:r>
      <w:r>
        <w:t xml:space="preserve"> </w:t>
      </w:r>
      <w:r>
        <w:t xml:space="preserve">- Vulnerability context feeding device scores: SRA §7</w:t>
      </w:r>
      <w:r>
        <w:t xml:space="preserve"> </w:t>
      </w:r>
      <w:r>
        <w:t xml:space="preserve">- Operational incident escalation for device compromise: SRA §9</w:t>
      </w:r>
    </w:p>
    <w:p>
      <w:pPr>
        <w:pStyle w:val="FirstParagraph"/>
      </w:pPr>
      <w:r>
        <w:rPr>
          <w:b/>
          <w:bCs/>
        </w:rPr>
        <w:t xml:space="preserve">Current-State Architecture Diagram:</w:t>
      </w:r>
    </w:p>
    <w:p>
      <w:pPr>
        <w:pStyle w:val="BlockText"/>
      </w:pPr>
      <w:r>
        <w:t xml:space="preserve">See:</w:t>
      </w:r>
      <w:r>
        <w:t xml:space="preserve"> </w:t>
      </w:r>
      <w:r>
        <w:rPr>
          <w:rStyle w:val="VerbatimChar"/>
        </w:rPr>
        <w:t xml:space="preserve">10-device-trust-architecture.d2</w:t>
      </w:r>
      <w:r>
        <w:t xml:space="preserve"> </w:t>
      </w:r>
      <w:r>
        <w:t xml:space="preserve">(rendered in</w:t>
      </w:r>
      <w:r>
        <w:t xml:space="preserve"> </w:t>
      </w:r>
      <w:r>
        <w:rPr>
          <w:rStyle w:val="VerbatimChar"/>
        </w:rPr>
        <w:t xml:space="preserve">rendering_svg_v3/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rendering_png_v3/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1"/>
    <w:bookmarkStart w:id="12" w:name="nist-csf-2.0-alignment"/>
    <w:p>
      <w:pPr>
        <w:pStyle w:val="Heading2"/>
      </w:pPr>
      <w:r>
        <w:t xml:space="preserve">4. NIST CSF 2.0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NIST CSF 2.0 ID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Subcategory Description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PR.PS-03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Hardware is maintained, replaced, and removed commensurate with risk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DE.CM-01</w:t>
            </w:r>
          </w:p>
        </w:tc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Networks and network services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Control Register,</w:t>
      </w:r>
      <w:r>
        <w:rPr>
          <w:i/>
          <w:iCs/>
        </w:rPr>
        <w:t xml:space="preserve"> </w:t>
      </w:r>
      <w:r>
        <w:rPr>
          <w:i/>
          <w:iCs/>
        </w:rPr>
        <w:t xml:space="preserve">“NIST CSF Crosswalk”</w:t>
      </w:r>
      <w:r>
        <w:rPr>
          <w:i/>
          <w:iCs/>
        </w:rPr>
        <w:t xml:space="preserve"> </w:t>
      </w:r>
      <w:r>
        <w:rPr>
          <w:i/>
          <w:iCs/>
        </w:rPr>
        <w:t xml:space="preserve">sheet, filtered to CTRL-006.</w:t>
      </w:r>
    </w:p>
    <w:p>
      <w:pPr>
        <w:pStyle w:val="BodyText"/>
      </w:pPr>
      <w:r>
        <w:rPr>
          <w:b/>
          <w:bCs/>
        </w:rPr>
        <w:t xml:space="preserve">Gap Notes: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PR.PS-03</w:t>
      </w:r>
      <w:r>
        <w:t xml:space="preserve">: CrowdStrike sensor deployment covers all managed endpoints; Defender provides supplementary coverage. Gap: unmanaged/BYOD device trust enforcement is limited — future conditional access enhancements will address device registration gating for personal devices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DE.CM-01</w:t>
      </w:r>
      <w:r>
        <w:t xml:space="preserve">: CrowdStrike provides real-time endpoint monitoring with behavioral analytics; alert telemetry feeds SOC workflows. Gap: automated correlation between device trust score changes and conditional access policy re-evaluation is partially manual</w:t>
      </w:r>
    </w:p>
    <w:p>
      <w:r>
        <w:pict>
          <v:rect style="width:0;height:1.5pt" o:hralign="center" o:hrstd="t" o:hr="t"/>
        </w:pict>
      </w:r>
    </w:p>
    <w:bookmarkEnd w:id="12"/>
    <w:bookmarkStart w:id="13" w:name="control-objectives-and-requirements"/>
    <w:p>
      <w:pPr>
        <w:pStyle w:val="Heading2"/>
      </w:pPr>
      <w:r>
        <w:t xml:space="preserve">5. Control Objectives and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Control Description</w:t>
            </w:r>
          </w:p>
        </w:tc>
        <w:tc>
          <w:tcPr/>
          <w:p>
            <w:pPr>
              <w:pStyle w:val="Compact"/>
            </w:pPr>
            <w:r>
              <w:t xml:space="preserve">Primary Tooling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CTRL-006</w:t>
            </w:r>
          </w:p>
        </w:tc>
        <w:tc>
          <w:tcPr/>
          <w:p>
            <w:pPr>
              <w:pStyle w:val="Compact"/>
            </w:pPr>
            <w:r>
              <w:t xml:space="preserve">Device trust controls including EDR enrollment, compliance signal enforcement, and health attestation</w:t>
            </w:r>
          </w:p>
        </w:tc>
        <w:tc>
          <w:tcPr/>
          <w:p>
            <w:pPr>
              <w:pStyle w:val="Compact"/>
            </w:pPr>
            <w:r>
              <w:t xml:space="preserve">CrowdStrike Falcon; Defender for Endpoint</w:t>
            </w:r>
          </w:p>
        </w:tc>
        <w:tc>
          <w:tcPr/>
          <w:p>
            <w:pPr>
              <w:pStyle w:val="Compact"/>
            </w:pPr>
            <w:r>
              <w:t xml:space="preserve">EDR posture dashboards; compliance policy reports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Requirements:</w:t>
      </w:r>
      <w:r>
        <w:t xml:space="preserve"> </w:t>
      </w:r>
      <w:r>
        <w:t xml:space="preserve">1. All managed endpoints must have CrowdStrike Falcon sensor active and reporting — sensor absence must trigger conditional access denial</w:t>
      </w:r>
      <w:r>
        <w:t xml:space="preserve"> </w:t>
      </w:r>
      <w:r>
        <w:t xml:space="preserve">2. Defender for Endpoint must be deployed in monitor-mode on all managed Windows and macOS endpoints</w:t>
      </w:r>
      <w:r>
        <w:t xml:space="preserve"> </w:t>
      </w:r>
      <w:r>
        <w:t xml:space="preserve">3. Composite device trust scores must be computed from CrowdStrike health, Defender compliance, and Tenable vulnerability context</w:t>
      </w:r>
      <w:r>
        <w:t xml:space="preserve"> </w:t>
      </w:r>
      <w:r>
        <w:t xml:space="preserve">4. Device compliance is a mandatory conditional access condition across all four risk tiers</w:t>
      </w:r>
      <w:r>
        <w:t xml:space="preserve"> </w:t>
      </w:r>
      <w:r>
        <w:t xml:space="preserve">5. Devices with critical unpatched vulnerabilities (Tenable CVSS ≥ 9.0) must be denied or session-limited within 24 hours of detection</w:t>
      </w:r>
      <w:r>
        <w:t xml:space="preserve"> </w:t>
      </w:r>
      <w:r>
        <w:t xml:space="preserve">6. Endpoint compliance posture must be reported weekly with escalation paths for non-compliant devices</w:t>
      </w:r>
    </w:p>
    <w:p>
      <w:r>
        <w:pict>
          <v:rect style="width:0;height:1.5pt" o:hralign="center" o:hrstd="t" o:hr="t"/>
        </w:pict>
      </w:r>
    </w:p>
    <w:bookmarkEnd w:id="13"/>
    <w:bookmarkStart w:id="14" w:name="implementation-status-and-roadmap"/>
    <w:p>
      <w:pPr>
        <w:pStyle w:val="Heading2"/>
      </w:pPr>
      <w:r>
        <w:t xml:space="preserve">6. Implementation Status and Roadmap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Partially Implemented</w:t>
      </w:r>
    </w:p>
    <w:p>
      <w:pPr>
        <w:pStyle w:val="BodyText"/>
      </w:pPr>
      <w:r>
        <w:rPr>
          <w:b/>
          <w:bCs/>
        </w:rPr>
        <w:t xml:space="preserve">Maturity Assessment: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place:</w:t>
      </w:r>
      <w:r>
        <w:t xml:space="preserve"> </w:t>
      </w:r>
      <w:r>
        <w:t xml:space="preserve">CrowdStrike Falcon deployed across managed fleet; Defender for Endpoint in monitor-mode; conditional access enforces CrowdStrike presence at all tiers; EDR posture dashboards operational; weekly compliance reporting active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 flight:</w:t>
      </w:r>
      <w:r>
        <w:t xml:space="preserve"> </w:t>
      </w:r>
      <w:r>
        <w:t xml:space="preserve">Composite device trust score integration (CrowdStrike + Tenable); automated conditional access re-evaluation on score change; Defender telemetry enrichment into SOC alerts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Deferred:</w:t>
      </w:r>
      <w:r>
        <w:t xml:space="preserve"> </w:t>
      </w:r>
      <w:r>
        <w:t xml:space="preserve">BYOD/unmanaged device trust model; mobile device trust signal integration; hardware attestation (TPM-based) for highest-assurance tiers</w:t>
      </w:r>
    </w:p>
    <w:p>
      <w:pPr>
        <w:pStyle w:val="BodyText"/>
      </w:pPr>
      <w:r>
        <w:rPr>
          <w:b/>
          <w:bCs/>
        </w:rPr>
        <w:t xml:space="preserve">Roadmap Alignment:</w:t>
      </w:r>
      <w:r>
        <w:t xml:space="preserve"> </w:t>
      </w:r>
      <w:r>
        <w:t xml:space="preserve">&gt; See: SRA §11, Implementation Roadmap Phase 2 — Identity + Privileged, Phase 3 — Device + Posture</w:t>
      </w:r>
      <w:r>
        <w:br/>
      </w:r>
      <w:r>
        <w:t xml:space="preserve">&gt; Diagram:</w:t>
      </w:r>
      <w:r>
        <w:t xml:space="preserve"> </w:t>
      </w:r>
      <w:r>
        <w:rPr>
          <w:rStyle w:val="VerbatimChar"/>
        </w:rPr>
        <w:t xml:space="preserve">15-implementation-roadmap-v2.d2</w:t>
      </w:r>
      <w:r>
        <w:t xml:space="preserve">, Phase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 device trust score (CrowdStrike + Tenable)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CA re-evaluation on trust score change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Defender telemetry SOC enrichment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BYOD device trust model (registration gating)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device trust signal integration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attestation (TPM) for Tier 0/1</w:t>
            </w:r>
          </w:p>
        </w:tc>
        <w:tc>
          <w:tcPr/>
          <w:p>
            <w:pPr>
              <w:pStyle w:val="Compact"/>
            </w:pPr>
            <w:r>
              <w:t xml:space="preserve">Q1 2027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key-performance-indicators"/>
    <w:p>
      <w:pPr>
        <w:pStyle w:val="Heading2"/>
      </w:pPr>
      <w:r>
        <w:t xml:space="preserve">7. Key Performance Indicators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Metric Type</w:t>
            </w:r>
          </w:p>
        </w:tc>
        <w:tc>
          <w:tcPr/>
          <w:p>
            <w:pPr>
              <w:pStyle w:val="Compact"/>
            </w:pPr>
            <w:r>
              <w:t xml:space="preserve">Target / Threshold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CrowdStrike sensor coverage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99% of managed endpoints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Endpoint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Defender for Endpoint coverage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98% of managed Windows/macOS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Endpoint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compliance rate (CA-enforced)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≥ 97% of access attempts from compliant devices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Endpoint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isolate compromised device</w:t>
            </w:r>
          </w:p>
        </w:tc>
        <w:tc>
          <w:tcPr/>
          <w:p>
            <w:pPr>
              <w:pStyle w:val="Compact"/>
            </w:pPr>
            <w:r>
              <w:t xml:space="preserve">Time-Based</w:t>
            </w:r>
          </w:p>
        </w:tc>
        <w:tc>
          <w:tcPr/>
          <w:p>
            <w:pPr>
              <w:pStyle w:val="Compact"/>
            </w:pPr>
            <w:r>
              <w:t xml:space="preserve">≤ 1 hour from detection to isolation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vulnerability device remediation SLA</w:t>
            </w:r>
          </w:p>
        </w:tc>
        <w:tc>
          <w:tcPr/>
          <w:p>
            <w:pPr>
              <w:pStyle w:val="Compact"/>
            </w:pPr>
            <w:r>
              <w:t xml:space="preserve">Time-Based</w:t>
            </w:r>
          </w:p>
        </w:tc>
        <w:tc>
          <w:tcPr/>
          <w:p>
            <w:pPr>
              <w:pStyle w:val="Compact"/>
            </w:pPr>
            <w:r>
              <w:t xml:space="preserve">≤ 24 hours for CVSS ≥ 9.0 devices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Endpoint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Non-compliant device escalation rate</w:t>
            </w:r>
          </w:p>
        </w:tc>
        <w:tc>
          <w:tcPr/>
          <w:p>
            <w:pPr>
              <w:pStyle w:val="Compact"/>
            </w:pPr>
            <w:r>
              <w:t xml:space="preserve">Risk Outcome</w:t>
            </w:r>
          </w:p>
        </w:tc>
        <w:tc>
          <w:tcPr/>
          <w:p>
            <w:pPr>
              <w:pStyle w:val="Compact"/>
            </w:pPr>
            <w:r>
              <w:t xml:space="preserve">100% of non-compliant devices escalated within SLA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Endpoint Security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§12, KPI Framework.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17-kpi-framework.d2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regulatory-alignment"/>
    <w:p>
      <w:pPr>
        <w:pStyle w:val="Heading2"/>
      </w:pPr>
      <w:r>
        <w:t xml:space="preserve">8. Regulatory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Applicable Requirements</w:t>
            </w:r>
          </w:p>
        </w:tc>
        <w:tc>
          <w:tcPr/>
          <w:p>
            <w:pPr>
              <w:pStyle w:val="Compact"/>
            </w:pPr>
            <w:r>
              <w:t xml:space="preserve">SRA Mapping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Program change management and logical access: endpoints accessing financial systems must meet compliance standards</w:t>
            </w:r>
          </w:p>
        </w:tc>
        <w:tc>
          <w:tcPr/>
          <w:p>
            <w:pPr>
              <w:pStyle w:val="Compact"/>
            </w:pPr>
            <w:r>
              <w:t xml:space="preserve">§6, CTRL-006</w:t>
            </w:r>
          </w:p>
        </w:tc>
        <w:tc>
          <w:tcPr/>
          <w:p>
            <w:pPr>
              <w:pStyle w:val="Compact"/>
            </w:pPr>
            <w:r>
              <w:t xml:space="preserve">CrowdStrike compliance dashboards; CA policy enforcement logs; device compliance attestation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(IT General Controls)</w:t>
            </w:r>
          </w:p>
        </w:tc>
        <w:tc>
          <w:tcPr/>
          <w:p>
            <w:pPr>
              <w:pStyle w:val="Compact"/>
            </w:pPr>
            <w:r>
              <w:t xml:space="preserve">Computer operations: endpoint protection must be continuously monitored with documented response procedures</w:t>
            </w:r>
          </w:p>
        </w:tc>
        <w:tc>
          <w:tcPr/>
          <w:p>
            <w:pPr>
              <w:pStyle w:val="Compact"/>
            </w:pPr>
            <w:r>
              <w:t xml:space="preserve">§6, CTRL-006</w:t>
            </w:r>
          </w:p>
        </w:tc>
        <w:tc>
          <w:tcPr/>
          <w:p>
            <w:pPr>
              <w:pStyle w:val="Compact"/>
            </w:pPr>
            <w:r>
              <w:t xml:space="preserve">EDR alert logs; incident response runbooks; device isolation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FERPA</w:t>
            </w:r>
          </w:p>
        </w:tc>
        <w:tc>
          <w:tcPr/>
          <w:p>
            <w:pPr>
              <w:pStyle w:val="Compact"/>
            </w:pPr>
            <w:r>
              <w:t xml:space="preserve">Devices accessing student education records must have active endpoint protection and meet compliance requirements</w:t>
            </w:r>
          </w:p>
        </w:tc>
        <w:tc>
          <w:tcPr/>
          <w:p>
            <w:pPr>
              <w:pStyle w:val="Compact"/>
            </w:pPr>
            <w:r>
              <w:t xml:space="preserve">§6, CTRL-006</w:t>
            </w:r>
          </w:p>
        </w:tc>
        <w:tc>
          <w:tcPr/>
          <w:p>
            <w:pPr>
              <w:pStyle w:val="Compact"/>
            </w:pPr>
            <w:r>
              <w:t xml:space="preserve">CrowdStrike sensor status for FERPA-scope applications; conditional access policy audit trails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Source: SRA §13, Regulatory Compliance Alignment.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18-regulatory-compliance-alignment.d2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appendix-d-control-register-snapshot"/>
    <w:p>
      <w:pPr>
        <w:pStyle w:val="Heading2"/>
      </w:pPr>
      <w:r>
        <w:t xml:space="preserve">Appendix D — Control Register Snapshot</w:t>
      </w:r>
    </w:p>
    <w:p>
      <w:pPr>
        <w:pStyle w:val="FirstParagraph"/>
      </w:pPr>
      <w:r>
        <w:rPr>
          <w:i/>
          <w:iCs/>
        </w:rPr>
        <w:t xml:space="preserve">This appendix is a derived snapshot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SRA_Control_Register.xlsx</w:t>
      </w:r>
      <w:r>
        <w:rPr>
          <w:i/>
          <w:iCs/>
        </w:rPr>
        <w:t xml:space="preserve">, filtered to SRA §6.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 not edit this table directly</w:t>
      </w:r>
      <w:r>
        <w:rPr>
          <w:i/>
          <w:iCs/>
        </w:rPr>
        <w:t xml:space="preserve"> </w:t>
      </w:r>
      <w:r>
        <w:rPr>
          <w:i/>
          <w:iCs/>
        </w:rPr>
        <w:t xml:space="preserve">— update the Excel register and regenerate.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ID</w:t>
            </w:r>
          </w:p>
        </w:tc>
        <w:tc>
          <w:tcPr/>
          <w:p>
            <w:pPr>
              <w:pStyle w:val="Compact"/>
            </w:pPr>
            <w:r>
              <w:t xml:space="preserve">SRA Section</w:t>
            </w:r>
          </w:p>
        </w:tc>
        <w:tc>
          <w:tcPr/>
          <w:p>
            <w:pPr>
              <w:pStyle w:val="Compact"/>
            </w:pPr>
            <w:r>
              <w:t xml:space="preserve">NIST CSF 2.0 IDs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Control Owner</w:t>
            </w:r>
          </w:p>
        </w:tc>
        <w:tc>
          <w:tcPr/>
          <w:p>
            <w:pPr>
              <w:pStyle w:val="Compact"/>
            </w:pPr>
            <w:r>
              <w:t xml:space="preserve">Review Frequency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CTRL-006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PR.PS-03, DE.CM-01</w:t>
            </w:r>
          </w:p>
        </w:tc>
        <w:tc>
          <w:tcPr/>
          <w:p>
            <w:pPr>
              <w:pStyle w:val="Compact"/>
            </w:pPr>
            <w:r>
              <w:t xml:space="preserve">EDR posture dashboards; compliance policy reports</w:t>
            </w:r>
          </w:p>
        </w:tc>
        <w:tc>
          <w:tcPr/>
          <w:p>
            <w:pPr>
              <w:pStyle w:val="Compact"/>
            </w:pPr>
            <w:r>
              <w:t xml:space="preserve">Endpoint Security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—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March 2,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June 2, 2026 (Quarterly)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Chain</w:t>
            </w:r>
          </w:p>
        </w:tc>
        <w:tc>
          <w:tcPr/>
          <w:p>
            <w:pPr>
              <w:pStyle w:val="Compact"/>
            </w:pPr>
            <w:r>
              <w:t xml:space="preserve">Endpoint Security → Security Architecture → Executive Security Leadership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is governed by the TSRA Document Control model (SRA §14). See diagram: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20-document-control-metadata.d2</w:t>
      </w:r>
      <w:r>
        <w:rPr>
          <w:i/>
          <w:iCs/>
        </w:rP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2026-03-03T03:33:37Z</dcterms:created>
  <dcterms:modified xsi:type="dcterms:W3CDTF">2026-03-03T03:33:37Z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