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93478e5fca6c0304ed2b01f7689f5124d441de3"/>
    <w:p>
      <w:pPr>
        <w:pStyle w:val="Heading1"/>
      </w:pPr>
      <w:r>
        <w:t xml:space="preserve">Governance Memo: SRA §4 — Identity and Access Architecture</w:t>
      </w:r>
    </w:p>
    <w:p>
      <w:pPr>
        <w:pStyle w:val="FirstParagraph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Internal / Controlled</w:t>
      </w:r>
      <w:r>
        <w:br/>
      </w:r>
      <w:r>
        <w:rPr>
          <w:b/>
          <w:bCs/>
        </w:rPr>
        <w:t xml:space="preserve">SRA Section Reference:</w:t>
      </w:r>
      <w:r>
        <w:t xml:space="preserve"> </w:t>
      </w:r>
      <w:r>
        <w:t xml:space="preserve">§4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— Draft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2, 2026</w:t>
      </w:r>
      <w:r>
        <w:br/>
      </w:r>
      <w:r>
        <w:rPr>
          <w:b/>
          <w:bCs/>
        </w:rPr>
        <w:t xml:space="preserve">Control Owner:</w:t>
      </w:r>
      <w:r>
        <w:t xml:space="preserve"> </w:t>
      </w:r>
      <w:r>
        <w:t xml:space="preserve">IAM</w:t>
      </w:r>
      <w:r>
        <w:br/>
      </w:r>
      <w:r>
        <w:rPr>
          <w:b/>
          <w:bCs/>
        </w:rPr>
        <w:t xml:space="preserve">Approved By:</w:t>
      </w:r>
      <w:r>
        <w:t xml:space="preserve"> </w:t>
      </w:r>
      <w:r>
        <w:rPr>
          <w:i/>
          <w:iCs/>
        </w:rPr>
        <w:t xml:space="preserve">[Pending — Executive Security Leadership]</w:t>
      </w:r>
    </w:p>
    <w:p>
      <w:r>
        <w:pict>
          <v:rect style="width:0;height:1.5pt" o:hralign="center" o:hrstd="t" o:hr="t"/>
        </w:pict>
      </w:r>
    </w:p>
    <w:bookmarkStart w:id="9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governance memo establishes the security architecture governance position for</w:t>
      </w:r>
      <w:r>
        <w:t xml:space="preserve"> </w:t>
      </w:r>
      <w:r>
        <w:rPr>
          <w:b/>
          <w:bCs/>
        </w:rPr>
        <w:t xml:space="preserve">Identity and Access Architecture</w:t>
      </w:r>
      <w:r>
        <w:t xml:space="preserve"> </w:t>
      </w:r>
      <w:r>
        <w:t xml:space="preserve">as defined in the Trust Security Reference Architecture (TSRA), Section §4 — Identity and Access Architecture.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- Workforce identity (Microsoft Entra ID) — conditional access, identity protection, SAML/OIDC app registrations for staff</w:t>
      </w:r>
      <w:r>
        <w:t xml:space="preserve"> </w:t>
      </w:r>
      <w:r>
        <w:t xml:space="preserve">- External identity (Okta CIAM) — adaptive authentication and token services for students and customers</w:t>
      </w:r>
      <w:r>
        <w:t xml:space="preserve"> </w:t>
      </w:r>
      <w:r>
        <w:t xml:space="preserve">- Unified identity governance (SailPoint IdentityNow) — identity cube, joiner/mover/leaver lifecycle, access certifications, and separation of duties (SoD) enforcement</w:t>
      </w:r>
      <w:r>
        <w:t xml:space="preserve"> </w:t>
      </w:r>
      <w:r>
        <w:t xml:space="preserve">- Staff authentication flows including risk-adaptive conditional access and MFA (FIDO2, Windows Hello for Business)</w:t>
      </w:r>
      <w:r>
        <w:t xml:space="preserve"> </w:t>
      </w:r>
      <w:r>
        <w:t xml:space="preserve">- Student authentication flows including enrollment provisioning (SailPoint → Okta CIAM), policy SSO, and withdrawal deprovisioning</w:t>
      </w:r>
      <w:r>
        <w:t xml:space="preserve"> </w:t>
      </w:r>
      <w:r>
        <w:t xml:space="preserve">- Customer authentication flows including self-service registration, credential verification, MFA setup, and risk-sensitive session policy</w:t>
      </w:r>
      <w:r>
        <w:t xml:space="preserve"> </w:t>
      </w:r>
      <w:r>
        <w:t xml:space="preserve">- Conditional access policy matrix across four risk tiers (Privileged, High, Medium, Low)</w:t>
      </w:r>
    </w:p>
    <w:p>
      <w:pPr>
        <w:pStyle w:val="BodyText"/>
      </w:pPr>
      <w:r>
        <w:rPr>
          <w:b/>
          <w:bCs/>
        </w:rPr>
        <w:t xml:space="preserve">Exclusions:</w:t>
      </w:r>
      <w:r>
        <w:t xml:space="preserve"> </w:t>
      </w:r>
      <w:r>
        <w:t xml:space="preserve">- Privileged access management (covered under SRA §5 — Privileged Trust)</w:t>
      </w:r>
      <w:r>
        <w:t xml:space="preserve"> </w:t>
      </w:r>
      <w:r>
        <w:t xml:space="preserve">- Device trust signals as CA inputs (covered under SRA §6 — Device Trust)</w:t>
      </w:r>
      <w:r>
        <w:t xml:space="preserve"> </w:t>
      </w:r>
      <w:r>
        <w:t xml:space="preserve">- Service account lifecycle beyond identity governance scope (future roadmap item)</w:t>
      </w:r>
    </w:p>
    <w:p>
      <w:pPr>
        <w:pStyle w:val="BodyText"/>
      </w:pPr>
      <w:r>
        <w:rPr>
          <w:b/>
          <w:bCs/>
        </w:rPr>
        <w:t xml:space="preserve">Authoritative References:</w:t>
      </w:r>
      <w:r>
        <w:t xml:space="preserve"> </w:t>
      </w:r>
      <w:r>
        <w:t xml:space="preserve">- Trust Security Reference Architecture (TSRA), §4</w:t>
      </w:r>
      <w:r>
        <w:t xml:space="preserve"> </w:t>
      </w:r>
      <w:r>
        <w:t xml:space="preserve">- SRA Control Register (</w:t>
      </w:r>
      <w:r>
        <w:rPr>
          <w:rStyle w:val="VerbatimChar"/>
        </w:rPr>
        <w:t xml:space="preserve">SRA_Control_Register.xlsx</w:t>
      </w:r>
      <w:r>
        <w:t xml:space="preserve">), Control ID: CTRL-004</w:t>
      </w:r>
      <w:r>
        <w:t xml:space="preserve"> </w:t>
      </w:r>
      <w:r>
        <w:t xml:space="preserve">- D2 Architecture Diagrams: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04-staff-authentication-flow.d2</w:t>
      </w:r>
      <w:r>
        <w:t xml:space="preserve"> </w:t>
      </w:r>
      <w:r>
        <w:t xml:space="preserve">— Staff authentication with Entra CA risk assessment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05-staff-conditional-access-policy-matrix.d2</w:t>
      </w:r>
      <w:r>
        <w:t xml:space="preserve"> </w:t>
      </w:r>
      <w:r>
        <w:t xml:space="preserve">— Four-tier conditional access matrix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06-student-authentication-flow.d2</w:t>
      </w:r>
      <w:r>
        <w:t xml:space="preserve"> </w:t>
      </w:r>
      <w:r>
        <w:t xml:space="preserve">— Student provisioning and SSO flow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07-customer-authentication-flow.d2</w:t>
      </w:r>
      <w:r>
        <w:t xml:space="preserve"> </w:t>
      </w:r>
      <w:r>
        <w:t xml:space="preserve">— Customer registration and access control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08-identity-and-access-architecture.d2</w:t>
      </w:r>
      <w:r>
        <w:t xml:space="preserve"> </w:t>
      </w:r>
      <w:r>
        <w:t xml:space="preserve">— Unified IAM architecture overview</w:t>
      </w:r>
      <w:r>
        <w:t xml:space="preserve"> </w:t>
      </w:r>
      <w:r>
        <w:t xml:space="preserve">- STRIDE ISP 4.1 — Identity Management, Authentication, and Access Control (PR.AA)</w:t>
      </w:r>
    </w:p>
    <w:p>
      <w:r>
        <w:pict>
          <v:rect style="width:0;height:1.5pt" o:hralign="center" o:hrstd="t" o:hr="t"/>
        </w:pict>
      </w:r>
    </w:p>
    <w:bookmarkEnd w:id="9"/>
    <w:bookmarkStart w:id="10" w:name="governance-authority"/>
    <w:p>
      <w:pPr>
        <w:pStyle w:val="Heading2"/>
      </w:pPr>
      <w:r>
        <w:t xml:space="preserve">2. Governance Authority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RACI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Owns identity platform operations (Entra, Okta, SailPoint), manages access policies, produces control evidence</w:t>
            </w:r>
          </w:p>
        </w:tc>
        <w:tc>
          <w:tcPr/>
          <w:p>
            <w:pPr>
              <w:pStyle w:val="Compact"/>
            </w:pPr>
            <w:r>
              <w:t xml:space="preserve">Accountable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Architecture</w:t>
            </w:r>
          </w:p>
        </w:tc>
        <w:tc>
          <w:tcPr/>
          <w:p>
            <w:pPr>
              <w:pStyle w:val="Compact"/>
            </w:pPr>
            <w:r>
              <w:t xml:space="preserve">Defines identity architecture standards, reviews design decisions, maintains D2 diagrams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Operations</w:t>
            </w:r>
          </w:p>
        </w:tc>
        <w:tc>
          <w:tcPr/>
          <w:p>
            <w:pPr>
              <w:pStyle w:val="Compact"/>
            </w:pPr>
            <w:r>
              <w:t xml:space="preserve">Monitors authentication anomalies, escalates identity-related incidents</w:t>
            </w:r>
          </w:p>
        </w:tc>
        <w:tc>
          <w:tcPr/>
          <w:p>
            <w:pPr>
              <w:pStyle w:val="Compact"/>
            </w:pPr>
            <w:r>
              <w:t xml:space="preserve">Consulted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GRC / Compliance</w:t>
            </w:r>
          </w:p>
        </w:tc>
        <w:tc>
          <w:tcPr/>
          <w:p>
            <w:pPr>
              <w:pStyle w:val="Compact"/>
            </w:pPr>
            <w:r>
              <w:t xml:space="preserve">Validates SOX ITGC and FERPA alignment for identity controls; reviews audit evidence</w:t>
            </w:r>
          </w:p>
        </w:tc>
        <w:tc>
          <w:tcPr/>
          <w:p>
            <w:pPr>
              <w:pStyle w:val="Compact"/>
            </w:pPr>
            <w:r>
              <w:t xml:space="preserve">Informed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Security Leadership</w:t>
            </w:r>
          </w:p>
        </w:tc>
        <w:tc>
          <w:tcPr/>
          <w:p>
            <w:pPr>
              <w:pStyle w:val="Compact"/>
            </w:pPr>
            <w:r>
              <w:t xml:space="preserve">Approves governance position and any risk acceptance for deferred controls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</w:tr>
    </w:tbl>
    <w:p>
      <w:pPr>
        <w:pStyle w:val="BodyText"/>
      </w:pPr>
      <w:r>
        <w:rPr>
          <w:i/>
          <w:iCs/>
        </w:rPr>
        <w:t xml:space="preserve">RACI assignments align to STRIDE GV.RR policy intent.</w:t>
      </w:r>
    </w:p>
    <w:p>
      <w:r>
        <w:pict>
          <v:rect style="width:0;height:1.5pt" o:hralign="center" o:hrstd="t" o:hr="t"/>
        </w:pict>
      </w:r>
    </w:p>
    <w:bookmarkEnd w:id="10"/>
    <w:bookmarkStart w:id="11" w:name="architecture-summary"/>
    <w:p>
      <w:pPr>
        <w:pStyle w:val="Heading2"/>
      </w:pPr>
      <w:r>
        <w:t xml:space="preserve">3. Architecture Summary</w:t>
      </w:r>
    </w:p>
    <w:p>
      <w:pPr>
        <w:pStyle w:val="FirstParagraph"/>
      </w:pPr>
      <w:r>
        <w:t xml:space="preserve">The Identity and Access Architecture implements a dual-IdP model with unified governance, serving three distinct persona sets across the Stride environment:</w:t>
      </w:r>
    </w:p>
    <w:p>
      <w:pPr>
        <w:pStyle w:val="BodyText"/>
      </w:pPr>
      <w:r>
        <w:rPr>
          <w:b/>
          <w:bCs/>
        </w:rPr>
        <w:t xml:space="preserve">Workforce Identity — Microsoft Entra ID:</w:t>
      </w:r>
      <w:r>
        <w:t xml:space="preserve"> </w:t>
      </w:r>
      <w:r>
        <w:t xml:space="preserve">- Primary identity provider for all staff personas (SRA §3)</w:t>
      </w:r>
      <w:r>
        <w:t xml:space="preserve"> </w:t>
      </w:r>
      <w:r>
        <w:t xml:space="preserve">- Conditional access policies enforce risk-adaptive authentication across four tiers: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Privileged Access:</w:t>
      </w:r>
      <w:r>
        <w:t xml:space="preserve"> </w:t>
      </w:r>
      <w:r>
        <w:t xml:space="preserve">Device compliance + CrowdStrike required, strong MFA (FIDO/WHfB), 15-minute session timeout, re-auth every session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Risk:</w:t>
      </w:r>
      <w:r>
        <w:t xml:space="preserve"> </w:t>
      </w:r>
      <w:r>
        <w:t xml:space="preserve">Device compliance + CrowdStrike required, FIDO/WHfB, 1-hour session timeout, re-auth every session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 Risk:</w:t>
      </w:r>
      <w:r>
        <w:t xml:space="preserve"> </w:t>
      </w:r>
      <w:r>
        <w:t xml:space="preserve">Device compliance + CrowdStrike required, numeric OTP, 4-hour session timeout, daily re-auth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Risk:</w:t>
      </w:r>
      <w:r>
        <w:t xml:space="preserve"> </w:t>
      </w:r>
      <w:r>
        <w:t xml:space="preserve">Device compliance + CrowdStrike required, standard auth, 8-hour session timeout, weekly re-auth</w:t>
      </w:r>
      <w:r>
        <w:t xml:space="preserve"> </w:t>
      </w:r>
      <w:r>
        <w:t xml:space="preserve">- Entra Identity Protection provides risk-based conditional access evaluation; high-risk sign-ins trigger MFA step-up before token issuance</w:t>
      </w:r>
      <w:r>
        <w:t xml:space="preserve"> </w:t>
      </w:r>
      <w:r>
        <w:t xml:space="preserve">- SAML/OIDC app registrations federate workforce applications</w:t>
      </w:r>
    </w:p>
    <w:p>
      <w:pPr>
        <w:pStyle w:val="BodyText"/>
      </w:pPr>
      <w:r>
        <w:rPr>
          <w:b/>
          <w:bCs/>
        </w:rPr>
        <w:t xml:space="preserve">External Identity — Okta CIAM:</w:t>
      </w:r>
      <w:r>
        <w:t xml:space="preserve"> </w:t>
      </w:r>
      <w:r>
        <w:t xml:space="preserve">- Customer-facing identity for student and customer personas</w:t>
      </w:r>
      <w:r>
        <w:t xml:space="preserve"> </w:t>
      </w:r>
      <w:r>
        <w:t xml:space="preserve">- Adaptive authentication policies with token-based authorization</w:t>
      </w:r>
      <w:r>
        <w:t xml:space="preserve"> </w:t>
      </w:r>
      <w:r>
        <w:t xml:space="preserve">- Student lifecycle: enrollment → SailPoint provisioning to Okta CIAM → policy SSO with adaptive checks → token authentication → deprovisioning on withdrawal</w:t>
      </w:r>
      <w:r>
        <w:t xml:space="preserve"> </w:t>
      </w:r>
      <w:r>
        <w:t xml:space="preserve">- Customer lifecycle: self-service portal → credential verification → MFA setup → risk-sensitive session policy → token-based authorization</w:t>
      </w:r>
    </w:p>
    <w:p>
      <w:pPr>
        <w:pStyle w:val="BodyText"/>
      </w:pPr>
      <w:r>
        <w:rPr>
          <w:b/>
          <w:bCs/>
        </w:rPr>
        <w:t xml:space="preserve">Unified Governance — SailPoint IdentityNow:</w:t>
      </w:r>
      <w:r>
        <w:t xml:space="preserve"> </w:t>
      </w:r>
      <w:r>
        <w:t xml:space="preserve">- Aggregates identities from both Entra ID and Okta CIAM into a unified identity cube</w:t>
      </w:r>
      <w:r>
        <w:t xml:space="preserve"> </w:t>
      </w:r>
      <w:r>
        <w:t xml:space="preserve">- Joiner/mover/leaver automation ensures consistent provisioning and deprovisioning across both IdPs</w:t>
      </w:r>
      <w:r>
        <w:t xml:space="preserve"> </w:t>
      </w:r>
      <w:r>
        <w:t xml:space="preserve">- Access certification campaigns enforce periodic review of entitlements</w:t>
      </w:r>
      <w:r>
        <w:t xml:space="preserve"> </w:t>
      </w:r>
      <w:r>
        <w:t xml:space="preserve">- Separation of duties (SoD) policies prevent toxic role combinations</w:t>
      </w:r>
      <w:r>
        <w:t xml:space="preserve"> </w:t>
      </w:r>
      <w:r>
        <w:t xml:space="preserve">- ServiceNow integration provides attestation workflows and evidence trails</w:t>
      </w:r>
    </w:p>
    <w:p>
      <w:pPr>
        <w:pStyle w:val="Block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- Trust model and policy engine: SRA §2</w:t>
      </w:r>
      <w:r>
        <w:t xml:space="preserve"> </w:t>
      </w:r>
      <w:r>
        <w:t xml:space="preserve">- Persona-specific boundaries (staff, student, customer): SRA §3</w:t>
      </w:r>
      <w:r>
        <w:t xml:space="preserve"> </w:t>
      </w:r>
      <w:r>
        <w:t xml:space="preserve">- Privileged access (elevated staff): SRA §5</w:t>
      </w:r>
      <w:r>
        <w:t xml:space="preserve"> </w:t>
      </w:r>
      <w:r>
        <w:t xml:space="preserve">- Device compliance signals as CA inputs: SRA §6</w:t>
      </w:r>
      <w:r>
        <w:t xml:space="preserve"> </w:t>
      </w:r>
      <w:r>
        <w:t xml:space="preserve">- Operational correlation and incident handling: SRA §9</w:t>
      </w:r>
    </w:p>
    <w:p>
      <w:pPr>
        <w:pStyle w:val="FirstParagraph"/>
      </w:pPr>
      <w:r>
        <w:rPr>
          <w:b/>
          <w:bCs/>
        </w:rPr>
        <w:t xml:space="preserve">Current-State Architecture Diagrams:</w:t>
      </w:r>
    </w:p>
    <w:p>
      <w:pPr>
        <w:pStyle w:val="BlockText"/>
      </w:pPr>
      <w:r>
        <w:t xml:space="preserve">See:</w:t>
      </w:r>
      <w:r>
        <w:t xml:space="preserve"> </w:t>
      </w:r>
      <w:r>
        <w:rPr>
          <w:rStyle w:val="VerbatimChar"/>
        </w:rPr>
        <w:t xml:space="preserve">08-identity-and-access-architecture.d2</w:t>
      </w:r>
      <w:r>
        <w:t xml:space="preserve"> </w:t>
      </w:r>
      <w:r>
        <w:t xml:space="preserve">(overview),</w:t>
      </w:r>
      <w:r>
        <w:t xml:space="preserve"> </w:t>
      </w:r>
      <w:r>
        <w:rPr>
          <w:rStyle w:val="VerbatimChar"/>
        </w:rPr>
        <w:t xml:space="preserve">04-staff-authentication-flow.d2</w:t>
      </w:r>
      <w:r>
        <w:t xml:space="preserve">,</w:t>
      </w:r>
      <w:r>
        <w:t xml:space="preserve"> </w:t>
      </w:r>
      <w:r>
        <w:rPr>
          <w:rStyle w:val="VerbatimChar"/>
        </w:rPr>
        <w:t xml:space="preserve">05-staff-conditional-access-policy-matrix.d2</w:t>
      </w:r>
      <w:r>
        <w:t xml:space="preserve">,</w:t>
      </w:r>
      <w:r>
        <w:t xml:space="preserve"> </w:t>
      </w:r>
      <w:r>
        <w:rPr>
          <w:rStyle w:val="VerbatimChar"/>
        </w:rPr>
        <w:t xml:space="preserve">06-student-authentication-flow.d2</w:t>
      </w:r>
      <w:r>
        <w:t xml:space="preserve">,</w:t>
      </w:r>
      <w:r>
        <w:t xml:space="preserve"> </w:t>
      </w:r>
      <w:r>
        <w:rPr>
          <w:rStyle w:val="VerbatimChar"/>
        </w:rPr>
        <w:t xml:space="preserve">07-customer-authentication-flow.d2</w:t>
      </w:r>
      <w:r>
        <w:t xml:space="preserve"> </w:t>
      </w:r>
      <w:r>
        <w:t xml:space="preserve">(rendered in</w:t>
      </w:r>
      <w:r>
        <w:t xml:space="preserve"> </w:t>
      </w:r>
      <w:r>
        <w:rPr>
          <w:rStyle w:val="VerbatimChar"/>
        </w:rPr>
        <w:t xml:space="preserve">rendering_svg_v3/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rendering_png_v3/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1"/>
    <w:bookmarkStart w:id="12" w:name="nist-csf-2.0-alignment"/>
    <w:p>
      <w:pPr>
        <w:pStyle w:val="Heading2"/>
      </w:pPr>
      <w:r>
        <w:t xml:space="preserve">4. NIST CSF 2.0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NIST CSF 2.0 ID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Subcategory Description</w:t>
            </w:r>
          </w:p>
        </w:tc>
        <w:tc>
          <w:tcPr/>
          <w:p>
            <w:pPr>
              <w:pStyle w:val="Compact"/>
            </w:pPr>
            <w:r>
              <w:t xml:space="preserve">Implementation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PR.AA-01</w:t>
            </w:r>
          </w:p>
        </w:tc>
        <w:tc>
          <w:tcPr/>
          <w:p>
            <w:pPr>
              <w:pStyle w:val="Compact"/>
            </w:pPr>
            <w:r>
              <w:t xml:space="preserve">Protect</w:t>
            </w:r>
          </w:p>
        </w:tc>
        <w:tc>
          <w:tcPr/>
          <w:p>
            <w:pPr>
              <w:pStyle w:val="Compact"/>
            </w:pPr>
            <w:r>
              <w:t xml:space="preserve">Identities and credentials for authorized users, services, and hardware are managed by the organization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PR.AA-02</w:t>
            </w:r>
          </w:p>
        </w:tc>
        <w:tc>
          <w:tcPr/>
          <w:p>
            <w:pPr>
              <w:pStyle w:val="Compact"/>
            </w:pPr>
            <w:r>
              <w:t xml:space="preserve">Protect</w:t>
            </w:r>
          </w:p>
        </w:tc>
        <w:tc>
          <w:tcPr/>
          <w:p>
            <w:pPr>
              <w:pStyle w:val="Compact"/>
            </w:pPr>
            <w:r>
              <w:t xml:space="preserve">Identities are proofed and bound to credentials based on the context of interactions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PR.PS-01</w:t>
            </w:r>
          </w:p>
        </w:tc>
        <w:tc>
          <w:tcPr/>
          <w:p>
            <w:pPr>
              <w:pStyle w:val="Compact"/>
            </w:pPr>
            <w:r>
              <w:t xml:space="preserve">Protect</w:t>
            </w:r>
          </w:p>
        </w:tc>
        <w:tc>
          <w:tcPr/>
          <w:p>
            <w:pPr>
              <w:pStyle w:val="Compact"/>
            </w:pPr>
            <w:r>
              <w:t xml:space="preserve">Configuration management practices are established and applied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Control Register,</w:t>
      </w:r>
      <w:r>
        <w:rPr>
          <w:i/>
          <w:iCs/>
        </w:rPr>
        <w:t xml:space="preserve"> </w:t>
      </w:r>
      <w:r>
        <w:rPr>
          <w:i/>
          <w:iCs/>
        </w:rPr>
        <w:t xml:space="preserve">“NIST CSF Crosswalk”</w:t>
      </w:r>
      <w:r>
        <w:rPr>
          <w:i/>
          <w:iCs/>
        </w:rPr>
        <w:t xml:space="preserve"> </w:t>
      </w:r>
      <w:r>
        <w:rPr>
          <w:i/>
          <w:iCs/>
        </w:rPr>
        <w:t xml:space="preserve">sheet, filtered to CTRL-004.</w:t>
      </w:r>
    </w:p>
    <w:p>
      <w:pPr>
        <w:pStyle w:val="BodyText"/>
      </w:pPr>
      <w:r>
        <w:rPr>
          <w:b/>
          <w:bCs/>
        </w:rPr>
        <w:t xml:space="preserve">Gap Notes: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PR.AA-01</w:t>
      </w:r>
      <w:r>
        <w:t xml:space="preserve">: Entra ID and Okta CIAM fully manage workforce and external identities respectively; SailPoint provides unified lifecycle governance. Gap: automated credential lifecycle for non-federated service accounts is not yet fully onboarded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PR.AA-02</w:t>
      </w:r>
      <w:r>
        <w:t xml:space="preserve">: Staff identities are proofed through HR-driven provisioning; student identities are proofed through enrollment verification; customer identities use self-service with credential verification. Gap: identity proofing strength varies by persona — no unified assurance-level framework yet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PR.PS-01</w:t>
      </w:r>
      <w:r>
        <w:t xml:space="preserve">: Conditional access policies are version-controlled and tiered by risk. Gap: Okta CIAM policy configuration is not yet managed as code (future infrastructure-as-code initiative)</w:t>
      </w:r>
    </w:p>
    <w:p>
      <w:r>
        <w:pict>
          <v:rect style="width:0;height:1.5pt" o:hralign="center" o:hrstd="t" o:hr="t"/>
        </w:pict>
      </w:r>
    </w:p>
    <w:bookmarkEnd w:id="12"/>
    <w:bookmarkStart w:id="13" w:name="control-objectives-and-requirements"/>
    <w:p>
      <w:pPr>
        <w:pStyle w:val="Heading2"/>
      </w:pPr>
      <w:r>
        <w:t xml:space="preserve">5. Control Objectives and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t xml:space="preserve">Control Description</w:t>
            </w:r>
          </w:p>
        </w:tc>
        <w:tc>
          <w:tcPr/>
          <w:p>
            <w:pPr>
              <w:pStyle w:val="Compact"/>
            </w:pPr>
            <w:r>
              <w:t xml:space="preserve">Primary Tooling</w:t>
            </w:r>
          </w:p>
        </w:tc>
        <w:tc>
          <w:tcPr/>
          <w:p>
            <w:pPr>
              <w:pStyle w:val="Compact"/>
            </w:pPr>
            <w:r>
              <w:t xml:space="preserve">Evidence Source</w:t>
            </w:r>
          </w:p>
        </w:tc>
        <w:tc>
          <w:tcPr/>
          <w:p>
            <w:pPr>
              <w:pStyle w:val="Compact"/>
            </w:pPr>
            <w:r>
              <w:t xml:space="preserve">Review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CTRL-004</w:t>
            </w:r>
          </w:p>
        </w:tc>
        <w:tc>
          <w:tcPr/>
          <w:p>
            <w:pPr>
              <w:pStyle w:val="Compact"/>
            </w:pPr>
            <w:r>
              <w:t xml:space="preserve">Identity and access controls across workforce and external populations including conditional access, lifecycle management, and governance</w:t>
            </w:r>
          </w:p>
        </w:tc>
        <w:tc>
          <w:tcPr/>
          <w:p>
            <w:pPr>
              <w:pStyle w:val="Compact"/>
            </w:pPr>
            <w:r>
              <w:t xml:space="preserve">Entra ID; Okta CIAM; SailPoint IdentityNow</w:t>
            </w:r>
          </w:p>
        </w:tc>
        <w:tc>
          <w:tcPr/>
          <w:p>
            <w:pPr>
              <w:pStyle w:val="Compact"/>
            </w:pPr>
            <w:r>
              <w:t xml:space="preserve">Entra policy exports; IAM standards; SailPoint certification reports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Requirements:</w:t>
      </w:r>
      <w:r>
        <w:t xml:space="preserve"> </w:t>
      </w:r>
      <w:r>
        <w:t xml:space="preserve">1. All workforce authentication must traverse Entra ID conditional access policies with risk-tier-appropriate controls enforced (device compliance, MFA strength, session limits)</w:t>
      </w:r>
      <w:r>
        <w:t xml:space="preserve"> </w:t>
      </w:r>
      <w:r>
        <w:t xml:space="preserve">2. Student provisioning must flow through SailPoint → Okta CIAM with automated deprovisioning on withdrawal events within 24 hours</w:t>
      </w:r>
      <w:r>
        <w:t xml:space="preserve"> </w:t>
      </w:r>
      <w:r>
        <w:t xml:space="preserve">3. Customer registration must enforce credential verification and MFA enrollment before access is granted</w:t>
      </w:r>
      <w:r>
        <w:t xml:space="preserve"> </w:t>
      </w:r>
      <w:r>
        <w:t xml:space="preserve">4. Access certification campaigns must complete quarterly for workforce entitlements and semi-annually for external entitlements</w:t>
      </w:r>
      <w:r>
        <w:t xml:space="preserve"> </w:t>
      </w:r>
      <w:r>
        <w:t xml:space="preserve">5. Separation of duties (SoD) policy violations must be flagged and remediated or risk-accepted before access is granted</w:t>
      </w:r>
      <w:r>
        <w:t xml:space="preserve"> </w:t>
      </w:r>
      <w:r>
        <w:t xml:space="preserve">6. All conditional access policy changes must follow change management processes with documented approvals</w:t>
      </w:r>
    </w:p>
    <w:p>
      <w:r>
        <w:pict>
          <v:rect style="width:0;height:1.5pt" o:hralign="center" o:hrstd="t" o:hr="t"/>
        </w:pict>
      </w:r>
    </w:p>
    <w:bookmarkEnd w:id="13"/>
    <w:bookmarkStart w:id="14" w:name="implementation-status-and-roadmap"/>
    <w:p>
      <w:pPr>
        <w:pStyle w:val="Heading2"/>
      </w:pPr>
      <w:r>
        <w:t xml:space="preserve">6. Implementation Status and Roadmap</w:t>
      </w:r>
    </w:p>
    <w:p>
      <w:pPr>
        <w:pStyle w:val="FirstParagraph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Partially Implemented</w:t>
      </w:r>
    </w:p>
    <w:p>
      <w:pPr>
        <w:pStyle w:val="BodyText"/>
      </w:pPr>
      <w:r>
        <w:rPr>
          <w:b/>
          <w:bCs/>
        </w:rPr>
        <w:t xml:space="preserve">Maturity Assessment: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place:</w:t>
      </w:r>
      <w:r>
        <w:t xml:space="preserve"> </w:t>
      </w:r>
      <w:r>
        <w:t xml:space="preserve">Entra ID conditional access with four risk tiers enforced; Okta CIAM operational for student and customer authentication; SailPoint IdentityNow lifecycle automation for joiner/mover/leaver; FIDO2 and WHfB available for staff; MFA enforcement across all tiers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flight:</w:t>
      </w:r>
      <w:r>
        <w:t xml:space="preserve"> </w:t>
      </w:r>
      <w:r>
        <w:t xml:space="preserve">SailPoint access certification campaign automation; SoD policy refinement for complex role combinations; Okta CIAM adaptive policy tuning based on risk analytics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Deferred:</w:t>
      </w:r>
      <w:r>
        <w:t xml:space="preserve"> </w:t>
      </w:r>
      <w:r>
        <w:t xml:space="preserve">Okta CIAM policy-as-code management; unified identity assurance-level framework; non-federated service account onboarding to SailPoint; decentralized identity exploration (long-term)</w:t>
      </w:r>
    </w:p>
    <w:p>
      <w:pPr>
        <w:pStyle w:val="BodyText"/>
      </w:pPr>
      <w:r>
        <w:rPr>
          <w:b/>
          <w:bCs/>
        </w:rPr>
        <w:t xml:space="preserve">Roadmap Alignment:</w:t>
      </w:r>
      <w:r>
        <w:t xml:space="preserve"> </w:t>
      </w:r>
      <w:r>
        <w:t xml:space="preserve">&gt; See: SRA §11, Implementation Roadmap Phase 2 — Identity + Privileged</w:t>
      </w:r>
      <w:r>
        <w:br/>
      </w:r>
      <w:r>
        <w:t xml:space="preserve">&gt; Diagram:</w:t>
      </w:r>
      <w:r>
        <w:t xml:space="preserve"> </w:t>
      </w:r>
      <w:r>
        <w:rPr>
          <w:rStyle w:val="VerbatimChar"/>
        </w:rPr>
        <w:t xml:space="preserve">15-implementation-roadmap-v2.d2</w:t>
      </w:r>
      <w:r>
        <w:t xml:space="preserve">, Phase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SailPoint access certification automation (workforce)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  <w:tc>
          <w:tcPr/>
          <w:p>
            <w:pPr>
              <w:pStyle w:val="Compact"/>
            </w:pPr>
            <w:r>
              <w:t xml:space="preserve">In 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SoD policy expansion for cross-IdP role combinations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  <w:tc>
          <w:tcPr/>
          <w:p>
            <w:pPr>
              <w:pStyle w:val="Compact"/>
            </w:pPr>
            <w:r>
              <w:t xml:space="preserve">In 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Okta CIAM adaptive policy tuning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Okta CIAM policy-as-code migration</w:t>
            </w:r>
          </w:p>
        </w:tc>
        <w:tc>
          <w:tcPr/>
          <w:p>
            <w:pPr>
              <w:pStyle w:val="Compact"/>
            </w:pPr>
            <w:r>
              <w:t xml:space="preserve">Q4 2026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identity assurance-level framework</w:t>
            </w:r>
          </w:p>
        </w:tc>
        <w:tc>
          <w:tcPr/>
          <w:p>
            <w:pPr>
              <w:pStyle w:val="Compact"/>
            </w:pPr>
            <w:r>
              <w:t xml:space="preserve">Q1 2027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Non-federated service account SailPoint onboarding</w:t>
            </w:r>
          </w:p>
        </w:tc>
        <w:tc>
          <w:tcPr/>
          <w:p>
            <w:pPr>
              <w:pStyle w:val="Compact"/>
            </w:pPr>
            <w:r>
              <w:t xml:space="preserve">Q1 2027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key-performance-indicators"/>
    <w:p>
      <w:pPr>
        <w:pStyle w:val="Heading2"/>
      </w:pPr>
      <w:r>
        <w:t xml:space="preserve">7. Key Performance Indicators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Metric Type</w:t>
            </w:r>
          </w:p>
        </w:tc>
        <w:tc>
          <w:tcPr/>
          <w:p>
            <w:pPr>
              <w:pStyle w:val="Compact"/>
            </w:pPr>
            <w:r>
              <w:t xml:space="preserve">Target / Threshold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 enforcement rate (workforce)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100% of staff sign-ins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IAM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 enrollment rate (students + customers)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≥ 95% of active external accounts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IAM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 access policy coverage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100% of workforce apps under CA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IAM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certification completion rate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100% of campaigns completed by deadline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IAM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Joiner provisioning SLA</w:t>
            </w:r>
          </w:p>
        </w:tc>
        <w:tc>
          <w:tcPr/>
          <w:p>
            <w:pPr>
              <w:pStyle w:val="Compact"/>
            </w:pPr>
            <w:r>
              <w:t xml:space="preserve">Time-Based</w:t>
            </w:r>
          </w:p>
        </w:tc>
        <w:tc>
          <w:tcPr/>
          <w:p>
            <w:pPr>
              <w:pStyle w:val="Compact"/>
            </w:pPr>
            <w:r>
              <w:t xml:space="preserve">≤ 4 hours from HR event to account activation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IAM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Leaver deprovisioning SLA</w:t>
            </w:r>
          </w:p>
        </w:tc>
        <w:tc>
          <w:tcPr/>
          <w:p>
            <w:pPr>
              <w:pStyle w:val="Compact"/>
            </w:pPr>
            <w:r>
              <w:t xml:space="preserve">Time-Based</w:t>
            </w:r>
          </w:p>
        </w:tc>
        <w:tc>
          <w:tcPr/>
          <w:p>
            <w:pPr>
              <w:pStyle w:val="Compact"/>
            </w:pPr>
            <w:r>
              <w:t xml:space="preserve">≤ 24 hours from termination event to full deprovisioning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IAM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SoD violation rate</w:t>
            </w:r>
          </w:p>
        </w:tc>
        <w:tc>
          <w:tcPr/>
          <w:p>
            <w:pPr>
              <w:pStyle w:val="Compact"/>
            </w:pPr>
            <w:r>
              <w:t xml:space="preserve">Risk Outcome</w:t>
            </w:r>
          </w:p>
        </w:tc>
        <w:tc>
          <w:tcPr/>
          <w:p>
            <w:pPr>
              <w:pStyle w:val="Compact"/>
            </w:pPr>
            <w:r>
              <w:t xml:space="preserve">0 unresolved violations beyond grace period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IAM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§12, KPI Framework. See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17-kpi-framework.d2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regulatory-alignment"/>
    <w:p>
      <w:pPr>
        <w:pStyle w:val="Heading2"/>
      </w:pPr>
      <w:r>
        <w:t xml:space="preserve">8. Regulatory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Applicable Requirements</w:t>
            </w:r>
          </w:p>
        </w:tc>
        <w:tc>
          <w:tcPr/>
          <w:p>
            <w:pPr>
              <w:pStyle w:val="Compact"/>
            </w:pPr>
            <w:r>
              <w:t xml:space="preserve">SRA Mapping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(IT General Controls)</w:t>
            </w:r>
          </w:p>
        </w:tc>
        <w:tc>
          <w:tcPr/>
          <w:p>
            <w:pPr>
              <w:pStyle w:val="Compact"/>
            </w:pPr>
            <w:r>
              <w:t xml:space="preserve">Logical access to programs and data: identity controls must authenticate and authorize all users before access is granted</w:t>
            </w:r>
          </w:p>
        </w:tc>
        <w:tc>
          <w:tcPr/>
          <w:p>
            <w:pPr>
              <w:pStyle w:val="Compact"/>
            </w:pPr>
            <w:r>
              <w:t xml:space="preserve">§4, CTRL-004</w:t>
            </w:r>
          </w:p>
        </w:tc>
        <w:tc>
          <w:tcPr/>
          <w:p>
            <w:pPr>
              <w:pStyle w:val="Compact"/>
            </w:pPr>
            <w:r>
              <w:t xml:space="preserve">Entra CA policy exports; Okta CIAM policy configurations; SailPoint certification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(IT General Controls)</w:t>
            </w:r>
          </w:p>
        </w:tc>
        <w:tc>
          <w:tcPr/>
          <w:p>
            <w:pPr>
              <w:pStyle w:val="Compact"/>
            </w:pPr>
            <w:r>
              <w:t xml:space="preserve">User account management: joiner/mover/leaver processes must ensure timely provisioning and deprovisioning</w:t>
            </w:r>
          </w:p>
        </w:tc>
        <w:tc>
          <w:tcPr/>
          <w:p>
            <w:pPr>
              <w:pStyle w:val="Compact"/>
            </w:pPr>
            <w:r>
              <w:t xml:space="preserve">§4, CTRL-004</w:t>
            </w:r>
          </w:p>
        </w:tc>
        <w:tc>
          <w:tcPr/>
          <w:p>
            <w:pPr>
              <w:pStyle w:val="Compact"/>
            </w:pPr>
            <w:r>
              <w:t xml:space="preserve">SailPoint lifecycle audit trails; deprovisioning SLA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(IT General Controls)</w:t>
            </w:r>
          </w:p>
        </w:tc>
        <w:tc>
          <w:tcPr/>
          <w:p>
            <w:pPr>
              <w:pStyle w:val="Compact"/>
            </w:pPr>
            <w:r>
              <w:t xml:space="preserve">Segregation of duties: access entitlements must not create toxic role combinations</w:t>
            </w:r>
          </w:p>
        </w:tc>
        <w:tc>
          <w:tcPr/>
          <w:p>
            <w:pPr>
              <w:pStyle w:val="Compact"/>
            </w:pPr>
            <w:r>
              <w:t xml:space="preserve">§4, CTRL-004</w:t>
            </w:r>
          </w:p>
        </w:tc>
        <w:tc>
          <w:tcPr/>
          <w:p>
            <w:pPr>
              <w:pStyle w:val="Compact"/>
            </w:pPr>
            <w:r>
              <w:t xml:space="preserve">SoD policy configuration; violation and remediation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FERPA</w:t>
            </w:r>
          </w:p>
        </w:tc>
        <w:tc>
          <w:tcPr/>
          <w:p>
            <w:pPr>
              <w:pStyle w:val="Compact"/>
            </w:pPr>
            <w:r>
              <w:t xml:space="preserve">Access to student education records must be restricted to authorized personnel with valid need</w:t>
            </w:r>
          </w:p>
        </w:tc>
        <w:tc>
          <w:tcPr/>
          <w:p>
            <w:pPr>
              <w:pStyle w:val="Compact"/>
            </w:pPr>
            <w:r>
              <w:t xml:space="preserve">§4, CTRL-004</w:t>
            </w:r>
          </w:p>
        </w:tc>
        <w:tc>
          <w:tcPr/>
          <w:p>
            <w:pPr>
              <w:pStyle w:val="Compact"/>
            </w:pPr>
            <w:r>
              <w:t xml:space="preserve">Okta CIAM access logs; SailPoint role-to-application mappings; student app authorization records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§13, Regulatory Compliance Alignment. See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18-regulatory-compliance-alignment.d2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appendix-d-control-register-snapshot"/>
    <w:p>
      <w:pPr>
        <w:pStyle w:val="Heading2"/>
      </w:pPr>
      <w:r>
        <w:t xml:space="preserve">Appendix D — Control Register Snapshot</w:t>
      </w:r>
    </w:p>
    <w:p>
      <w:pPr>
        <w:pStyle w:val="FirstParagraph"/>
      </w:pPr>
      <w:r>
        <w:rPr>
          <w:i/>
          <w:iCs/>
        </w:rPr>
        <w:t xml:space="preserve">This appendix is a derived snapshot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SRA_Control_Register.xlsx</w:t>
      </w:r>
      <w:r>
        <w:rPr>
          <w:i/>
          <w:iCs/>
        </w:rPr>
        <w:t xml:space="preserve">, filtered to SRA §4.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 not edit this table directly</w:t>
      </w:r>
      <w:r>
        <w:rPr>
          <w:i/>
          <w:iCs/>
        </w:rPr>
        <w:t xml:space="preserve"> </w:t>
      </w:r>
      <w:r>
        <w:rPr>
          <w:i/>
          <w:iCs/>
        </w:rPr>
        <w:t xml:space="preserve">— update the Excel register and regenerate.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t xml:space="preserve">SRA Section</w:t>
            </w:r>
          </w:p>
        </w:tc>
        <w:tc>
          <w:tcPr/>
          <w:p>
            <w:pPr>
              <w:pStyle w:val="Compact"/>
            </w:pPr>
            <w:r>
              <w:t xml:space="preserve">NIST CSF 2.0 IDs</w:t>
            </w:r>
          </w:p>
        </w:tc>
        <w:tc>
          <w:tcPr/>
          <w:p>
            <w:pPr>
              <w:pStyle w:val="Compact"/>
            </w:pPr>
            <w:r>
              <w:t xml:space="preserve">Evidence Source</w:t>
            </w:r>
          </w:p>
        </w:tc>
        <w:tc>
          <w:tcPr/>
          <w:p>
            <w:pPr>
              <w:pStyle w:val="Compact"/>
            </w:pPr>
            <w:r>
              <w:t xml:space="preserve">Control Owner</w:t>
            </w:r>
          </w:p>
        </w:tc>
        <w:tc>
          <w:tcPr/>
          <w:p>
            <w:pPr>
              <w:pStyle w:val="Compact"/>
            </w:pPr>
            <w:r>
              <w:t xml:space="preserve">Review Frequency</w:t>
            </w:r>
          </w:p>
        </w:tc>
        <w:tc>
          <w:tcPr/>
          <w:p>
            <w:pPr>
              <w:pStyle w:val="Compact"/>
            </w:pPr>
            <w:r>
              <w:t xml:space="preserve">Implementation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CTRL-004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PR.AA-01, PR.AA-02, PR.PS-01</w:t>
            </w:r>
          </w:p>
        </w:tc>
        <w:tc>
          <w:tcPr/>
          <w:p>
            <w:pPr>
              <w:pStyle w:val="Compact"/>
            </w:pPr>
            <w:r>
              <w:t xml:space="preserve">Entra policy exports; IAM standards; SailPoint certification reports</w:t>
            </w:r>
          </w:p>
        </w:tc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 —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March 2,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t xml:space="preserve">March 2,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Review</w:t>
            </w:r>
          </w:p>
        </w:tc>
        <w:tc>
          <w:tcPr/>
          <w:p>
            <w:pPr>
              <w:pStyle w:val="Compact"/>
            </w:pPr>
            <w:r>
              <w:t xml:space="preserve">June 2, 2026 (Quarterly)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Chain</w:t>
            </w:r>
          </w:p>
        </w:tc>
        <w:tc>
          <w:tcPr/>
          <w:p>
            <w:pPr>
              <w:pStyle w:val="Compact"/>
            </w:pPr>
            <w:r>
              <w:t xml:space="preserve">IAM → Security Architecture → Executive Security Leadership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 is governed by the TSRA Document Control model (SRA §14). See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20-document-control-metadata.d2</w:t>
      </w:r>
      <w:r>
        <w:rPr>
          <w:i/>
          <w:iCs/>
        </w:rP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2026-03-03T03:33:36Z</dcterms:created>
  <dcterms:modified xsi:type="dcterms:W3CDTF">2026-03-03T03:33:36Z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