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Enterprise Trust Security Reference Architecture Model</w:t>
      </w:r>
    </w:p>
    <w:p>
      <w:r>
        <w:t>Cloud-Native Security Architecture for Education Technology</w:t>
      </w:r>
    </w:p>
    <w:p>
      <w:r>
        <w:t>Version 1.0 — January 2026</w:t>
      </w:r>
    </w:p>
    <w:p>
      <w:r>
        <w:t>Classification: Confidential</w:t>
      </w:r>
    </w:p>
    <w:p/>
    <w:p>
      <w:r>
        <w:t>NOTE: This is an augmented copy of “SRA Enhanced.docx” with added cross-references to Stride ISP/IISP policies and NIST CSF 2.0. Embedded diagrams (SVGs) are not carried over in this export; placeholders preserve section order for manual re-insertion.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&lt;&lt;Insert automatic Table of Contents here&gt;&gt;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Enterprise Trust Security Reference Architecture (TSRA) defines how Stride establishes, evaluates, enforces, degrades, and restores trust across identities, devices, workloads, APIs, data, and operations for cloud-native education technology platforms serving staff, students, and customers.</w:t>
      </w:r>
    </w:p>
    <w:p>
      <w:r>
        <w:t>The architecture uses NIST CSF 2.0 as the primary outcomes framework and aligns to NIST SP 800-207 principles. It integrates current and planned security capabilities into a coherent model that is actionable, auditable, and resilient to tool changes, while remaining explicit about enforcement points and evidence sources.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GV.OC-01, GV.RM-01, GV.OV-01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2.1, ISP 2.2, ISP 2.5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Executive Summary / Platform Stack SVG</w:t>
      </w:r>
    </w:p>
    <w:p>
      <w:pPr>
        <w:pStyle w:val="Heading2"/>
      </w:pPr>
      <w:r>
        <w:t>1.1 Strategic Objectives</w:t>
      </w:r>
    </w:p>
    <w:p>
      <w:pPr>
        <w:pStyle w:val="ListBullet"/>
      </w:pPr>
      <w:r>
        <w:t>Implement trust principles across all personas with identity-centric, risk-adaptive controls.</w:t>
      </w:r>
    </w:p>
    <w:p>
      <w:pPr>
        <w:pStyle w:val="ListBullet"/>
      </w:pPr>
      <w:r>
        <w:t>Establish unified identity governance via SailPoint for provisioning, deprovisioning, access certification, and SoD.</w:t>
      </w:r>
    </w:p>
    <w:p>
      <w:pPr>
        <w:pStyle w:val="ListBullet"/>
      </w:pPr>
      <w:r>
        <w:t>Protect privileged access using Delinea for vaulting, rotation, and session control; mature privileged role governance with Entra PIM (future).</w:t>
      </w:r>
    </w:p>
    <w:p>
      <w:pPr>
        <w:pStyle w:val="ListBullet"/>
      </w:pPr>
      <w:r>
        <w:t>Maintain high-confidence device trust using CrowdStrike Falcon as the primary enforcement signal with Defender for Endpoint telemetry in monitor mode.</w:t>
      </w:r>
    </w:p>
    <w:p>
      <w:pPr>
        <w:pStyle w:val="ListBullet"/>
      </w:pPr>
      <w:r>
        <w:t>Continuously assess exposure using Tenable VM for vulnerability management and Tenable.cs for CSPM posture and drift.</w:t>
      </w:r>
    </w:p>
    <w:p>
      <w:pPr>
        <w:pStyle w:val="ListBullet"/>
      </w:pPr>
      <w:r>
        <w:t>Secure SDLC and supply-chain risk with Sonatype SCA, validate runtime security using Burp Suite DAST, and mature API security with Salt (future).</w:t>
      </w:r>
    </w:p>
    <w:p>
      <w:pPr>
        <w:pStyle w:val="ListBullet"/>
      </w:pPr>
      <w:r>
        <w:t>Centralize operational trust and evidence via ServiceNow SecOps; mature CMDB and cloud tagging for ownership and criticality (future).</w:t>
      </w:r>
    </w:p>
    <w:p>
      <w:pPr>
        <w:pStyle w:val="ListBullet"/>
      </w:pPr>
      <w:r>
        <w:t>Meet SOX and FERPA obligations with measurable controls and auditable evidence trails.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GV.OC-01, GV.RM-01, GV.OV-01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2.1, ISP 2.2, ISP 2.5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pPr>
        <w:pStyle w:val="Heading2"/>
      </w:pPr>
      <w:r>
        <w:t>1.2 Integrated Frameworks and Platform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</w:tr>
      <w:tr>
        <w:tc>
          <w:tcPr>
            <w:tcW w:type="dxa" w:w="2880"/>
          </w:tcPr>
          <w:p>
            <w:r>
              <w:t>Frameworks</w:t>
            </w:r>
          </w:p>
        </w:tc>
        <w:tc>
          <w:tcPr>
            <w:tcW w:type="dxa" w:w="2880"/>
          </w:tcPr>
          <w:p>
            <w:r>
              <w:t>TOGAF; NIST CSF 2.0; NIST SP 800-207</w:t>
            </w:r>
          </w:p>
        </w:tc>
        <w:tc>
          <w:tcPr>
            <w:tcW w:type="dxa" w:w="2880"/>
          </w:tcPr>
          <w:p>
            <w:r>
              <w:t>Architecture governance and security outcomes alignment</w:t>
            </w:r>
          </w:p>
        </w:tc>
      </w:tr>
      <w:tr>
        <w:tc>
          <w:tcPr>
            <w:tcW w:type="dxa" w:w="2880"/>
          </w:tcPr>
          <w:p>
            <w:r>
              <w:t>Identity - Workforce</w:t>
            </w:r>
          </w:p>
        </w:tc>
        <w:tc>
          <w:tcPr>
            <w:tcW w:type="dxa" w:w="2880"/>
          </w:tcPr>
          <w:p>
            <w:r>
              <w:t>Microsoft Entra ID</w:t>
            </w:r>
          </w:p>
        </w:tc>
        <w:tc>
          <w:tcPr>
            <w:tcW w:type="dxa" w:w="2880"/>
          </w:tcPr>
          <w:p>
            <w:r>
              <w:t>Staff authentication, Conditional Access, SSO, Identity Protection</w:t>
            </w:r>
          </w:p>
        </w:tc>
      </w:tr>
      <w:tr>
        <w:tc>
          <w:tcPr>
            <w:tcW w:type="dxa" w:w="2880"/>
          </w:tcPr>
          <w:p>
            <w:r>
              <w:t>Identity - External</w:t>
            </w:r>
          </w:p>
        </w:tc>
        <w:tc>
          <w:tcPr>
            <w:tcW w:type="dxa" w:w="2880"/>
          </w:tcPr>
          <w:p>
            <w:r>
              <w:t>Okta CIAM</w:t>
            </w:r>
          </w:p>
        </w:tc>
        <w:tc>
          <w:tcPr>
            <w:tcW w:type="dxa" w:w="2880"/>
          </w:tcPr>
          <w:p>
            <w:r>
              <w:t>Student and customer authentication, adaptive policies, token issuance (OIDC/OAuth)</w:t>
            </w:r>
          </w:p>
        </w:tc>
      </w:tr>
      <w:tr>
        <w:tc>
          <w:tcPr>
            <w:tcW w:type="dxa" w:w="2880"/>
          </w:tcPr>
          <w:p>
            <w:r>
              <w:t>Identity Governance</w:t>
            </w:r>
          </w:p>
        </w:tc>
        <w:tc>
          <w:tcPr>
            <w:tcW w:type="dxa" w:w="2880"/>
          </w:tcPr>
          <w:p>
            <w:r>
              <w:t>SailPoint IdentityNow</w:t>
            </w:r>
          </w:p>
        </w:tc>
        <w:tc>
          <w:tcPr>
            <w:tcW w:type="dxa" w:w="2880"/>
          </w:tcPr>
          <w:p>
            <w:r>
              <w:t>Lifecycle management, access certifications, SoD, provisioning</w:t>
            </w:r>
          </w:p>
        </w:tc>
      </w:tr>
      <w:tr>
        <w:tc>
          <w:tcPr>
            <w:tcW w:type="dxa" w:w="2880"/>
          </w:tcPr>
          <w:p>
            <w:r>
              <w:t>Privileged Trust</w:t>
            </w:r>
          </w:p>
        </w:tc>
        <w:tc>
          <w:tcPr>
            <w:tcW w:type="dxa" w:w="2880"/>
          </w:tcPr>
          <w:p>
            <w:r>
              <w:t>Delinea Secret Server (current); Entra PIM (future)</w:t>
            </w:r>
          </w:p>
        </w:tc>
        <w:tc>
          <w:tcPr>
            <w:tcW w:type="dxa" w:w="2880"/>
          </w:tcPr>
          <w:p>
            <w:r>
              <w:t>Credential vault, rotation, session controls; privileged role governance</w:t>
            </w:r>
          </w:p>
        </w:tc>
      </w:tr>
      <w:tr>
        <w:tc>
          <w:tcPr>
            <w:tcW w:type="dxa" w:w="2880"/>
          </w:tcPr>
          <w:p>
            <w:r>
              <w:t>Device Trust</w:t>
            </w:r>
          </w:p>
        </w:tc>
        <w:tc>
          <w:tcPr>
            <w:tcW w:type="dxa" w:w="2880"/>
          </w:tcPr>
          <w:p>
            <w:r>
              <w:t>CrowdStrike Falcon (primary); Defender for Endpoint (monitor)</w:t>
            </w:r>
          </w:p>
        </w:tc>
        <w:tc>
          <w:tcPr>
            <w:tcW w:type="dxa" w:w="2880"/>
          </w:tcPr>
          <w:p>
            <w:r>
              <w:t>EDR/XDR trust signals; supplemental telemetry</w:t>
            </w:r>
          </w:p>
        </w:tc>
      </w:tr>
      <w:tr>
        <w:tc>
          <w:tcPr>
            <w:tcW w:type="dxa" w:w="2880"/>
          </w:tcPr>
          <w:p>
            <w:r>
              <w:t>Exposure &amp; CSPM</w:t>
            </w:r>
          </w:p>
        </w:tc>
        <w:tc>
          <w:tcPr>
            <w:tcW w:type="dxa" w:w="2880"/>
          </w:tcPr>
          <w:p>
            <w:r>
              <w:t>Tenable VM; Tenable.cs</w:t>
            </w:r>
          </w:p>
        </w:tc>
        <w:tc>
          <w:tcPr>
            <w:tcW w:type="dxa" w:w="2880"/>
          </w:tcPr>
          <w:p>
            <w:r>
              <w:t>Vulnerability scanning and cloud posture management</w:t>
            </w:r>
          </w:p>
        </w:tc>
      </w:tr>
      <w:tr>
        <w:tc>
          <w:tcPr>
            <w:tcW w:type="dxa" w:w="2880"/>
          </w:tcPr>
          <w:p>
            <w:r>
              <w:t>Application Security</w:t>
            </w:r>
          </w:p>
        </w:tc>
        <w:tc>
          <w:tcPr>
            <w:tcW w:type="dxa" w:w="2880"/>
          </w:tcPr>
          <w:p>
            <w:r>
              <w:t>Sonatype SCA; Burp Suite DAST</w:t>
            </w:r>
          </w:p>
        </w:tc>
        <w:tc>
          <w:tcPr>
            <w:tcW w:type="dxa" w:w="2880"/>
          </w:tcPr>
          <w:p>
            <w:r>
              <w:t>Dependency/supply chain risk; dynamic security testing</w:t>
            </w:r>
          </w:p>
        </w:tc>
      </w:tr>
      <w:tr>
        <w:tc>
          <w:tcPr>
            <w:tcW w:type="dxa" w:w="2880"/>
          </w:tcPr>
          <w:p>
            <w:r>
              <w:t>API Security</w:t>
            </w:r>
          </w:p>
        </w:tc>
        <w:tc>
          <w:tcPr>
            <w:tcW w:type="dxa" w:w="2880"/>
          </w:tcPr>
          <w:p>
            <w:r>
              <w:t>Salt Security (future)</w:t>
            </w:r>
          </w:p>
        </w:tc>
        <w:tc>
          <w:tcPr>
            <w:tcW w:type="dxa" w:w="2880"/>
          </w:tcPr>
          <w:p>
            <w:r>
              <w:t>API discovery, behavior analytics, enforcement patterns</w:t>
            </w:r>
          </w:p>
        </w:tc>
      </w:tr>
      <w:tr>
        <w:tc>
          <w:tcPr>
            <w:tcW w:type="dxa" w:w="2880"/>
          </w:tcPr>
          <w:p>
            <w:r>
              <w:t>Operational Trust</w:t>
            </w:r>
          </w:p>
        </w:tc>
        <w:tc>
          <w:tcPr>
            <w:tcW w:type="dxa" w:w="2880"/>
          </w:tcPr>
          <w:p>
            <w:r>
              <w:t>ServiceNow SecOps; CMDB (future); Cloud Tagging (future)</w:t>
            </w:r>
          </w:p>
        </w:tc>
        <w:tc>
          <w:tcPr>
            <w:tcW w:type="dxa" w:w="2880"/>
          </w:tcPr>
          <w:p>
            <w:r>
              <w:t>Incident/change evidence, workflow automation, asset context</w:t>
            </w:r>
          </w:p>
        </w:tc>
      </w:tr>
    </w:tbl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GV.OC-01, GV.RM-01, GV.OV-01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2.1, ISP 2.2, ISP 2.5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Platform Stack SVG</w:t>
      </w:r>
    </w:p>
    <w:p>
      <w:r>
        <w:br w:type="page"/>
      </w:r>
    </w:p>
    <w:p>
      <w:pPr>
        <w:pStyle w:val="Heading1"/>
      </w:pPr>
      <w:r>
        <w:t>2. Trust Security Architecture Overview</w:t>
      </w:r>
    </w:p>
    <w:p>
      <w:r>
        <w:t>The TSRA implements the principle of 'never trust, always verify' as a continuous trust computation model. Trust is non-binary and time-bound: it is established with evidence, degraded when risk increases, and restored only after validation.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GV.PO-01, PR.AA-01, PR.PS-01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2.4, ISP 4.1, ISP 4.4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4.0, IISP 5.0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Trust Security Architecture Overview SVG</w:t>
      </w:r>
    </w:p>
    <w:p>
      <w:pPr>
        <w:pStyle w:val="Heading2"/>
      </w:pPr>
      <w:r>
        <w:t>2.1 Trust and Zero Trust Relationship</w:t>
      </w:r>
    </w:p>
    <w:p>
      <w:r>
        <w:t>Zero Trust focuses on access decisioning. Trust Architecture extends this by governing the confidence required for specific actions over time, including data actions (view/export), privileged elevations, and API behaviors.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GV.PO-01, PR.AA-01, PR.PS-01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2.4, ISP 4.1, ISP 4.4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4.0, IISP 5.0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pPr>
        <w:pStyle w:val="Heading2"/>
      </w:pPr>
      <w:r>
        <w:t>2.2 Trust Logical 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Trust Component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Enterprise Tools / Signals</w:t>
            </w:r>
          </w:p>
        </w:tc>
      </w:tr>
      <w:tr>
        <w:tc>
          <w:tcPr>
            <w:tcW w:type="dxa" w:w="2880"/>
          </w:tcPr>
          <w:p>
            <w:r>
              <w:t>Policy Engine</w:t>
            </w:r>
          </w:p>
        </w:tc>
        <w:tc>
          <w:tcPr>
            <w:tcW w:type="dxa" w:w="2880"/>
          </w:tcPr>
          <w:p>
            <w:r>
              <w:t>Decides trust level for an action</w:t>
            </w:r>
          </w:p>
        </w:tc>
        <w:tc>
          <w:tcPr>
            <w:tcW w:type="dxa" w:w="2880"/>
          </w:tcPr>
          <w:p>
            <w:r>
              <w:t>Entra Conditional Access, Okta adaptive policies, governance policies</w:t>
            </w:r>
          </w:p>
        </w:tc>
      </w:tr>
      <w:tr>
        <w:tc>
          <w:tcPr>
            <w:tcW w:type="dxa" w:w="2880"/>
          </w:tcPr>
          <w:p>
            <w:r>
              <w:t>Policy Administrator</w:t>
            </w:r>
          </w:p>
        </w:tc>
        <w:tc>
          <w:tcPr>
            <w:tcW w:type="dxa" w:w="2880"/>
          </w:tcPr>
          <w:p>
            <w:r>
              <w:t>Establishes session and elevation</w:t>
            </w:r>
          </w:p>
        </w:tc>
        <w:tc>
          <w:tcPr>
            <w:tcW w:type="dxa" w:w="2880"/>
          </w:tcPr>
          <w:p>
            <w:r>
              <w:t>Entra session controls, Okta session policies, Delinea workflows, Entra PIM (future)</w:t>
            </w:r>
          </w:p>
        </w:tc>
      </w:tr>
      <w:tr>
        <w:tc>
          <w:tcPr>
            <w:tcW w:type="dxa" w:w="2880"/>
          </w:tcPr>
          <w:p>
            <w:r>
              <w:t>Enforcement Points</w:t>
            </w:r>
          </w:p>
        </w:tc>
        <w:tc>
          <w:tcPr>
            <w:tcW w:type="dxa" w:w="2880"/>
          </w:tcPr>
          <w:p>
            <w:r>
              <w:t>Applies allow/deny/step-up/limit</w:t>
            </w:r>
          </w:p>
        </w:tc>
        <w:tc>
          <w:tcPr>
            <w:tcW w:type="dxa" w:w="2880"/>
          </w:tcPr>
          <w:p>
            <w:r>
              <w:t>App gateways, API gateways, privileged session proxy, conditional access</w:t>
            </w:r>
          </w:p>
        </w:tc>
      </w:tr>
      <w:tr>
        <w:tc>
          <w:tcPr>
            <w:tcW w:type="dxa" w:w="2880"/>
          </w:tcPr>
          <w:p>
            <w:r>
              <w:t>Identity Stores</w:t>
            </w:r>
          </w:p>
        </w:tc>
        <w:tc>
          <w:tcPr>
            <w:tcW w:type="dxa" w:w="2880"/>
          </w:tcPr>
          <w:p>
            <w:r>
              <w:t>Identity source of truth</w:t>
            </w:r>
          </w:p>
        </w:tc>
        <w:tc>
          <w:tcPr>
            <w:tcW w:type="dxa" w:w="2880"/>
          </w:tcPr>
          <w:p>
            <w:r>
              <w:t>Entra ID (workforce), Okta CIAM (external), SailPoint identity cube</w:t>
            </w:r>
          </w:p>
        </w:tc>
      </w:tr>
      <w:tr>
        <w:tc>
          <w:tcPr>
            <w:tcW w:type="dxa" w:w="2880"/>
          </w:tcPr>
          <w:p>
            <w:r>
              <w:t>Device Trust Signals</w:t>
            </w:r>
          </w:p>
        </w:tc>
        <w:tc>
          <w:tcPr>
            <w:tcW w:type="dxa" w:w="2880"/>
          </w:tcPr>
          <w:p>
            <w:r>
              <w:t>Endpoint posture and detections</w:t>
            </w:r>
          </w:p>
        </w:tc>
        <w:tc>
          <w:tcPr>
            <w:tcW w:type="dxa" w:w="2880"/>
          </w:tcPr>
          <w:p>
            <w:r>
              <w:t>CrowdStrike Falcon (primary), Defender telemetry (monitor), Tenable exposure context</w:t>
            </w:r>
          </w:p>
        </w:tc>
      </w:tr>
      <w:tr>
        <w:tc>
          <w:tcPr>
            <w:tcW w:type="dxa" w:w="2880"/>
          </w:tcPr>
          <w:p>
            <w:r>
              <w:t>Workload/Posture Signals</w:t>
            </w:r>
          </w:p>
        </w:tc>
        <w:tc>
          <w:tcPr>
            <w:tcW w:type="dxa" w:w="2880"/>
          </w:tcPr>
          <w:p>
            <w:r>
              <w:t>Cloud and workload drift</w:t>
            </w:r>
          </w:p>
        </w:tc>
        <w:tc>
          <w:tcPr>
            <w:tcW w:type="dxa" w:w="2880"/>
          </w:tcPr>
          <w:p>
            <w:r>
              <w:t>Tenable.cs posture, CI/CD attestations</w:t>
            </w:r>
          </w:p>
        </w:tc>
      </w:tr>
      <w:tr>
        <w:tc>
          <w:tcPr>
            <w:tcW w:type="dxa" w:w="2880"/>
          </w:tcPr>
          <w:p>
            <w:r>
              <w:t>App/API Signals</w:t>
            </w:r>
          </w:p>
        </w:tc>
        <w:tc>
          <w:tcPr>
            <w:tcW w:type="dxa" w:w="2880"/>
          </w:tcPr>
          <w:p>
            <w:r>
              <w:t>App risk and API behavior</w:t>
            </w:r>
          </w:p>
        </w:tc>
        <w:tc>
          <w:tcPr>
            <w:tcW w:type="dxa" w:w="2880"/>
          </w:tcPr>
          <w:p>
            <w:r>
              <w:t>Sonatype SCA, Burp DAST, Salt (future)</w:t>
            </w:r>
          </w:p>
        </w:tc>
      </w:tr>
      <w:tr>
        <w:tc>
          <w:tcPr>
            <w:tcW w:type="dxa" w:w="2880"/>
          </w:tcPr>
          <w:p>
            <w:r>
              <w:t>Operational Evidence</w:t>
            </w:r>
          </w:p>
        </w:tc>
        <w:tc>
          <w:tcPr>
            <w:tcW w:type="dxa" w:w="2880"/>
          </w:tcPr>
          <w:p>
            <w:r>
              <w:t>Incident/change/case evidence</w:t>
            </w:r>
          </w:p>
        </w:tc>
        <w:tc>
          <w:tcPr>
            <w:tcW w:type="dxa" w:w="2880"/>
          </w:tcPr>
          <w:p>
            <w:r>
              <w:t>ServiceNow SecOps, CMDB/tagging (future)</w:t>
            </w:r>
          </w:p>
        </w:tc>
      </w:tr>
    </w:tbl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GV.PO-01, PR.AA-01, PR.PS-01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2.4, ISP 4.1, ISP 4.4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4.0, IISP 5.0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Trust Logical Components SVG</w:t>
      </w:r>
    </w:p>
    <w:p>
      <w:r>
        <w:br w:type="page"/>
      </w:r>
    </w:p>
    <w:p>
      <w:pPr>
        <w:pStyle w:val="Heading1"/>
      </w:pPr>
      <w:r>
        <w:t>3. Personas and Trust Boundaries</w:t>
      </w:r>
    </w:p>
    <w:p>
      <w:r>
        <w:t>Stride serves three primary user populations with differentiated identity, session requirements, and trust assumptions.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PR.AA-01, PR.AA-03, ID.AM-01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3.1, ISP 4.1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3.0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Persona Trust Boundaries SVG</w:t>
      </w:r>
    </w:p>
    <w:p>
      <w:pPr>
        <w:pStyle w:val="Heading2"/>
      </w:pPr>
      <w:r>
        <w:t>3.1 Persona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Staff / Corporate</w:t>
            </w:r>
          </w:p>
        </w:tc>
        <w:tc>
          <w:tcPr>
            <w:tcW w:type="dxa" w:w="2160"/>
          </w:tcPr>
          <w:p>
            <w:r>
              <w:t>Students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</w:tr>
      <w:tr>
        <w:tc>
          <w:tcPr>
            <w:tcW w:type="dxa" w:w="2160"/>
          </w:tcPr>
          <w:p>
            <w:r>
              <w:t>Identity Provider</w:t>
            </w:r>
          </w:p>
        </w:tc>
        <w:tc>
          <w:tcPr>
            <w:tcW w:type="dxa" w:w="2160"/>
          </w:tcPr>
          <w:p>
            <w:r>
              <w:t>Microsoft Entra ID</w:t>
            </w:r>
          </w:p>
        </w:tc>
        <w:tc>
          <w:tcPr>
            <w:tcW w:type="dxa" w:w="2160"/>
          </w:tcPr>
          <w:p>
            <w:r>
              <w:t>Okta CIAM</w:t>
            </w:r>
          </w:p>
        </w:tc>
        <w:tc>
          <w:tcPr>
            <w:tcW w:type="dxa" w:w="2160"/>
          </w:tcPr>
          <w:p>
            <w:r>
              <w:t>Okta CIAM</w:t>
            </w:r>
          </w:p>
        </w:tc>
      </w:tr>
      <w:tr>
        <w:tc>
          <w:tcPr>
            <w:tcW w:type="dxa" w:w="2160"/>
          </w:tcPr>
          <w:p>
            <w:r>
              <w:t>Lifecycle Source</w:t>
            </w:r>
          </w:p>
        </w:tc>
        <w:tc>
          <w:tcPr>
            <w:tcW w:type="dxa" w:w="2160"/>
          </w:tcPr>
          <w:p>
            <w:r>
              <w:t>HR (via SailPoint)</w:t>
            </w:r>
          </w:p>
        </w:tc>
        <w:tc>
          <w:tcPr>
            <w:tcW w:type="dxa" w:w="2160"/>
          </w:tcPr>
          <w:p>
            <w:r>
              <w:t>SIS (via SailPoint)</w:t>
            </w:r>
          </w:p>
        </w:tc>
        <w:tc>
          <w:tcPr>
            <w:tcW w:type="dxa" w:w="2160"/>
          </w:tcPr>
          <w:p>
            <w:r>
              <w:t>Self-registration + verification</w:t>
            </w:r>
          </w:p>
        </w:tc>
      </w:tr>
      <w:tr>
        <w:tc>
          <w:tcPr>
            <w:tcW w:type="dxa" w:w="2160"/>
          </w:tcPr>
          <w:p>
            <w:r>
              <w:t>Device Trust</w:t>
            </w:r>
          </w:p>
        </w:tc>
        <w:tc>
          <w:tcPr>
            <w:tcW w:type="dxa" w:w="2160"/>
          </w:tcPr>
          <w:p>
            <w:r>
              <w:t>Required (CrowdStrike primary; Defender telemetry)</w:t>
            </w:r>
          </w:p>
        </w:tc>
        <w:tc>
          <w:tcPr>
            <w:tcW w:type="dxa" w:w="2160"/>
          </w:tcPr>
          <w:p>
            <w:r>
              <w:t>Contextual / limited (unmanaged endpoints)</w:t>
            </w:r>
          </w:p>
        </w:tc>
        <w:tc>
          <w:tcPr>
            <w:tcW w:type="dxa" w:w="2160"/>
          </w:tcPr>
          <w:p>
            <w:r>
              <w:t>Contextual / limited</w:t>
            </w:r>
          </w:p>
        </w:tc>
      </w:tr>
      <w:tr>
        <w:tc>
          <w:tcPr>
            <w:tcW w:type="dxa" w:w="2160"/>
          </w:tcPr>
          <w:p>
            <w:r>
              <w:t>Privileged Access</w:t>
            </w:r>
          </w:p>
        </w:tc>
        <w:tc>
          <w:tcPr>
            <w:tcW w:type="dxa" w:w="2160"/>
          </w:tcPr>
          <w:p>
            <w:r>
              <w:t>Delinea (admin accounts); Entra PIM (future)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Risk Level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 (scale-driven)</w:t>
            </w:r>
          </w:p>
        </w:tc>
        <w:tc>
          <w:tcPr>
            <w:tcW w:type="dxa" w:w="2160"/>
          </w:tcPr>
          <w:p>
            <w:r>
              <w:t>Medium (PII/payments)</w:t>
            </w:r>
          </w:p>
        </w:tc>
      </w:tr>
    </w:tbl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PR.AA-01, PR.AA-03, ID.AM-01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3.1, ISP 4.1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3.0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pPr>
        <w:pStyle w:val="Heading2"/>
      </w:pPr>
      <w:r>
        <w:t>3.2 Staff / Corporate Trust Architecture</w:t>
      </w:r>
    </w:p>
    <w:p>
      <w:r>
        <w:t>Staff are the highest-risk population due to access to sensitive data, administrative systems, and infrastructure.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PR.AA-01, PR.AA-03, ID.AM-01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3.1, ISP 4.1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3.0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Staff Trust Architecture SVG</w:t>
      </w:r>
    </w:p>
    <w:p>
      <w:pPr>
        <w:pStyle w:val="Heading2"/>
      </w:pPr>
      <w:r>
        <w:t>3.3 Student Trust Architecture</w:t>
      </w:r>
    </w:p>
    <w:p>
      <w:r>
        <w:t>Students represent the largest population. Access is governed through Okta CIAM with lifecycle driven by SIS via SailPoint. Trust is primarily contextual and behavioral due to unmanaged endpoints.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PR.AA-01, PR.AA-03, ID.AM-01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3.1, ISP 4.1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3.0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Student Trust Architecture SVG</w:t>
      </w:r>
    </w:p>
    <w:p>
      <w:pPr>
        <w:pStyle w:val="Heading2"/>
      </w:pPr>
      <w:r>
        <w:t>3.4 Customer Trust Architecture</w:t>
      </w:r>
    </w:p>
    <w:p>
      <w:r>
        <w:t>Customers (parents/guardians) use self-service registration with verification. Step-up trust is required for payments and PII access.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PR.AA-01, PR.AA-03, ID.AM-01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3.1, ISP 4.1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3.0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Customer Trust Architecture SVG</w:t>
      </w:r>
    </w:p>
    <w:p>
      <w:r>
        <w:br w:type="page"/>
      </w:r>
    </w:p>
    <w:p>
      <w:pPr>
        <w:pStyle w:val="Heading1"/>
      </w:pPr>
      <w:r>
        <w:t>4. Identity and Access Architecture</w:t>
      </w:r>
    </w:p>
    <w:p>
      <w:r>
        <w:t>The identity architecture is hybrid: Entra ID is authoritative for workforce identities and Okta CIAM is authoritative for external identities. SailPoint provides unified governance and attestation across both.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PR.AA-01, PR.AA-02, PR.PS-01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4.1, ISP 4.4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Identity &amp; Access SVG</w:t>
      </w:r>
    </w:p>
    <w:p>
      <w:pPr>
        <w:pStyle w:val="Heading2"/>
      </w:pPr>
      <w:r>
        <w:t>4.1 Workforce Identity (Microsoft Entra ID)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PR.AA-01, PR.AA-02, PR.PS-01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4.1, ISP 4.4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pPr>
        <w:pStyle w:val="Heading2"/>
      </w:pPr>
      <w:r>
        <w:t>4.2 External Identity (Okta CIAM)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PR.AA-01, PR.AA-02, PR.PS-01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4.1, ISP 4.4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pPr>
        <w:pStyle w:val="Heading2"/>
      </w:pPr>
      <w:r>
        <w:t>4.3 Identity Governance (SailPoint IdentityNow)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PR.AA-01, PR.AA-02, PR.PS-01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4.1, ISP 4.4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pPr>
        <w:pStyle w:val="Heading1"/>
      </w:pPr>
      <w:r>
        <w:t>5. Privileged Trust (Delinea and Entra PIM)</w:t>
      </w:r>
    </w:p>
    <w:p>
      <w:r>
        <w:t>Privileged access is controlled through Delinea for credential vaulting, rotation, and session control for privileged accounts, with Entra PIM planned to mature privileged role governance for Entra roles.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PR.AA-05, PR.PS-02, DE.CM-03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4.1, ISP 4.4, ISP 5.1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4.0, IISP 7.0, IISP 8.0, IISP 9.0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Privileged Trust SVG</w:t>
      </w:r>
    </w:p>
    <w:p>
      <w:pPr>
        <w:pStyle w:val="Heading1"/>
      </w:pPr>
      <w:r>
        <w:t>6. Device Trust (CrowdStrike and Defender)</w:t>
      </w:r>
    </w:p>
    <w:p>
      <w:r>
        <w:t>CrowdStrike Falcon provides primary endpoint protection and device trust signals. Microsoft Defender for Endpoint is deployed in monitor mode to provide supplemental telemetry.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PR.PS-03, DE.CM-01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4.4, ISP 5.1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Device Trust SVG</w:t>
      </w:r>
    </w:p>
    <w:p>
      <w:pPr>
        <w:pStyle w:val="Heading1"/>
      </w:pPr>
      <w:r>
        <w:t>7. Exposure and Posture (Tenable VM and CSPM)</w:t>
      </w:r>
    </w:p>
    <w:p>
      <w:r>
        <w:t>Tenable VM provides vulnerability identification across infrastructure and endpoints. Tenable.cs provides CSPM posture coverage and drift detection.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ID.RA-01, DE.CM-02, PR.PS-04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3.2, ISP 4.4, ISP 5.1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7.0, IISP 9.0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Exposure &amp; Posture SVG</w:t>
      </w:r>
    </w:p>
    <w:p>
      <w:pPr>
        <w:pStyle w:val="Heading1"/>
      </w:pPr>
      <w:r>
        <w:t>8. Application and API Trust (Sonatype, Burp Suite, Salt)</w:t>
      </w:r>
    </w:p>
    <w:p>
      <w:r>
        <w:t>Sonatype SCA manages dependency risk; Burp Suite DAST validates runtime security; Salt (future) provides API discovery and behavior analytics.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PR.DS-01, PR.PS-05, DE.CM-07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4.3, ISP 4.4, ISP 5.1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2.0, IISP 4.0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Application &amp; API Trust SVG</w:t>
      </w:r>
    </w:p>
    <w:p>
      <w:pPr>
        <w:pStyle w:val="Heading1"/>
      </w:pPr>
      <w:r>
        <w:t>9. Operational Trust (ServiceNow SecOps, CMDB, Tagging)</w:t>
      </w:r>
    </w:p>
    <w:p>
      <w:r>
        <w:t>ServiceNow SecOps is the central record for security incidents, vulnerability response, and evidence trails. CMDB and tagging enhance ownership and prioritization (future).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DE.CM-06, RS.MA-01, RC.RP-01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5.1, ISP 6.1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t>[DIAGRAM PLACEHOLDER] Insert Operational Trust SVG</w:t>
      </w:r>
    </w:p>
    <w:p>
      <w:pPr>
        <w:pStyle w:val="Heading1"/>
      </w:pPr>
      <w:r>
        <w:t>10. NIST CSF 2.0 Outcome Mapping</w:t>
      </w:r>
    </w:p>
    <w:p>
      <w:r>
        <w:t>NIST CSF 2.0 is used as the primary outcomes framework across Govern, Identify, Protect, Detect, Respond, and Recover.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GV.OV-01, ID.RA-01, PR.AA-01, DE.CM-01, RS.MA-01, RC.RP-01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2.5, ISP 3.2, ISP 4.1, ISP 5.1, ISP 6.1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IISP 7.0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pPr>
        <w:pStyle w:val="Heading1"/>
      </w:pPr>
      <w:r>
        <w:t>11. Implementation Roadmap</w:t>
      </w:r>
    </w:p>
    <w:p>
      <w:r>
        <w:t>Roadmap phases describe maturity sequencing across trust domains.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GV.SC-01, GV.RM-02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2.2, ISP 2.6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pPr>
        <w:pStyle w:val="Heading1"/>
      </w:pPr>
      <w:r>
        <w:t>12. Key Performance Indicators (KPIs)</w:t>
      </w:r>
    </w:p>
    <w:p>
      <w:r>
        <w:t>KPIs track adoption and effectiveness of trust controls (examples: MFA adoption, vuln SLAs, MTTD/MTTR).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GV.OV-02, DE.CM-08, RS.MA-04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2.5, ISP 5.1, ISP 6.1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pPr>
        <w:pStyle w:val="Heading1"/>
      </w:pPr>
      <w:r>
        <w:t>13. Regulatory Compliance Alignment (SOX, FERPA)</w:t>
      </w:r>
    </w:p>
    <w:p>
      <w:r>
        <w:t>SOX: Access governance, change hygiene, and auditable evidence. FERPA: Protect education records via least privilege, governance, and auditable incident handling.</w:t>
      </w:r>
    </w:p>
    <w:p>
      <w:r>
        <w:rPr>
          <w:b/>
        </w:rPr>
        <w:t>Control / Policy / Compliance Cross-Reference (Tightened Augmentation)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NIST CSF 2.0 (representative)</w:t>
            </w:r>
          </w:p>
        </w:tc>
        <w:tc>
          <w:tcPr>
            <w:tcW w:type="dxa" w:w="4320"/>
          </w:tcPr>
          <w:p>
            <w:r>
              <w:t>GV.RM-03, GV.OV-03, RC.CO-03</w:t>
            </w:r>
          </w:p>
        </w:tc>
      </w:tr>
      <w:tr>
        <w:tc>
          <w:tcPr>
            <w:tcW w:type="dxa" w:w="4320"/>
          </w:tcPr>
          <w:p>
            <w:r>
              <w:t>Stride ISP Policies (program standards)</w:t>
            </w:r>
          </w:p>
        </w:tc>
        <w:tc>
          <w:tcPr>
            <w:tcW w:type="dxa" w:w="4320"/>
          </w:tcPr>
          <w:p>
            <w:r>
              <w:t>ISP 1.0, ISP 2.2, ISP 2.5</w:t>
            </w:r>
          </w:p>
        </w:tc>
      </w:tr>
      <w:tr>
        <w:tc>
          <w:tcPr>
            <w:tcW w:type="dxa" w:w="4320"/>
          </w:tcPr>
          <w:p>
            <w:r>
              <w:t>Stride IISP Policies (explicit implementation)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FERPA (explicit via IISP crosswalk)</w:t>
            </w:r>
          </w:p>
        </w:tc>
        <w:tc>
          <w:tcPr>
            <w:tcW w:type="dxa" w:w="4320"/>
          </w:tcPr>
          <w:p>
            <w:r>
              <w:t>See Policy Summary Appendix B (only where IISP maps)</w:t>
            </w:r>
          </w:p>
        </w:tc>
      </w:tr>
      <w:tr>
        <w:tc>
          <w:tcPr>
            <w:tcW w:type="dxa" w:w="4320"/>
          </w:tcPr>
          <w:p>
            <w:r>
              <w:t>SOX 404 (explicit via IISP crosswalk)</w:t>
            </w:r>
          </w:p>
        </w:tc>
        <w:tc>
          <w:tcPr>
            <w:tcW w:type="dxa" w:w="4320"/>
          </w:tcPr>
          <w:p>
            <w:r>
              <w:t>See Policy Summary Appendix C (only where IISP maps)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Acronyms and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Acronym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CIAM</w:t>
            </w:r>
          </w:p>
        </w:tc>
        <w:tc>
          <w:tcPr>
            <w:tcW w:type="dxa" w:w="4320"/>
          </w:tcPr>
          <w:p>
            <w:r>
              <w:t>Customer Identity and Access Management</w:t>
            </w:r>
          </w:p>
        </w:tc>
      </w:tr>
      <w:tr>
        <w:tc>
          <w:tcPr>
            <w:tcW w:type="dxa" w:w="4320"/>
          </w:tcPr>
          <w:p>
            <w:r>
              <w:t>CSF</w:t>
            </w:r>
          </w:p>
        </w:tc>
        <w:tc>
          <w:tcPr>
            <w:tcW w:type="dxa" w:w="4320"/>
          </w:tcPr>
          <w:p>
            <w:r>
              <w:t>NIST Cybersecurity Framework</w:t>
            </w:r>
          </w:p>
        </w:tc>
      </w:tr>
      <w:tr>
        <w:tc>
          <w:tcPr>
            <w:tcW w:type="dxa" w:w="4320"/>
          </w:tcPr>
          <w:p>
            <w:r>
              <w:t>FERPA</w:t>
            </w:r>
          </w:p>
        </w:tc>
        <w:tc>
          <w:tcPr>
            <w:tcW w:type="dxa" w:w="4320"/>
          </w:tcPr>
          <w:p>
            <w:r>
              <w:t>Family Educational Rights and Privacy Act</w:t>
            </w:r>
          </w:p>
        </w:tc>
      </w:tr>
      <w:tr>
        <w:tc>
          <w:tcPr>
            <w:tcW w:type="dxa" w:w="4320"/>
          </w:tcPr>
          <w:p>
            <w:r>
              <w:t>SOX</w:t>
            </w:r>
          </w:p>
        </w:tc>
        <w:tc>
          <w:tcPr>
            <w:tcW w:type="dxa" w:w="4320"/>
          </w:tcPr>
          <w:p>
            <w:r>
              <w:t>Sarbanes-Oxley Act</w:t>
            </w:r>
          </w:p>
        </w:tc>
      </w:tr>
      <w:tr>
        <w:tc>
          <w:tcPr>
            <w:tcW w:type="dxa" w:w="4320"/>
          </w:tcPr>
          <w:p>
            <w:r>
              <w:t>TSRA</w:t>
            </w:r>
          </w:p>
        </w:tc>
        <w:tc>
          <w:tcPr>
            <w:tcW w:type="dxa" w:w="4320"/>
          </w:tcPr>
          <w:p>
            <w:r>
              <w:t>Trust Security Reference Architecture</w:t>
            </w:r>
          </w:p>
        </w:tc>
      </w:tr>
    </w:tbl>
    <w:p>
      <w:pPr>
        <w:pStyle w:val="Heading1"/>
      </w:pPr>
      <w:r>
        <w:t>Appendix B: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Enterprise Trust Security Reference Architecture Model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January 2026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  <w:tr>
        <w:tc>
          <w:tcPr>
            <w:tcW w:type="dxa" w:w="4320"/>
          </w:tcPr>
          <w:p>
            <w:r>
              <w:t>Review Cycle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</w:tbl>
    <w:p>
      <w:pPr>
        <w:pStyle w:val="Heading1"/>
      </w:pPr>
      <w:r>
        <w:t>Appendix C: NIST CSF 2.0 Mapping and Implementation Status</w:t>
      </w:r>
    </w:p>
    <w:p>
      <w:r>
        <w:t>See SRA Enhanced Appendix C for section-to-subcategory mapping; this augmented version preserves those mappings and adds ISP/IISP references in each section.</w:t>
      </w:r>
    </w:p>
    <w:p>
      <w:pPr>
        <w:pStyle w:val="Heading1"/>
      </w:pPr>
      <w:r>
        <w:t>Appendix D: NIST CSF 2.0 Evidence Traceability Matrix</w:t>
      </w:r>
    </w:p>
    <w:p>
      <w:r>
        <w:t>Evidence sources are referenced in the control mapping tables and should be aligned to the formal control library during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