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Consolidated Compliance Mapping – Security Reference Architecture</w:t>
      </w:r>
    </w:p>
    <w:p>
      <w:r>
        <w:rPr>
          <w:i/>
        </w:rPr>
        <w:t>This document consolidates all active compliance-mapping artifacts for the Security Reference Architecture (SRA) without duplication.</w:t>
      </w:r>
    </w:p>
    <w:p>
      <w:pPr>
        <w:pStyle w:val="Heading2"/>
      </w:pPr>
      <w:r>
        <w:t>1) Control to SRA Section Mapping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Framework</w:t>
            </w:r>
          </w:p>
        </w:tc>
        <w:tc>
          <w:tcPr>
            <w:tcW w:type="dxa" w:w="1728"/>
          </w:tcPr>
          <w:p>
            <w:r>
              <w:t>Control ID</w:t>
            </w:r>
          </w:p>
        </w:tc>
        <w:tc>
          <w:tcPr>
            <w:tcW w:type="dxa" w:w="1728"/>
          </w:tcPr>
          <w:p>
            <w:r>
              <w:t>Control / Practice</w:t>
            </w:r>
          </w:p>
        </w:tc>
        <w:tc>
          <w:tcPr>
            <w:tcW w:type="dxa" w:w="1728"/>
          </w:tcPr>
          <w:p>
            <w:r>
              <w:t>Description</w:t>
            </w:r>
          </w:p>
        </w:tc>
        <w:tc>
          <w:tcPr>
            <w:tcW w:type="dxa" w:w="1728"/>
          </w:tcPr>
          <w:p>
            <w:r>
              <w:t>Mapped SRA Section(s)</w:t>
            </w:r>
          </w:p>
        </w:tc>
      </w:tr>
      <w:tr>
        <w:tc>
          <w:tcPr>
            <w:tcW w:type="dxa" w:w="1728"/>
          </w:tcPr>
          <w:p>
            <w:r>
              <w:t>FERPA</w:t>
            </w:r>
          </w:p>
        </w:tc>
        <w:tc>
          <w:tcPr>
            <w:tcW w:type="dxa" w:w="1728"/>
          </w:tcPr>
          <w:p>
            <w:r>
              <w:t>34 CFR §99.31</w:t>
            </w:r>
          </w:p>
        </w:tc>
        <w:tc>
          <w:tcPr>
            <w:tcW w:type="dxa" w:w="1728"/>
          </w:tcPr>
          <w:p>
            <w:r>
              <w:t>Disclosure Limitation</w:t>
            </w:r>
          </w:p>
        </w:tc>
        <w:tc>
          <w:tcPr>
            <w:tcW w:type="dxa" w:w="1728"/>
          </w:tcPr>
          <w:p>
            <w:r>
              <w:t>Limits disclosure of education records without consent</w:t>
            </w:r>
          </w:p>
        </w:tc>
        <w:tc>
          <w:tcPr>
            <w:tcW w:type="dxa" w:w="1728"/>
          </w:tcPr>
          <w:p>
            <w:r>
              <w:t>1.3; 2.1; 2.2.3</w:t>
            </w:r>
          </w:p>
        </w:tc>
      </w:tr>
      <w:tr>
        <w:tc>
          <w:tcPr>
            <w:tcW w:type="dxa" w:w="1728"/>
          </w:tcPr>
          <w:p>
            <w:r>
              <w:t>FERPA</w:t>
            </w:r>
          </w:p>
        </w:tc>
        <w:tc>
          <w:tcPr>
            <w:tcW w:type="dxa" w:w="1728"/>
          </w:tcPr>
          <w:p>
            <w:r>
              <w:t>34 CFR §99.30</w:t>
            </w:r>
          </w:p>
        </w:tc>
        <w:tc>
          <w:tcPr>
            <w:tcW w:type="dxa" w:w="1728"/>
          </w:tcPr>
          <w:p>
            <w:r>
              <w:t>Access Authorization</w:t>
            </w:r>
          </w:p>
        </w:tc>
        <w:tc>
          <w:tcPr>
            <w:tcW w:type="dxa" w:w="1728"/>
          </w:tcPr>
          <w:p>
            <w:r>
              <w:t>Ensures only authorized parties access student records</w:t>
            </w:r>
          </w:p>
        </w:tc>
        <w:tc>
          <w:tcPr>
            <w:tcW w:type="dxa" w:w="1728"/>
          </w:tcPr>
          <w:p>
            <w:r>
              <w:t>2.2.1; 2.2.3</w:t>
            </w:r>
          </w:p>
        </w:tc>
      </w:tr>
      <w:tr>
        <w:tc>
          <w:tcPr>
            <w:tcW w:type="dxa" w:w="1728"/>
          </w:tcPr>
          <w:p>
            <w:r>
              <w:t>FERPA</w:t>
            </w:r>
          </w:p>
        </w:tc>
        <w:tc>
          <w:tcPr>
            <w:tcW w:type="dxa" w:w="1728"/>
          </w:tcPr>
          <w:p>
            <w:r>
              <w:t>34 CFR §99.33</w:t>
            </w:r>
          </w:p>
        </w:tc>
        <w:tc>
          <w:tcPr>
            <w:tcW w:type="dxa" w:w="1728"/>
          </w:tcPr>
          <w:p>
            <w:r>
              <w:t>Third‑Party Use Controls</w:t>
            </w:r>
          </w:p>
        </w:tc>
        <w:tc>
          <w:tcPr>
            <w:tcW w:type="dxa" w:w="1728"/>
          </w:tcPr>
          <w:p>
            <w:r>
              <w:t>Controls reuse and redisclosure of student data</w:t>
            </w:r>
          </w:p>
        </w:tc>
        <w:tc>
          <w:tcPr>
            <w:tcW w:type="dxa" w:w="1728"/>
          </w:tcPr>
          <w:p>
            <w:r>
              <w:t>2.2.3</w:t>
            </w:r>
          </w:p>
        </w:tc>
      </w:tr>
      <w:tr>
        <w:tc>
          <w:tcPr>
            <w:tcW w:type="dxa" w:w="1728"/>
          </w:tcPr>
          <w:p>
            <w:r>
              <w:t>SOX</w:t>
            </w:r>
          </w:p>
        </w:tc>
        <w:tc>
          <w:tcPr>
            <w:tcW w:type="dxa" w:w="1728"/>
          </w:tcPr>
          <w:p>
            <w:r>
              <w:t>SOX §302</w:t>
            </w:r>
          </w:p>
        </w:tc>
        <w:tc>
          <w:tcPr>
            <w:tcW w:type="dxa" w:w="1728"/>
          </w:tcPr>
          <w:p>
            <w:r>
              <w:t>Financial Reporting Controls</w:t>
            </w:r>
          </w:p>
        </w:tc>
        <w:tc>
          <w:tcPr>
            <w:tcW w:type="dxa" w:w="1728"/>
          </w:tcPr>
          <w:p>
            <w:r>
              <w:t>Executive responsibility for financial data integrity</w:t>
            </w:r>
          </w:p>
        </w:tc>
        <w:tc>
          <w:tcPr>
            <w:tcW w:type="dxa" w:w="1728"/>
          </w:tcPr>
          <w:p>
            <w:r>
              <w:t>2.2.4</w:t>
            </w:r>
          </w:p>
        </w:tc>
      </w:tr>
      <w:tr>
        <w:tc>
          <w:tcPr>
            <w:tcW w:type="dxa" w:w="1728"/>
          </w:tcPr>
          <w:p>
            <w:r>
              <w:t>SOX</w:t>
            </w:r>
          </w:p>
        </w:tc>
        <w:tc>
          <w:tcPr>
            <w:tcW w:type="dxa" w:w="1728"/>
          </w:tcPr>
          <w:p>
            <w:r>
              <w:t>SOX §404</w:t>
            </w:r>
          </w:p>
        </w:tc>
        <w:tc>
          <w:tcPr>
            <w:tcW w:type="dxa" w:w="1728"/>
          </w:tcPr>
          <w:p>
            <w:r>
              <w:t>Internal Controls over Financial Reporting</w:t>
            </w:r>
          </w:p>
        </w:tc>
        <w:tc>
          <w:tcPr>
            <w:tcW w:type="dxa" w:w="1728"/>
          </w:tcPr>
          <w:p>
            <w:r>
              <w:t>Assessment and audit of financial system controls</w:t>
            </w:r>
          </w:p>
        </w:tc>
        <w:tc>
          <w:tcPr>
            <w:tcW w:type="dxa" w:w="1728"/>
          </w:tcPr>
          <w:p>
            <w:r>
              <w:t>1.4; 2.2.4</w:t>
            </w:r>
          </w:p>
        </w:tc>
      </w:tr>
      <w:tr>
        <w:tc>
          <w:tcPr>
            <w:tcW w:type="dxa" w:w="1728"/>
          </w:tcPr>
          <w:p>
            <w:r>
              <w:t>SOX</w:t>
            </w:r>
          </w:p>
        </w:tc>
        <w:tc>
          <w:tcPr>
            <w:tcW w:type="dxa" w:w="1728"/>
          </w:tcPr>
          <w:p>
            <w:r>
              <w:t>SOX §409</w:t>
            </w:r>
          </w:p>
        </w:tc>
        <w:tc>
          <w:tcPr>
            <w:tcW w:type="dxa" w:w="1728"/>
          </w:tcPr>
          <w:p>
            <w:r>
              <w:t>Timely Disclosure</w:t>
            </w:r>
          </w:p>
        </w:tc>
        <w:tc>
          <w:tcPr>
            <w:tcW w:type="dxa" w:w="1728"/>
          </w:tcPr>
          <w:p>
            <w:r>
              <w:t>Rapid disclosure of material financial changes</w:t>
            </w:r>
          </w:p>
        </w:tc>
        <w:tc>
          <w:tcPr>
            <w:tcW w:type="dxa" w:w="1728"/>
          </w:tcPr>
          <w:p>
            <w:r>
              <w:t>1.3</w:t>
            </w:r>
          </w:p>
        </w:tc>
      </w:tr>
      <w:tr>
        <w:tc>
          <w:tcPr>
            <w:tcW w:type="dxa" w:w="1728"/>
          </w:tcPr>
          <w:p>
            <w:r>
              <w:t>NIST CSF 2.0</w:t>
            </w:r>
          </w:p>
        </w:tc>
        <w:tc>
          <w:tcPr>
            <w:tcW w:type="dxa" w:w="1728"/>
          </w:tcPr>
          <w:p>
            <w:r>
              <w:t>ID.AM</w:t>
            </w:r>
          </w:p>
        </w:tc>
        <w:tc>
          <w:tcPr>
            <w:tcW w:type="dxa" w:w="1728"/>
          </w:tcPr>
          <w:p>
            <w:r>
              <w:t>Asset Management</w:t>
            </w:r>
          </w:p>
        </w:tc>
        <w:tc>
          <w:tcPr>
            <w:tcW w:type="dxa" w:w="1728"/>
          </w:tcPr>
          <w:p>
            <w:r>
              <w:t>Identification and management of systems and data assets</w:t>
            </w:r>
          </w:p>
        </w:tc>
        <w:tc>
          <w:tcPr>
            <w:tcW w:type="dxa" w:w="1728"/>
          </w:tcPr>
          <w:p>
            <w:r>
              <w:t>2.1; 2.2</w:t>
            </w:r>
          </w:p>
        </w:tc>
      </w:tr>
      <w:tr>
        <w:tc>
          <w:tcPr>
            <w:tcW w:type="dxa" w:w="1728"/>
          </w:tcPr>
          <w:p>
            <w:r>
              <w:t>NIST CSF 2.0</w:t>
            </w:r>
          </w:p>
        </w:tc>
        <w:tc>
          <w:tcPr>
            <w:tcW w:type="dxa" w:w="1728"/>
          </w:tcPr>
          <w:p>
            <w:r>
              <w:t>PR.AA</w:t>
            </w:r>
          </w:p>
        </w:tc>
        <w:tc>
          <w:tcPr>
            <w:tcW w:type="dxa" w:w="1728"/>
          </w:tcPr>
          <w:p>
            <w:r>
              <w:t>Identity &amp; Access Control</w:t>
            </w:r>
          </w:p>
        </w:tc>
        <w:tc>
          <w:tcPr>
            <w:tcW w:type="dxa" w:w="1728"/>
          </w:tcPr>
          <w:p>
            <w:r>
              <w:t>Authentication and authorization of users</w:t>
            </w:r>
          </w:p>
        </w:tc>
        <w:tc>
          <w:tcPr>
            <w:tcW w:type="dxa" w:w="1728"/>
          </w:tcPr>
          <w:p>
            <w:r>
              <w:t>2.2.3</w:t>
            </w:r>
          </w:p>
        </w:tc>
      </w:tr>
      <w:tr>
        <w:tc>
          <w:tcPr>
            <w:tcW w:type="dxa" w:w="1728"/>
          </w:tcPr>
          <w:p>
            <w:r>
              <w:t>NIST CSF 2.0</w:t>
            </w:r>
          </w:p>
        </w:tc>
        <w:tc>
          <w:tcPr>
            <w:tcW w:type="dxa" w:w="1728"/>
          </w:tcPr>
          <w:p>
            <w:r>
              <w:t>PR.DS</w:t>
            </w:r>
          </w:p>
        </w:tc>
        <w:tc>
          <w:tcPr>
            <w:tcW w:type="dxa" w:w="1728"/>
          </w:tcPr>
          <w:p>
            <w:r>
              <w:t>Data Security</w:t>
            </w:r>
          </w:p>
        </w:tc>
        <w:tc>
          <w:tcPr>
            <w:tcW w:type="dxa" w:w="1728"/>
          </w:tcPr>
          <w:p>
            <w:r>
              <w:t>Protection of data at rest and in transit</w:t>
            </w:r>
          </w:p>
        </w:tc>
        <w:tc>
          <w:tcPr>
            <w:tcW w:type="dxa" w:w="1728"/>
          </w:tcPr>
          <w:p>
            <w:r>
              <w:t>2.2.1; 2.2.2</w:t>
            </w:r>
          </w:p>
        </w:tc>
      </w:tr>
      <w:tr>
        <w:tc>
          <w:tcPr>
            <w:tcW w:type="dxa" w:w="1728"/>
          </w:tcPr>
          <w:p>
            <w:r>
              <w:t>NIST CSF 2.0</w:t>
            </w:r>
          </w:p>
        </w:tc>
        <w:tc>
          <w:tcPr>
            <w:tcW w:type="dxa" w:w="1728"/>
          </w:tcPr>
          <w:p>
            <w:r>
              <w:t>DE.CM</w:t>
            </w:r>
          </w:p>
        </w:tc>
        <w:tc>
          <w:tcPr>
            <w:tcW w:type="dxa" w:w="1728"/>
          </w:tcPr>
          <w:p>
            <w:r>
              <w:t>Security Monitoring</w:t>
            </w:r>
          </w:p>
        </w:tc>
        <w:tc>
          <w:tcPr>
            <w:tcW w:type="dxa" w:w="1728"/>
          </w:tcPr>
          <w:p>
            <w:r>
              <w:t>Continuous monitoring for anomalies</w:t>
            </w:r>
          </w:p>
        </w:tc>
        <w:tc>
          <w:tcPr>
            <w:tcW w:type="dxa" w:w="1728"/>
          </w:tcPr>
          <w:p>
            <w:r>
              <w:t>2.2.5</w:t>
            </w:r>
          </w:p>
        </w:tc>
      </w:tr>
      <w:tr>
        <w:tc>
          <w:tcPr>
            <w:tcW w:type="dxa" w:w="1728"/>
          </w:tcPr>
          <w:p>
            <w:r>
              <w:t>NIST CSF 2.0</w:t>
            </w:r>
          </w:p>
        </w:tc>
        <w:tc>
          <w:tcPr>
            <w:tcW w:type="dxa" w:w="1728"/>
          </w:tcPr>
          <w:p>
            <w:r>
              <w:t>RS.IR</w:t>
            </w:r>
          </w:p>
        </w:tc>
        <w:tc>
          <w:tcPr>
            <w:tcW w:type="dxa" w:w="1728"/>
          </w:tcPr>
          <w:p>
            <w:r>
              <w:t>Incident Response</w:t>
            </w:r>
          </w:p>
        </w:tc>
        <w:tc>
          <w:tcPr>
            <w:tcW w:type="dxa" w:w="1728"/>
          </w:tcPr>
          <w:p>
            <w:r>
              <w:t>Response processes for cybersecurity incidents</w:t>
            </w:r>
          </w:p>
        </w:tc>
        <w:tc>
          <w:tcPr>
            <w:tcW w:type="dxa" w:w="1728"/>
          </w:tcPr>
          <w:p>
            <w:r>
              <w:t>1.3</w:t>
            </w:r>
          </w:p>
        </w:tc>
      </w:tr>
      <w:tr>
        <w:tc>
          <w:tcPr>
            <w:tcW w:type="dxa" w:w="1728"/>
          </w:tcPr>
          <w:p>
            <w:r>
              <w:t>NIST CSF 2.0</w:t>
            </w:r>
          </w:p>
        </w:tc>
        <w:tc>
          <w:tcPr>
            <w:tcW w:type="dxa" w:w="1728"/>
          </w:tcPr>
          <w:p>
            <w:r>
              <w:t>RC.RP</w:t>
            </w:r>
          </w:p>
        </w:tc>
        <w:tc>
          <w:tcPr>
            <w:tcW w:type="dxa" w:w="1728"/>
          </w:tcPr>
          <w:p>
            <w:r>
              <w:t>Recovery Planning</w:t>
            </w:r>
          </w:p>
        </w:tc>
        <w:tc>
          <w:tcPr>
            <w:tcW w:type="dxa" w:w="1728"/>
          </w:tcPr>
          <w:p>
            <w:r>
              <w:t>Restoration of services after incidents</w:t>
            </w:r>
          </w:p>
        </w:tc>
        <w:tc>
          <w:tcPr>
            <w:tcW w:type="dxa" w:w="1728"/>
          </w:tcPr>
          <w:p>
            <w:r>
              <w:t>1.4</w:t>
            </w:r>
          </w:p>
        </w:tc>
      </w:tr>
    </w:tbl>
    <w:p>
      <w:r>
        <w:br w:type="page"/>
      </w:r>
    </w:p>
    <w:p>
      <w:pPr>
        <w:pStyle w:val="Heading2"/>
      </w:pPr>
      <w:r>
        <w:t>2) SRA Section to Control Mapping and SOC-Style Narratives</w:t>
      </w:r>
    </w:p>
    <w:sectPr w:rsidR="00FC693F" w:rsidRPr="0006063C" w:rsidSect="00034616">
      <w:pgSz w:w="12240" w:h="15840"/>
      <w:pgMar w:top="1440" w:right="1800" w:bottom="1440" w:left="1800" w:header="720" w:footer="720" w:gutter="0"/>
      <w:cols w:space="720"/>
      <w:docGrid w:linePitch="360"/>
    </w:sectPr>
    <w:p>
      <w:pPr>
        <w:jc w:val="center"/>
      </w:pPr>
      <w:r>
        <w:rPr>
          <w:b/>
          <w:sz w:val="32"/>
        </w:rPr>
        <w:t>SRA Section-to-Control Mapping (Primary/Supporting + Coverage)</w:t>
      </w:r>
    </w:p>
    <w:p>
      <w:r>
        <w:rPr>
          <w:i/>
        </w:rPr>
        <w:t>Source: Appendix B – Control to Document Section Map and document section structure.</w:t>
      </w:r>
    </w:p>
    <w:p>
      <w:pPr>
        <w:pStyle w:val="Heading2"/>
      </w:pPr>
      <w:r>
        <w:t>1) Section → Controls &amp; Practices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SRA Section</w:t>
            </w:r>
          </w:p>
        </w:tc>
        <w:tc>
          <w:tcPr>
            <w:tcW w:type="dxa" w:w="1234"/>
          </w:tcPr>
          <w:p>
            <w:r>
              <w:t>Section Title</w:t>
            </w:r>
          </w:p>
        </w:tc>
        <w:tc>
          <w:tcPr>
            <w:tcW w:type="dxa" w:w="1234"/>
          </w:tcPr>
          <w:p>
            <w:r>
              <w:t>Framework</w:t>
            </w:r>
          </w:p>
        </w:tc>
        <w:tc>
          <w:tcPr>
            <w:tcW w:type="dxa" w:w="1234"/>
          </w:tcPr>
          <w:p>
            <w:r>
              <w:t>Control ID</w:t>
            </w:r>
          </w:p>
        </w:tc>
        <w:tc>
          <w:tcPr>
            <w:tcW w:type="dxa" w:w="1234"/>
          </w:tcPr>
          <w:p>
            <w:r>
              <w:t>Control / Practice</w:t>
            </w:r>
          </w:p>
        </w:tc>
        <w:tc>
          <w:tcPr>
            <w:tcW w:type="dxa" w:w="1234"/>
          </w:tcPr>
          <w:p>
            <w:r>
              <w:t>Primary / Supporting</w:t>
            </w:r>
          </w:p>
        </w:tc>
        <w:tc>
          <w:tcPr>
            <w:tcW w:type="dxa" w:w="1234"/>
          </w:tcPr>
          <w:p>
            <w:r>
              <w:t>Coverage Status</w:t>
            </w:r>
          </w:p>
        </w:tc>
      </w:tr>
      <w:tr>
        <w:tc>
          <w:tcPr>
            <w:tcW w:type="dxa" w:w="1234"/>
          </w:tcPr>
          <w:p>
            <w:r>
              <w:t>1.3</w:t>
            </w:r>
          </w:p>
        </w:tc>
        <w:tc>
          <w:tcPr>
            <w:tcW w:type="dxa" w:w="1234"/>
          </w:tcPr>
          <w:p>
            <w:r>
              <w:t>1.3 Compliance Alignment Summary (FERPA, SOX, NIST CSF 2.0)</w:t>
            </w:r>
          </w:p>
        </w:tc>
        <w:tc>
          <w:tcPr>
            <w:tcW w:type="dxa" w:w="1234"/>
          </w:tcPr>
          <w:p>
            <w:r>
              <w:t>FERPA</w:t>
            </w:r>
          </w:p>
        </w:tc>
        <w:tc>
          <w:tcPr>
            <w:tcW w:type="dxa" w:w="1234"/>
          </w:tcPr>
          <w:p>
            <w:r>
              <w:t>34 CFR §99.31</w:t>
            </w:r>
          </w:p>
        </w:tc>
        <w:tc>
          <w:tcPr>
            <w:tcW w:type="dxa" w:w="1234"/>
          </w:tcPr>
          <w:p>
            <w:r>
              <w:t>Disclosure Limitation</w:t>
            </w:r>
          </w:p>
        </w:tc>
        <w:tc>
          <w:tcPr>
            <w:tcW w:type="dxa" w:w="1234"/>
          </w:tcPr>
          <w:p>
            <w:r>
              <w:t>Primary</w:t>
            </w:r>
          </w:p>
        </w:tc>
        <w:tc>
          <w:tcPr>
            <w:tcW w:type="dxa" w:w="1234"/>
          </w:tcPr>
          <w:p>
            <w:r>
              <w:t>Planned (placeholder section)</w:t>
            </w:r>
          </w:p>
        </w:tc>
      </w:tr>
      <w:tr>
        <w:tc>
          <w:tcPr>
            <w:tcW w:type="dxa" w:w="1234"/>
          </w:tcPr>
          <w:p>
            <w:r>
              <w:t>1.3</w:t>
            </w:r>
          </w:p>
        </w:tc>
        <w:tc>
          <w:tcPr>
            <w:tcW w:type="dxa" w:w="1234"/>
          </w:tcPr>
          <w:p>
            <w:r>
              <w:t>1.3 Compliance Alignment Summary (FERPA, SOX, NIST CSF 2.0)</w:t>
            </w:r>
          </w:p>
        </w:tc>
        <w:tc>
          <w:tcPr>
            <w:tcW w:type="dxa" w:w="1234"/>
          </w:tcPr>
          <w:p>
            <w:r>
              <w:t>SOX</w:t>
            </w:r>
          </w:p>
        </w:tc>
        <w:tc>
          <w:tcPr>
            <w:tcW w:type="dxa" w:w="1234"/>
          </w:tcPr>
          <w:p>
            <w:r>
              <w:t>SOX §409</w:t>
            </w:r>
          </w:p>
        </w:tc>
        <w:tc>
          <w:tcPr>
            <w:tcW w:type="dxa" w:w="1234"/>
          </w:tcPr>
          <w:p>
            <w:r>
              <w:t>Timely Disclosure</w:t>
            </w:r>
          </w:p>
        </w:tc>
        <w:tc>
          <w:tcPr>
            <w:tcW w:type="dxa" w:w="1234"/>
          </w:tcPr>
          <w:p>
            <w:r>
              <w:t>Primary</w:t>
            </w:r>
          </w:p>
        </w:tc>
        <w:tc>
          <w:tcPr>
            <w:tcW w:type="dxa" w:w="1234"/>
          </w:tcPr>
          <w:p>
            <w:r>
              <w:t>Planned (placeholder section)</w:t>
            </w:r>
          </w:p>
        </w:tc>
      </w:tr>
      <w:tr>
        <w:tc>
          <w:tcPr>
            <w:tcW w:type="dxa" w:w="1234"/>
          </w:tcPr>
          <w:p>
            <w:r>
              <w:t>1.3</w:t>
            </w:r>
          </w:p>
        </w:tc>
        <w:tc>
          <w:tcPr>
            <w:tcW w:type="dxa" w:w="1234"/>
          </w:tcPr>
          <w:p>
            <w:r>
              <w:t>1.3 Compliance Alignment Summary (FERPA, SOX, NIST CSF 2.0)</w:t>
            </w:r>
          </w:p>
        </w:tc>
        <w:tc>
          <w:tcPr>
            <w:tcW w:type="dxa" w:w="1234"/>
          </w:tcPr>
          <w:p>
            <w:r>
              <w:t>NIST CSF 2.0</w:t>
            </w:r>
          </w:p>
        </w:tc>
        <w:tc>
          <w:tcPr>
            <w:tcW w:type="dxa" w:w="1234"/>
          </w:tcPr>
          <w:p>
            <w:r>
              <w:t>RS.IR</w:t>
            </w:r>
          </w:p>
        </w:tc>
        <w:tc>
          <w:tcPr>
            <w:tcW w:type="dxa" w:w="1234"/>
          </w:tcPr>
          <w:p>
            <w:r>
              <w:t>Incident Response</w:t>
            </w:r>
          </w:p>
        </w:tc>
        <w:tc>
          <w:tcPr>
            <w:tcW w:type="dxa" w:w="1234"/>
          </w:tcPr>
          <w:p>
            <w:r>
              <w:t>Primary</w:t>
            </w:r>
          </w:p>
        </w:tc>
        <w:tc>
          <w:tcPr>
            <w:tcW w:type="dxa" w:w="1234"/>
          </w:tcPr>
          <w:p>
            <w:r>
              <w:t>Planned (placeholder section)</w:t>
            </w:r>
          </w:p>
        </w:tc>
      </w:tr>
      <w:tr>
        <w:tc>
          <w:tcPr>
            <w:tcW w:type="dxa" w:w="1234"/>
          </w:tcPr>
          <w:p>
            <w:r>
              <w:t>1.4</w:t>
            </w:r>
          </w:p>
        </w:tc>
        <w:tc>
          <w:tcPr>
            <w:tcW w:type="dxa" w:w="1234"/>
          </w:tcPr>
          <w:p>
            <w:r>
              <w:t>1.4 Key Architectural Decisions and Exclusions</w:t>
            </w:r>
          </w:p>
        </w:tc>
        <w:tc>
          <w:tcPr>
            <w:tcW w:type="dxa" w:w="1234"/>
          </w:tcPr>
          <w:p>
            <w:r>
              <w:t>SOX</w:t>
            </w:r>
          </w:p>
        </w:tc>
        <w:tc>
          <w:tcPr>
            <w:tcW w:type="dxa" w:w="1234"/>
          </w:tcPr>
          <w:p>
            <w:r>
              <w:t>SOX §404</w:t>
            </w:r>
          </w:p>
        </w:tc>
        <w:tc>
          <w:tcPr>
            <w:tcW w:type="dxa" w:w="1234"/>
          </w:tcPr>
          <w:p>
            <w:r>
              <w:t>Internal Controls over Financial Reporting</w:t>
            </w:r>
          </w:p>
        </w:tc>
        <w:tc>
          <w:tcPr>
            <w:tcW w:type="dxa" w:w="1234"/>
          </w:tcPr>
          <w:p>
            <w:r>
              <w:t>Primary</w:t>
            </w:r>
          </w:p>
        </w:tc>
        <w:tc>
          <w:tcPr>
            <w:tcW w:type="dxa" w:w="1234"/>
          </w:tcPr>
          <w:p>
            <w:r>
              <w:t>Planned (placeholder section)</w:t>
            </w:r>
          </w:p>
        </w:tc>
      </w:tr>
      <w:tr>
        <w:tc>
          <w:tcPr>
            <w:tcW w:type="dxa" w:w="1234"/>
          </w:tcPr>
          <w:p>
            <w:r>
              <w:t>1.4</w:t>
            </w:r>
          </w:p>
        </w:tc>
        <w:tc>
          <w:tcPr>
            <w:tcW w:type="dxa" w:w="1234"/>
          </w:tcPr>
          <w:p>
            <w:r>
              <w:t>1.4 Key Architectural Decisions and Exclusions</w:t>
            </w:r>
          </w:p>
        </w:tc>
        <w:tc>
          <w:tcPr>
            <w:tcW w:type="dxa" w:w="1234"/>
          </w:tcPr>
          <w:p>
            <w:r>
              <w:t>NIST CSF 2.0</w:t>
            </w:r>
          </w:p>
        </w:tc>
        <w:tc>
          <w:tcPr>
            <w:tcW w:type="dxa" w:w="1234"/>
          </w:tcPr>
          <w:p>
            <w:r>
              <w:t>RC.RP</w:t>
            </w:r>
          </w:p>
        </w:tc>
        <w:tc>
          <w:tcPr>
            <w:tcW w:type="dxa" w:w="1234"/>
          </w:tcPr>
          <w:p>
            <w:r>
              <w:t>Recovery Planning</w:t>
            </w:r>
          </w:p>
        </w:tc>
        <w:tc>
          <w:tcPr>
            <w:tcW w:type="dxa" w:w="1234"/>
          </w:tcPr>
          <w:p>
            <w:r>
              <w:t>Primary</w:t>
            </w:r>
          </w:p>
        </w:tc>
        <w:tc>
          <w:tcPr>
            <w:tcW w:type="dxa" w:w="1234"/>
          </w:tcPr>
          <w:p>
            <w:r>
              <w:t>Planned (placeholder section)</w:t>
            </w:r>
          </w:p>
        </w:tc>
      </w:tr>
      <w:tr>
        <w:tc>
          <w:tcPr>
            <w:tcW w:type="dxa" w:w="1234"/>
          </w:tcPr>
          <w:p>
            <w:r>
              <w:t>2.1</w:t>
            </w:r>
          </w:p>
        </w:tc>
        <w:tc>
          <w:tcPr>
            <w:tcW w:type="dxa" w:w="1234"/>
          </w:tcPr>
          <w:p>
            <w:r>
              <w:t>2.1 Business Model and Stakeholders</w:t>
            </w:r>
          </w:p>
        </w:tc>
        <w:tc>
          <w:tcPr>
            <w:tcW w:type="dxa" w:w="1234"/>
          </w:tcPr>
          <w:p>
            <w:r>
              <w:t>FERPA</w:t>
            </w:r>
          </w:p>
        </w:tc>
        <w:tc>
          <w:tcPr>
            <w:tcW w:type="dxa" w:w="1234"/>
          </w:tcPr>
          <w:p>
            <w:r>
              <w:t>34 CFR §99.31</w:t>
            </w:r>
          </w:p>
        </w:tc>
        <w:tc>
          <w:tcPr>
            <w:tcW w:type="dxa" w:w="1234"/>
          </w:tcPr>
          <w:p>
            <w:r>
              <w:t>Disclosure Limitation</w:t>
            </w:r>
          </w:p>
        </w:tc>
        <w:tc>
          <w:tcPr>
            <w:tcW w:type="dxa" w:w="1234"/>
          </w:tcPr>
          <w:p>
            <w:r>
              <w:t>Supporting</w:t>
            </w:r>
          </w:p>
        </w:tc>
        <w:tc>
          <w:tcPr>
            <w:tcW w:type="dxa" w:w="1234"/>
          </w:tcPr>
          <w:p>
            <w:r>
              <w:t>Planned (placeholder section)</w:t>
            </w:r>
          </w:p>
        </w:tc>
      </w:tr>
      <w:tr>
        <w:tc>
          <w:tcPr>
            <w:tcW w:type="dxa" w:w="1234"/>
          </w:tcPr>
          <w:p>
            <w:r>
              <w:t>2.1</w:t>
            </w:r>
          </w:p>
        </w:tc>
        <w:tc>
          <w:tcPr>
            <w:tcW w:type="dxa" w:w="1234"/>
          </w:tcPr>
          <w:p>
            <w:r>
              <w:t>2.1 Business Model and Stakeholders</w:t>
            </w:r>
          </w:p>
        </w:tc>
        <w:tc>
          <w:tcPr>
            <w:tcW w:type="dxa" w:w="1234"/>
          </w:tcPr>
          <w:p>
            <w:r>
              <w:t>NIST CSF 2.0</w:t>
            </w:r>
          </w:p>
        </w:tc>
        <w:tc>
          <w:tcPr>
            <w:tcW w:type="dxa" w:w="1234"/>
          </w:tcPr>
          <w:p>
            <w:r>
              <w:t>ID.AM</w:t>
            </w:r>
          </w:p>
        </w:tc>
        <w:tc>
          <w:tcPr>
            <w:tcW w:type="dxa" w:w="1234"/>
          </w:tcPr>
          <w:p>
            <w:r>
              <w:t>Asset Management</w:t>
            </w:r>
          </w:p>
        </w:tc>
        <w:tc>
          <w:tcPr>
            <w:tcW w:type="dxa" w:w="1234"/>
          </w:tcPr>
          <w:p>
            <w:r>
              <w:t>Primary</w:t>
            </w:r>
          </w:p>
        </w:tc>
        <w:tc>
          <w:tcPr>
            <w:tcW w:type="dxa" w:w="1234"/>
          </w:tcPr>
          <w:p>
            <w:r>
              <w:t>Planned (placeholder section)</w:t>
            </w:r>
          </w:p>
        </w:tc>
      </w:tr>
      <w:tr>
        <w:tc>
          <w:tcPr>
            <w:tcW w:type="dxa" w:w="1234"/>
          </w:tcPr>
          <w:p>
            <w:r>
              <w:t>2.2</w:t>
            </w:r>
          </w:p>
        </w:tc>
        <w:tc>
          <w:tcPr>
            <w:tcW w:type="dxa" w:w="1234"/>
          </w:tcPr>
          <w:p>
            <w:r>
              <w:t>2.2 Platforms and Services</w:t>
            </w:r>
          </w:p>
        </w:tc>
        <w:tc>
          <w:tcPr>
            <w:tcW w:type="dxa" w:w="1234"/>
          </w:tcPr>
          <w:p>
            <w:r>
              <w:t>NIST CSF 2.0</w:t>
            </w:r>
          </w:p>
        </w:tc>
        <w:tc>
          <w:tcPr>
            <w:tcW w:type="dxa" w:w="1234"/>
          </w:tcPr>
          <w:p>
            <w:r>
              <w:t>ID.AM</w:t>
            </w:r>
          </w:p>
        </w:tc>
        <w:tc>
          <w:tcPr>
            <w:tcW w:type="dxa" w:w="1234"/>
          </w:tcPr>
          <w:p>
            <w:r>
              <w:t>Asset Management</w:t>
            </w:r>
          </w:p>
        </w:tc>
        <w:tc>
          <w:tcPr>
            <w:tcW w:type="dxa" w:w="1234"/>
          </w:tcPr>
          <w:p>
            <w:r>
              <w:t>Supporting</w:t>
            </w:r>
          </w:p>
        </w:tc>
        <w:tc>
          <w:tcPr>
            <w:tcW w:type="dxa" w:w="1234"/>
          </w:tcPr>
          <w:p>
            <w:r>
              <w:t>Planned (placeholder section)</w:t>
            </w:r>
          </w:p>
        </w:tc>
      </w:tr>
      <w:tr>
        <w:tc>
          <w:tcPr>
            <w:tcW w:type="dxa" w:w="1234"/>
          </w:tcPr>
          <w:p>
            <w:r>
              <w:t>2.2.1</w:t>
            </w:r>
          </w:p>
        </w:tc>
        <w:tc>
          <w:tcPr>
            <w:tcW w:type="dxa" w:w="1234"/>
          </w:tcPr>
          <w:p>
            <w:r>
              <w:t>2.2.1 Learning Management / Experience Platform (LMS/LXP)</w:t>
            </w:r>
          </w:p>
        </w:tc>
        <w:tc>
          <w:tcPr>
            <w:tcW w:type="dxa" w:w="1234"/>
          </w:tcPr>
          <w:p>
            <w:r>
              <w:t>FERPA</w:t>
            </w:r>
          </w:p>
        </w:tc>
        <w:tc>
          <w:tcPr>
            <w:tcW w:type="dxa" w:w="1234"/>
          </w:tcPr>
          <w:p>
            <w:r>
              <w:t>34 CFR §99.30</w:t>
            </w:r>
          </w:p>
        </w:tc>
        <w:tc>
          <w:tcPr>
            <w:tcW w:type="dxa" w:w="1234"/>
          </w:tcPr>
          <w:p>
            <w:r>
              <w:t>Access Authorization</w:t>
            </w:r>
          </w:p>
        </w:tc>
        <w:tc>
          <w:tcPr>
            <w:tcW w:type="dxa" w:w="1234"/>
          </w:tcPr>
          <w:p>
            <w:r>
              <w:t>Primary</w:t>
            </w:r>
          </w:p>
        </w:tc>
        <w:tc>
          <w:tcPr>
            <w:tcW w:type="dxa" w:w="1234"/>
          </w:tcPr>
          <w:p>
            <w:r>
              <w:t>Planned (placeholder section)</w:t>
            </w:r>
          </w:p>
        </w:tc>
      </w:tr>
      <w:tr>
        <w:tc>
          <w:tcPr>
            <w:tcW w:type="dxa" w:w="1234"/>
          </w:tcPr>
          <w:p>
            <w:r>
              <w:t>2.2.1</w:t>
            </w:r>
          </w:p>
        </w:tc>
        <w:tc>
          <w:tcPr>
            <w:tcW w:type="dxa" w:w="1234"/>
          </w:tcPr>
          <w:p>
            <w:r>
              <w:t>2.2.1 Learning Management / Experience Platform (LMS/LXP)</w:t>
            </w:r>
          </w:p>
        </w:tc>
        <w:tc>
          <w:tcPr>
            <w:tcW w:type="dxa" w:w="1234"/>
          </w:tcPr>
          <w:p>
            <w:r>
              <w:t>NIST CSF 2.0</w:t>
            </w:r>
          </w:p>
        </w:tc>
        <w:tc>
          <w:tcPr>
            <w:tcW w:type="dxa" w:w="1234"/>
          </w:tcPr>
          <w:p>
            <w:r>
              <w:t>PR.DS</w:t>
            </w:r>
          </w:p>
        </w:tc>
        <w:tc>
          <w:tcPr>
            <w:tcW w:type="dxa" w:w="1234"/>
          </w:tcPr>
          <w:p>
            <w:r>
              <w:t>Data Security</w:t>
            </w:r>
          </w:p>
        </w:tc>
        <w:tc>
          <w:tcPr>
            <w:tcW w:type="dxa" w:w="1234"/>
          </w:tcPr>
          <w:p>
            <w:r>
              <w:t>Primary</w:t>
            </w:r>
          </w:p>
        </w:tc>
        <w:tc>
          <w:tcPr>
            <w:tcW w:type="dxa" w:w="1234"/>
          </w:tcPr>
          <w:p>
            <w:r>
              <w:t>Planned (placeholder section)</w:t>
            </w:r>
          </w:p>
        </w:tc>
      </w:tr>
      <w:tr>
        <w:tc>
          <w:tcPr>
            <w:tcW w:type="dxa" w:w="1234"/>
          </w:tcPr>
          <w:p>
            <w:r>
              <w:t>2.2.2</w:t>
            </w:r>
          </w:p>
        </w:tc>
        <w:tc>
          <w:tcPr>
            <w:tcW w:type="dxa" w:w="1234"/>
          </w:tcPr>
          <w:p>
            <w:r>
              <w:t>2.2.2 Content Delivery and Assessments</w:t>
            </w:r>
          </w:p>
        </w:tc>
        <w:tc>
          <w:tcPr>
            <w:tcW w:type="dxa" w:w="1234"/>
          </w:tcPr>
          <w:p>
            <w:r>
              <w:t>NIST CSF 2.0</w:t>
            </w:r>
          </w:p>
        </w:tc>
        <w:tc>
          <w:tcPr>
            <w:tcW w:type="dxa" w:w="1234"/>
          </w:tcPr>
          <w:p>
            <w:r>
              <w:t>PR.DS</w:t>
            </w:r>
          </w:p>
        </w:tc>
        <w:tc>
          <w:tcPr>
            <w:tcW w:type="dxa" w:w="1234"/>
          </w:tcPr>
          <w:p>
            <w:r>
              <w:t>Data Security</w:t>
            </w:r>
          </w:p>
        </w:tc>
        <w:tc>
          <w:tcPr>
            <w:tcW w:type="dxa" w:w="1234"/>
          </w:tcPr>
          <w:p>
            <w:r>
              <w:t>Supporting</w:t>
            </w:r>
          </w:p>
        </w:tc>
        <w:tc>
          <w:tcPr>
            <w:tcW w:type="dxa" w:w="1234"/>
          </w:tcPr>
          <w:p>
            <w:r>
              <w:t>Planned (placeholder section)</w:t>
            </w:r>
          </w:p>
        </w:tc>
      </w:tr>
      <w:tr>
        <w:tc>
          <w:tcPr>
            <w:tcW w:type="dxa" w:w="1234"/>
          </w:tcPr>
          <w:p>
            <w:r>
              <w:t>2.2.3</w:t>
            </w:r>
          </w:p>
        </w:tc>
        <w:tc>
          <w:tcPr>
            <w:tcW w:type="dxa" w:w="1234"/>
          </w:tcPr>
          <w:p>
            <w:r>
              <w:t>2.2.3 Identity and Federation with Partner Institutions</w:t>
            </w:r>
          </w:p>
        </w:tc>
        <w:tc>
          <w:tcPr>
            <w:tcW w:type="dxa" w:w="1234"/>
          </w:tcPr>
          <w:p>
            <w:r>
              <w:t>FERPA</w:t>
            </w:r>
          </w:p>
        </w:tc>
        <w:tc>
          <w:tcPr>
            <w:tcW w:type="dxa" w:w="1234"/>
          </w:tcPr>
          <w:p>
            <w:r>
              <w:t>34 CFR §99.31</w:t>
            </w:r>
          </w:p>
        </w:tc>
        <w:tc>
          <w:tcPr>
            <w:tcW w:type="dxa" w:w="1234"/>
          </w:tcPr>
          <w:p>
            <w:r>
              <w:t>Disclosure Limitation</w:t>
            </w:r>
          </w:p>
        </w:tc>
        <w:tc>
          <w:tcPr>
            <w:tcW w:type="dxa" w:w="1234"/>
          </w:tcPr>
          <w:p>
            <w:r>
              <w:t>Supporting</w:t>
            </w:r>
          </w:p>
        </w:tc>
        <w:tc>
          <w:tcPr>
            <w:tcW w:type="dxa" w:w="1234"/>
          </w:tcPr>
          <w:p>
            <w:r>
              <w:t>Planned (placeholder section)</w:t>
            </w:r>
          </w:p>
        </w:tc>
      </w:tr>
      <w:tr>
        <w:tc>
          <w:tcPr>
            <w:tcW w:type="dxa" w:w="1234"/>
          </w:tcPr>
          <w:p>
            <w:r>
              <w:t>2.2.3</w:t>
            </w:r>
          </w:p>
        </w:tc>
        <w:tc>
          <w:tcPr>
            <w:tcW w:type="dxa" w:w="1234"/>
          </w:tcPr>
          <w:p>
            <w:r>
              <w:t>2.2.3 Identity and Federation with Partner Institutions</w:t>
            </w:r>
          </w:p>
        </w:tc>
        <w:tc>
          <w:tcPr>
            <w:tcW w:type="dxa" w:w="1234"/>
          </w:tcPr>
          <w:p>
            <w:r>
              <w:t>FERPA</w:t>
            </w:r>
          </w:p>
        </w:tc>
        <w:tc>
          <w:tcPr>
            <w:tcW w:type="dxa" w:w="1234"/>
          </w:tcPr>
          <w:p>
            <w:r>
              <w:t>34 CFR §99.30</w:t>
            </w:r>
          </w:p>
        </w:tc>
        <w:tc>
          <w:tcPr>
            <w:tcW w:type="dxa" w:w="1234"/>
          </w:tcPr>
          <w:p>
            <w:r>
              <w:t>Access Authorization</w:t>
            </w:r>
          </w:p>
        </w:tc>
        <w:tc>
          <w:tcPr>
            <w:tcW w:type="dxa" w:w="1234"/>
          </w:tcPr>
          <w:p>
            <w:r>
              <w:t>Supporting</w:t>
            </w:r>
          </w:p>
        </w:tc>
        <w:tc>
          <w:tcPr>
            <w:tcW w:type="dxa" w:w="1234"/>
          </w:tcPr>
          <w:p>
            <w:r>
              <w:t>Planned (placeholder section)</w:t>
            </w:r>
          </w:p>
        </w:tc>
      </w:tr>
      <w:tr>
        <w:tc>
          <w:tcPr>
            <w:tcW w:type="dxa" w:w="1234"/>
          </w:tcPr>
          <w:p>
            <w:r>
              <w:t>2.2.3</w:t>
            </w:r>
          </w:p>
        </w:tc>
        <w:tc>
          <w:tcPr>
            <w:tcW w:type="dxa" w:w="1234"/>
          </w:tcPr>
          <w:p>
            <w:r>
              <w:t>2.2.3 Identity and Federation with Partner Institutions</w:t>
            </w:r>
          </w:p>
        </w:tc>
        <w:tc>
          <w:tcPr>
            <w:tcW w:type="dxa" w:w="1234"/>
          </w:tcPr>
          <w:p>
            <w:r>
              <w:t>FERPA</w:t>
            </w:r>
          </w:p>
        </w:tc>
        <w:tc>
          <w:tcPr>
            <w:tcW w:type="dxa" w:w="1234"/>
          </w:tcPr>
          <w:p>
            <w:r>
              <w:t>34 CFR §99.33</w:t>
            </w:r>
          </w:p>
        </w:tc>
        <w:tc>
          <w:tcPr>
            <w:tcW w:type="dxa" w:w="1234"/>
          </w:tcPr>
          <w:p>
            <w:r>
              <w:t>Third‑Party Use Controls</w:t>
            </w:r>
          </w:p>
        </w:tc>
        <w:tc>
          <w:tcPr>
            <w:tcW w:type="dxa" w:w="1234"/>
          </w:tcPr>
          <w:p>
            <w:r>
              <w:t>Primary</w:t>
            </w:r>
          </w:p>
        </w:tc>
        <w:tc>
          <w:tcPr>
            <w:tcW w:type="dxa" w:w="1234"/>
          </w:tcPr>
          <w:p>
            <w:r>
              <w:t>Planned (placeholder section)</w:t>
            </w:r>
          </w:p>
        </w:tc>
      </w:tr>
      <w:tr>
        <w:tc>
          <w:tcPr>
            <w:tcW w:type="dxa" w:w="1234"/>
          </w:tcPr>
          <w:p>
            <w:r>
              <w:t>2.2.3</w:t>
            </w:r>
          </w:p>
        </w:tc>
        <w:tc>
          <w:tcPr>
            <w:tcW w:type="dxa" w:w="1234"/>
          </w:tcPr>
          <w:p>
            <w:r>
              <w:t>2.2.3 Identity and Federation with Partner Institutions</w:t>
            </w:r>
          </w:p>
        </w:tc>
        <w:tc>
          <w:tcPr>
            <w:tcW w:type="dxa" w:w="1234"/>
          </w:tcPr>
          <w:p>
            <w:r>
              <w:t>NIST CSF 2.0</w:t>
            </w:r>
          </w:p>
        </w:tc>
        <w:tc>
          <w:tcPr>
            <w:tcW w:type="dxa" w:w="1234"/>
          </w:tcPr>
          <w:p>
            <w:r>
              <w:t>PR.AA</w:t>
            </w:r>
          </w:p>
        </w:tc>
        <w:tc>
          <w:tcPr>
            <w:tcW w:type="dxa" w:w="1234"/>
          </w:tcPr>
          <w:p>
            <w:r>
              <w:t>Identity &amp; Access Control</w:t>
            </w:r>
          </w:p>
        </w:tc>
        <w:tc>
          <w:tcPr>
            <w:tcW w:type="dxa" w:w="1234"/>
          </w:tcPr>
          <w:p>
            <w:r>
              <w:t>Primary</w:t>
            </w:r>
          </w:p>
        </w:tc>
        <w:tc>
          <w:tcPr>
            <w:tcW w:type="dxa" w:w="1234"/>
          </w:tcPr>
          <w:p>
            <w:r>
              <w:t>Planned (placeholder section)</w:t>
            </w:r>
          </w:p>
        </w:tc>
      </w:tr>
      <w:tr>
        <w:tc>
          <w:tcPr>
            <w:tcW w:type="dxa" w:w="1234"/>
          </w:tcPr>
          <w:p>
            <w:r>
              <w:t>2.2.4</w:t>
            </w:r>
          </w:p>
        </w:tc>
        <w:tc>
          <w:tcPr>
            <w:tcW w:type="dxa" w:w="1234"/>
          </w:tcPr>
          <w:p>
            <w:r>
              <w:t>2.2.4 Commerce, Billing, and Payments</w:t>
            </w:r>
          </w:p>
        </w:tc>
        <w:tc>
          <w:tcPr>
            <w:tcW w:type="dxa" w:w="1234"/>
          </w:tcPr>
          <w:p>
            <w:r>
              <w:t>SOX</w:t>
            </w:r>
          </w:p>
        </w:tc>
        <w:tc>
          <w:tcPr>
            <w:tcW w:type="dxa" w:w="1234"/>
          </w:tcPr>
          <w:p>
            <w:r>
              <w:t>SOX §302</w:t>
            </w:r>
          </w:p>
        </w:tc>
        <w:tc>
          <w:tcPr>
            <w:tcW w:type="dxa" w:w="1234"/>
          </w:tcPr>
          <w:p>
            <w:r>
              <w:t>Financial Reporting Controls</w:t>
            </w:r>
          </w:p>
        </w:tc>
        <w:tc>
          <w:tcPr>
            <w:tcW w:type="dxa" w:w="1234"/>
          </w:tcPr>
          <w:p>
            <w:r>
              <w:t>Primary</w:t>
            </w:r>
          </w:p>
        </w:tc>
        <w:tc>
          <w:tcPr>
            <w:tcW w:type="dxa" w:w="1234"/>
          </w:tcPr>
          <w:p>
            <w:r>
              <w:t>Planned (placeholder section)</w:t>
            </w:r>
          </w:p>
        </w:tc>
      </w:tr>
      <w:tr>
        <w:tc>
          <w:tcPr>
            <w:tcW w:type="dxa" w:w="1234"/>
          </w:tcPr>
          <w:p>
            <w:r>
              <w:t>2.2.4</w:t>
            </w:r>
          </w:p>
        </w:tc>
        <w:tc>
          <w:tcPr>
            <w:tcW w:type="dxa" w:w="1234"/>
          </w:tcPr>
          <w:p>
            <w:r>
              <w:t>2.2.4 Commerce, Billing, and Payments</w:t>
            </w:r>
          </w:p>
        </w:tc>
        <w:tc>
          <w:tcPr>
            <w:tcW w:type="dxa" w:w="1234"/>
          </w:tcPr>
          <w:p>
            <w:r>
              <w:t>SOX</w:t>
            </w:r>
          </w:p>
        </w:tc>
        <w:tc>
          <w:tcPr>
            <w:tcW w:type="dxa" w:w="1234"/>
          </w:tcPr>
          <w:p>
            <w:r>
              <w:t>SOX §404</w:t>
            </w:r>
          </w:p>
        </w:tc>
        <w:tc>
          <w:tcPr>
            <w:tcW w:type="dxa" w:w="1234"/>
          </w:tcPr>
          <w:p>
            <w:r>
              <w:t>Internal Controls over Financial Reporting</w:t>
            </w:r>
          </w:p>
        </w:tc>
        <w:tc>
          <w:tcPr>
            <w:tcW w:type="dxa" w:w="1234"/>
          </w:tcPr>
          <w:p>
            <w:r>
              <w:t>Supporting</w:t>
            </w:r>
          </w:p>
        </w:tc>
        <w:tc>
          <w:tcPr>
            <w:tcW w:type="dxa" w:w="1234"/>
          </w:tcPr>
          <w:p>
            <w:r>
              <w:t>Planned (placeholder section)</w:t>
            </w:r>
          </w:p>
        </w:tc>
      </w:tr>
      <w:tr>
        <w:tc>
          <w:tcPr>
            <w:tcW w:type="dxa" w:w="1234"/>
          </w:tcPr>
          <w:p>
            <w:r>
              <w:t>2.2.5</w:t>
            </w:r>
          </w:p>
        </w:tc>
        <w:tc>
          <w:tcPr>
            <w:tcW w:type="dxa" w:w="1234"/>
          </w:tcPr>
          <w:p>
            <w:r>
              <w:t>2.2.5 Analytics, Personalization, and AI Capabilities</w:t>
            </w:r>
          </w:p>
        </w:tc>
        <w:tc>
          <w:tcPr>
            <w:tcW w:type="dxa" w:w="1234"/>
          </w:tcPr>
          <w:p>
            <w:r>
              <w:t>NIST CSF 2.0</w:t>
            </w:r>
          </w:p>
        </w:tc>
        <w:tc>
          <w:tcPr>
            <w:tcW w:type="dxa" w:w="1234"/>
          </w:tcPr>
          <w:p>
            <w:r>
              <w:t>DE.CM</w:t>
            </w:r>
          </w:p>
        </w:tc>
        <w:tc>
          <w:tcPr>
            <w:tcW w:type="dxa" w:w="1234"/>
          </w:tcPr>
          <w:p>
            <w:r>
              <w:t>Security Monitoring</w:t>
            </w:r>
          </w:p>
        </w:tc>
        <w:tc>
          <w:tcPr>
            <w:tcW w:type="dxa" w:w="1234"/>
          </w:tcPr>
          <w:p>
            <w:r>
              <w:t>Primary</w:t>
            </w:r>
          </w:p>
        </w:tc>
        <w:tc>
          <w:tcPr>
            <w:tcW w:type="dxa" w:w="1234"/>
          </w:tcPr>
          <w:p>
            <w:r>
              <w:t>Planned (placeholder section)</w:t>
            </w:r>
          </w:p>
        </w:tc>
      </w:tr>
    </w:tbl>
    <w:p>
      <w:pPr>
        <w:pStyle w:val="Heading2"/>
      </w:pPr>
      <w:r>
        <w:t>2) SOC-Style Narrative by SRA Section</w:t>
      </w:r>
    </w:p>
    <w:p>
      <w:pPr>
        <w:pStyle w:val="Heading3"/>
      </w:pPr>
      <w:r>
        <w:t>1.3 – 1.3 Compliance Alignment Summary (FERPA, SOX, NIST CSF 2.0)</w:t>
      </w:r>
    </w:p>
    <w:p>
      <w:r>
        <w:t>Controls Summary &amp; Governance. This section will document how the Security Reference Architecture aligns to FERPA, SOX, and NIST CSF 2.0, including disclosure limitations for education records, timely financial disclosure obligations, and the incident response posture. Evidence expectations: written policy statements, ownership, and cross-references to technical and operational sections.</w:t>
      </w:r>
    </w:p>
    <w:p>
      <w:r>
        <w:rPr>
          <w:b/>
        </w:rPr>
        <w:t>Controls mapped to this section:</w:t>
      </w:r>
    </w:p>
    <w:p>
      <w:pPr>
        <w:pStyle w:val="ListBullet"/>
      </w:pPr>
      <w:r>
        <w:t>FERPA 34 CFR §99.31 – Disclosure Limitation (Primary; Planned (placeholder section))</w:t>
      </w:r>
    </w:p>
    <w:p>
      <w:pPr>
        <w:pStyle w:val="ListBullet"/>
      </w:pPr>
      <w:r>
        <w:t>SOX SOX §409 – Timely Disclosure (Primary; Planned (placeholder section))</w:t>
      </w:r>
    </w:p>
    <w:p>
      <w:pPr>
        <w:pStyle w:val="ListBullet"/>
      </w:pPr>
      <w:r>
        <w:t>NIST CSF 2.0 RS.IR – Incident Response (Primary; Planned (placeholder section))</w:t>
      </w:r>
    </w:p>
    <w:p>
      <w:pPr>
        <w:pStyle w:val="Heading3"/>
      </w:pPr>
      <w:r>
        <w:t>1.4 – 1.4 Key Architectural Decisions and Exclusions</w:t>
      </w:r>
    </w:p>
    <w:p>
      <w:r>
        <w:t>Architectural Scope, Boundaries &amp; Assurance. This section will define key architectural decisions and explicit exclusions that impact internal controls over financial reporting and recovery planning. Evidence expectations: decision records, scoping rationale, and recovery objectives tied to services.</w:t>
      </w:r>
    </w:p>
    <w:p>
      <w:r>
        <w:rPr>
          <w:b/>
        </w:rPr>
        <w:t>Controls mapped to this section:</w:t>
      </w:r>
    </w:p>
    <w:p>
      <w:pPr>
        <w:pStyle w:val="ListBullet"/>
      </w:pPr>
      <w:r>
        <w:t>SOX SOX §404 – Internal Controls over Financial Reporting (Primary; Planned (placeholder section))</w:t>
      </w:r>
    </w:p>
    <w:p>
      <w:pPr>
        <w:pStyle w:val="ListBullet"/>
      </w:pPr>
      <w:r>
        <w:t>NIST CSF 2.0 RC.RP – Recovery Planning (Primary; Planned (placeholder section))</w:t>
      </w:r>
    </w:p>
    <w:p>
      <w:pPr>
        <w:pStyle w:val="Heading3"/>
      </w:pPr>
      <w:r>
        <w:t>2.1 – 2.1 Business Model and Stakeholders</w:t>
      </w:r>
    </w:p>
    <w:p>
      <w:r>
        <w:t>Context, Stakeholders &amp; Asset Identification. This section will describe the online education business model, stakeholders, and data flows so that regulated data (e.g., education records) and critical assets are identifiable and manageable. Evidence expectations: data classification assumptions, stakeholder roles, and system/data inventories at a high level.</w:t>
      </w:r>
    </w:p>
    <w:p>
      <w:r>
        <w:rPr>
          <w:b/>
        </w:rPr>
        <w:t>Controls mapped to this section:</w:t>
      </w:r>
    </w:p>
    <w:p>
      <w:pPr>
        <w:pStyle w:val="ListBullet"/>
      </w:pPr>
      <w:r>
        <w:t>FERPA 34 CFR §99.31 – Disclosure Limitation (Supporting; Planned (placeholder section))</w:t>
      </w:r>
    </w:p>
    <w:p>
      <w:pPr>
        <w:pStyle w:val="ListBullet"/>
      </w:pPr>
      <w:r>
        <w:t>NIST CSF 2.0 ID.AM – Asset Management (Primary; Planned (placeholder section))</w:t>
      </w:r>
    </w:p>
    <w:p>
      <w:pPr>
        <w:pStyle w:val="Heading3"/>
      </w:pPr>
      <w:r>
        <w:t>2.2 – 2.2 Platforms and Services</w:t>
      </w:r>
    </w:p>
    <w:p>
      <w:r>
        <w:t>Platform Inventory &amp; Service Landscape. This section will enumerate major platforms and services within scope to support asset management and traceability across the architecture. Evidence expectations: service catalog summaries and boundaries of each platform area.</w:t>
      </w:r>
    </w:p>
    <w:p>
      <w:r>
        <w:rPr>
          <w:b/>
        </w:rPr>
        <w:t>Controls mapped to this section:</w:t>
      </w:r>
    </w:p>
    <w:p>
      <w:pPr>
        <w:pStyle w:val="ListBullet"/>
      </w:pPr>
      <w:r>
        <w:t>NIST CSF 2.0 ID.AM – Asset Management (Supporting; Planned (placeholder section))</w:t>
      </w:r>
    </w:p>
    <w:p>
      <w:pPr>
        <w:pStyle w:val="Heading3"/>
      </w:pPr>
      <w:r>
        <w:t>2.2.1 – 2.2.1 Learning Management / Experience Platform (LMS/LXP)</w:t>
      </w:r>
    </w:p>
    <w:p>
      <w:r>
        <w:t>LMS/LXP Security &amp; Student Record Protections. This section will describe how the learning platform enforces authorized access and protects data in transit and at rest. Evidence expectations: access control model references and encryption/protection statements appropriate to the platform.</w:t>
      </w:r>
    </w:p>
    <w:p>
      <w:r>
        <w:rPr>
          <w:b/>
        </w:rPr>
        <w:t>Controls mapped to this section:</w:t>
      </w:r>
    </w:p>
    <w:p>
      <w:pPr>
        <w:pStyle w:val="ListBullet"/>
      </w:pPr>
      <w:r>
        <w:t>FERPA 34 CFR §99.30 – Access Authorization (Primary; Planned (placeholder section))</w:t>
      </w:r>
    </w:p>
    <w:p>
      <w:pPr>
        <w:pStyle w:val="ListBullet"/>
      </w:pPr>
      <w:r>
        <w:t>NIST CSF 2.0 PR.DS – Data Security (Primary; Planned (placeholder section))</w:t>
      </w:r>
    </w:p>
    <w:p>
      <w:pPr>
        <w:pStyle w:val="Heading3"/>
      </w:pPr>
      <w:r>
        <w:t>2.2.2 – 2.2.2 Content Delivery and Assessments</w:t>
      </w:r>
    </w:p>
    <w:p>
      <w:r>
        <w:t>Content &amp; Assessment Protections. This section will document how content delivery and assessments protect regulated or sensitive data, focusing on data security expectations for assessment results and associated artifacts. Evidence expectations: protection statements for delivery/storage paths.</w:t>
      </w:r>
    </w:p>
    <w:p>
      <w:r>
        <w:rPr>
          <w:b/>
        </w:rPr>
        <w:t>Controls mapped to this section:</w:t>
      </w:r>
    </w:p>
    <w:p>
      <w:pPr>
        <w:pStyle w:val="ListBullet"/>
      </w:pPr>
      <w:r>
        <w:t>NIST CSF 2.0 PR.DS – Data Security (Supporting; Planned (placeholder section))</w:t>
      </w:r>
    </w:p>
    <w:p>
      <w:pPr>
        <w:pStyle w:val="Heading3"/>
      </w:pPr>
      <w:r>
        <w:t>2.2.3 – 2.2.3 Identity and Federation with Partner Institutions</w:t>
      </w:r>
    </w:p>
    <w:p>
      <w:r>
        <w:t>Identity, Federation &amp; Third-Party Controls. This section will describe authentication, authorization, federation with partner institutions, and controls that limit reuse/redisclosure of student data. Evidence expectations: federation trust assumptions, access authorization statements, and third-party handling constraints.</w:t>
      </w:r>
    </w:p>
    <w:p>
      <w:r>
        <w:rPr>
          <w:b/>
        </w:rPr>
        <w:t>Controls mapped to this section:</w:t>
      </w:r>
    </w:p>
    <w:p>
      <w:pPr>
        <w:pStyle w:val="ListBullet"/>
      </w:pPr>
      <w:r>
        <w:t>FERPA 34 CFR §99.31 – Disclosure Limitation (Supporting; Planned (placeholder section))</w:t>
      </w:r>
    </w:p>
    <w:p>
      <w:pPr>
        <w:pStyle w:val="ListBullet"/>
      </w:pPr>
      <w:r>
        <w:t>FERPA 34 CFR §99.30 – Access Authorization (Supporting; Planned (placeholder section))</w:t>
      </w:r>
    </w:p>
    <w:p>
      <w:pPr>
        <w:pStyle w:val="ListBullet"/>
      </w:pPr>
      <w:r>
        <w:t>FERPA 34 CFR §99.33 – Third‑Party Use Controls (Primary; Planned (placeholder section))</w:t>
      </w:r>
    </w:p>
    <w:p>
      <w:pPr>
        <w:pStyle w:val="ListBullet"/>
      </w:pPr>
      <w:r>
        <w:t>NIST CSF 2.0 PR.AA – Identity &amp; Access Control (Primary; Planned (placeholder section))</w:t>
      </w:r>
    </w:p>
    <w:p>
      <w:pPr>
        <w:pStyle w:val="Heading3"/>
      </w:pPr>
      <w:r>
        <w:t>2.2.4 – 2.2.4 Commerce, Billing, and Payments</w:t>
      </w:r>
    </w:p>
    <w:p>
      <w:r>
        <w:t>Commerce/Billing Controls (SOX-Relevant). This section will document the architecture for commerce, billing, and payments as it relates to financial reporting integrity and assessable internal controls over financial reporting. Evidence expectations: audit trail expectations and control ownership boundaries.</w:t>
      </w:r>
    </w:p>
    <w:p>
      <w:r>
        <w:rPr>
          <w:b/>
        </w:rPr>
        <w:t>Controls mapped to this section:</w:t>
      </w:r>
    </w:p>
    <w:p>
      <w:pPr>
        <w:pStyle w:val="ListBullet"/>
      </w:pPr>
      <w:r>
        <w:t>SOX SOX §302 – Financial Reporting Controls (Primary; Planned (placeholder section))</w:t>
      </w:r>
    </w:p>
    <w:p>
      <w:pPr>
        <w:pStyle w:val="ListBullet"/>
      </w:pPr>
      <w:r>
        <w:t>SOX SOX §404 – Internal Controls over Financial Reporting (Supporting; Planned (placeholder section))</w:t>
      </w:r>
    </w:p>
    <w:p>
      <w:pPr>
        <w:pStyle w:val="Heading3"/>
      </w:pPr>
      <w:r>
        <w:t>2.2.5 – 2.2.5 Analytics, Personalization, and AI Capabilities</w:t>
      </w:r>
    </w:p>
    <w:p>
      <w:r>
        <w:t>Monitoring &amp; Analytics. This section will describe security monitoring expectations for analytics/personalization/AI capabilities, aligned to continuous monitoring for anomalies. Evidence expectations: monitoring coverage statements and where signals are sourced.</w:t>
      </w:r>
    </w:p>
    <w:p>
      <w:r>
        <w:rPr>
          <w:b/>
        </w:rPr>
        <w:t>Controls mapped to this section:</w:t>
      </w:r>
    </w:p>
    <w:p>
      <w:pPr>
        <w:pStyle w:val="ListBullet"/>
      </w:pPr>
      <w:r>
        <w:t>NIST CSF 2.0 DE.CM – Security Monitoring (Primary; Planned (placeholder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