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§1 — Executive Summary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§1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Security Architecture / GRC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executive-level governance position for the </w:t>
      </w:r>
      <w:r>
        <w:rPr>
          <w:b/>
          <w:i w:val="0"/>
        </w:rPr>
        <w:t>Trust Security Reference Architecture (TSRA)</w:t>
      </w:r>
      <w:r>
        <w:t xml:space="preserve"> as defined in Section §1 — Executive Summary. It serves as the strategic governance anchor for all domain-specific governance memos and provides the overarching context for the architecture program.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Strategic direction and mission of the TSRA: establish, evaluate, enforce, degrade, and restore trust across the Stride environment</w:t>
      </w:r>
    </w:p>
    <w:p>
      <w:pPr>
        <w:pStyle w:val="ListBullet"/>
      </w:pPr>
      <w:r>
        <w:t>Target audiences: staff, students, customers in a cloud-native edtech platform</w:t>
      </w:r>
    </w:p>
    <w:p>
      <w:pPr>
        <w:pStyle w:val="ListBullet"/>
      </w:pPr>
      <w:r>
        <w:t>Governance authority over all domain-specific SRA sections (§2–§14)</w:t>
      </w:r>
    </w:p>
    <w:p>
      <w:pPr>
        <w:pStyle w:val="ListBullet"/>
      </w:pPr>
      <w:r>
        <w:t>Integrated platform stack alignment: Entra ID, Okta CIAM, SailPoint IdentityNow, Delinea, Entra PIM, CrowdStrike Falcon, Defender for Endpoint, Tenable VM/CSPM, Sonatype, Burp Suite, Salt Security (future), ServiceNow SecOps</w:t>
      </w:r>
    </w:p>
    <w:p>
      <w:pPr>
        <w:pStyle w:val="ListBullet"/>
      </w:pPr>
      <w:r>
        <w:t>Framework alignment: TOGAF, NIST CSF 2.0, NIST SP 800-207 (Zero Trust)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Domain-specific control details (covered in respective governance memos: §4–§9)</w:t>
      </w:r>
    </w:p>
    <w:p>
      <w:pPr>
        <w:pStyle w:val="ListBullet"/>
      </w:pPr>
      <w:r>
        <w:t>Operational runbooks and tactical procedures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§1</w:t>
      </w:r>
    </w:p>
    <w:p>
      <w:pPr>
        <w:pStyle w:val="ListBullet"/>
      </w:pPr>
      <w:r>
        <w:t>SRA Control Register (`SRA_Control_Register.xlsx`), Control ID: CTRL-001</w:t>
      </w:r>
    </w:p>
    <w:p>
      <w:pPr>
        <w:pStyle w:val="ListBullet"/>
      </w:pPr>
      <w:r>
        <w:t>D2 Architecture Diagram: `16-executive-summary-and-platform-stack.d2`</w:t>
      </w:r>
    </w:p>
    <w:p>
      <w:pPr>
        <w:pStyle w:val="ListBullet"/>
      </w:pPr>
      <w:r>
        <w:t>All domain-specific governance memos (§4, §5, §6, §7, §8, §9)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 / GRC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the TSRA as a governance artifact, maintains architecture standards, coordinates cross-domain alignment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Sponsors the architecture program, approves strategic direction and risk posture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 / Endpoint / AppSec / VulnMgmt / SecOps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Execute domain-specific controls aligned to the TSRA; produce evidence within their respective domains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Program Management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Coordinates implementation roadmap execution across domains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Legal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Advises on regulatory obligations (SOX, FERPA) that shape architecture requirements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Trust Security Reference Architecture defines a comprehensive, trust-centric security posture for Stride (K12.com) across all personas, platforms, and cloud environments. The architecture is organized around a central trust model that evaluates, enforces, and adapts trust decisions across eight interconnected security domains.</w:t>
      </w:r>
    </w:p>
    <w:p>
      <w:r>
        <w:rPr>
          <w:b/>
          <w:i w:val="0"/>
        </w:rPr>
        <w:t>TSRA Mission:</w:t>
      </w:r>
    </w:p>
    <w:p>
      <w:pPr>
        <w:ind w:left="720"/>
      </w:pPr>
      <w:r>
        <w:rPr>
          <w:b w:val="0"/>
          <w:i/>
          <w:color w:val="757575"/>
        </w:rPr>
        <w:t>Establish, evaluate, enforce, degrade, and restore trust for staff, students, and customers in a cloud-native edtech environment.</w:t>
      </w:r>
    </w:p>
    <w:p>
      <w:r>
        <w:rPr>
          <w:b/>
          <w:i w:val="0"/>
        </w:rPr>
        <w:t>Strategic Objectives:</w:t>
      </w:r>
    </w:p>
    <w:p>
      <w:pPr>
        <w:pStyle w:val="ListNumber"/>
      </w:pPr>
      <w:r/>
      <w:r>
        <w:rPr>
          <w:b/>
          <w:i w:val="0"/>
        </w:rPr>
        <w:t>Identity-centric, risk-adaptive controls</w:t>
      </w:r>
      <w:r>
        <w:t xml:space="preserve"> — Entra ID (workforce) and Okta CIAM (external) provide persona-specific authentication with conditional access based on real-time risk signals</w:t>
      </w:r>
    </w:p>
    <w:p>
      <w:pPr>
        <w:pStyle w:val="ListNumber"/>
      </w:pPr>
      <w:r/>
      <w:r>
        <w:rPr>
          <w:b/>
          <w:i w:val="0"/>
        </w:rPr>
        <w:t>Unified governance</w:t>
      </w:r>
      <w:r>
        <w:t xml:space="preserve"> — SailPoint IdentityNow aggregates identities across both IdPs for lifecycle management, certification, and SoD enforcement</w:t>
      </w:r>
    </w:p>
    <w:p>
      <w:pPr>
        <w:pStyle w:val="ListNumber"/>
      </w:pPr>
      <w:r/>
      <w:r>
        <w:rPr>
          <w:b/>
          <w:i w:val="0"/>
        </w:rPr>
        <w:t>Privileged trust</w:t>
      </w:r>
      <w:r>
        <w:t xml:space="preserve"> — Delinea and Entra PIM enforce just-in-time elevation, session recording, and role governance for administrative access</w:t>
      </w:r>
    </w:p>
    <w:p>
      <w:pPr>
        <w:pStyle w:val="ListNumber"/>
      </w:pPr>
      <w:r/>
      <w:r>
        <w:rPr>
          <w:b/>
          <w:i w:val="0"/>
        </w:rPr>
        <w:t>Device trust</w:t>
      </w:r>
      <w:r>
        <w:t xml:space="preserve"> — CrowdStrike Falcon (primary) and Defender for Endpoint (secondary) feed composite device trust scores into access decisions</w:t>
      </w:r>
    </w:p>
    <w:p>
      <w:pPr>
        <w:pStyle w:val="ListNumber"/>
      </w:pPr>
      <w:r/>
      <w:r>
        <w:rPr>
          <w:b/>
          <w:i w:val="0"/>
        </w:rPr>
        <w:t>Exposure and posture</w:t>
      </w:r>
      <w:r>
        <w:t xml:space="preserve"> — Tenable VM and CSPM provide continuous vulnerability identification and cloud configuration drift detection</w:t>
      </w:r>
    </w:p>
    <w:p>
      <w:pPr>
        <w:pStyle w:val="ListNumber"/>
      </w:pPr>
      <w:r/>
      <w:r>
        <w:rPr>
          <w:b/>
          <w:i w:val="0"/>
        </w:rPr>
        <w:t>Secure SDLC and API trust</w:t>
      </w:r>
      <w:r>
        <w:t xml:space="preserve"> — Sonatype SCA, Burp Suite DAST, and Salt Security (future) protect the application delivery pipeline and runtime</w:t>
      </w:r>
    </w:p>
    <w:p>
      <w:pPr>
        <w:pStyle w:val="ListNumber"/>
      </w:pPr>
      <w:r/>
      <w:r>
        <w:rPr>
          <w:b/>
          <w:i w:val="0"/>
        </w:rPr>
        <w:t>Operational trust</w:t>
      </w:r>
      <w:r>
        <w:t xml:space="preserve"> — ServiceNow SecOps centralizes incident management, vulnerability response, and evidence collection from all upstream signals</w:t>
      </w:r>
    </w:p>
    <w:p>
      <w:pPr>
        <w:pStyle w:val="ListNumber"/>
      </w:pPr>
      <w:r/>
      <w:r>
        <w:rPr>
          <w:b/>
          <w:i w:val="0"/>
        </w:rPr>
        <w:t>Measurable compliance</w:t>
      </w:r>
      <w:r>
        <w:t xml:space="preserve"> — SOX and FERPA alignment with audit-ready evidence traceability</w:t>
      </w:r>
    </w:p>
    <w:p>
      <w:r>
        <w:rPr>
          <w:b/>
          <w:i w:val="0"/>
        </w:rPr>
        <w:t>Framework Alignment:</w:t>
      </w:r>
    </w:p>
    <w:p>
      <w:pPr>
        <w:pStyle w:val="ListBullet"/>
      </w:pPr>
      <w:r/>
      <w:r>
        <w:rPr>
          <w:b/>
          <w:i w:val="0"/>
        </w:rPr>
        <w:t>TOGAF</w:t>
      </w:r>
      <w:r>
        <w:t>: Enterprise architecture methodology guiding the TSRA structure and governance model</w:t>
      </w:r>
    </w:p>
    <w:p>
      <w:pPr>
        <w:pStyle w:val="ListBullet"/>
      </w:pPr>
      <w:r/>
      <w:r>
        <w:rPr>
          <w:b/>
          <w:i w:val="0"/>
        </w:rPr>
        <w:t>NIST CSF 2.0</w:t>
      </w:r>
      <w:r>
        <w:t>: Control mapping framework providing subcategory-level traceability for all domain controls (see SRA §10)</w:t>
      </w:r>
    </w:p>
    <w:p>
      <w:pPr>
        <w:pStyle w:val="ListBullet"/>
      </w:pPr>
      <w:r/>
      <w:r>
        <w:rPr>
          <w:b/>
          <w:i w:val="0"/>
        </w:rPr>
        <w:t>NIST SP 800-207</w:t>
      </w:r>
      <w:r>
        <w:t>: Zero Trust Architecture principles informing identity-centric access, micro-segmentation intent, and continuous trust evaluation</w:t>
      </w:r>
    </w:p>
    <w:p>
      <w:r>
        <w:rPr>
          <w:b/>
          <w:i w:val="0"/>
        </w:rPr>
        <w:t>Integrated Platform Stack: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Workforce Identity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Microsoft Entra ID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External Identity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Okta CIAM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Identity Governance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SailPoint IdentityNow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Privileged Access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Delinea + Entra PIM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§5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Device Trust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CrowdStrike Falcon + Defender for Endpoint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§6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Exposure Management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Tenable VM + CSPM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§7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Application Security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Sonatype + Burp Suite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§8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API Security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Salt Security (future)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§8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ServiceNow SecOps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§9</w:t>
            </w:r>
          </w:p>
        </w:tc>
      </w:tr>
    </w:tbl>
    <w:p/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decision plane: SRA §2</w:t>
      </w:r>
    </w:p>
    <w:p>
      <w:pPr>
        <w:ind w:left="720"/>
      </w:pPr>
      <w:r>
        <w:rPr>
          <w:b w:val="0"/>
          <w:i/>
          <w:color w:val="757575"/>
        </w:rPr>
        <w:t>- Persona trust boundaries: SRA §3</w:t>
      </w:r>
    </w:p>
    <w:p>
      <w:pPr>
        <w:ind w:left="720"/>
      </w:pPr>
      <w:r>
        <w:rPr>
          <w:b w:val="0"/>
          <w:i/>
          <w:color w:val="757575"/>
        </w:rPr>
        <w:t>- All domain sections: SRA §4–§9</w:t>
      </w:r>
    </w:p>
    <w:p>
      <w:pPr>
        <w:ind w:left="720"/>
      </w:pPr>
      <w:r>
        <w:rPr>
          <w:b w:val="0"/>
          <w:i/>
          <w:color w:val="757575"/>
        </w:rPr>
        <w:t>- NIST CSF outcome mapping: SRA §10</w:t>
      </w:r>
    </w:p>
    <w:p>
      <w:pPr>
        <w:ind w:left="720"/>
      </w:pPr>
      <w:r>
        <w:rPr>
          <w:b w:val="0"/>
          <w:i/>
          <w:color w:val="757575"/>
        </w:rPr>
        <w:t>- Implementation roadmap: SRA §11</w:t>
      </w:r>
    </w:p>
    <w:p>
      <w:pPr>
        <w:ind w:left="720"/>
      </w:pPr>
      <w:r>
        <w:rPr>
          <w:b w:val="0"/>
          <w:i/>
          <w:color w:val="757575"/>
        </w:rPr>
        <w:t>- KPI framework: SRA §12</w:t>
      </w:r>
    </w:p>
    <w:p>
      <w:pPr>
        <w:ind w:left="720"/>
      </w:pPr>
      <w:r>
        <w:rPr>
          <w:b w:val="0"/>
          <w:i/>
          <w:color w:val="757575"/>
        </w:rPr>
        <w:t>- Regulatory compliance: SRA §13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`16-executive-summary-and-platform-stack.d2`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GV.OC-01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organizational context — mission, stakeholder expectations, and dependencies — is understood and informs cybersecurity risk management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GV.RM-01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management objectives are established and expressed as statements articulating the organization's risk appetite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GV.OV-01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Cybersecurity risk management strategy outcomes are reviewed to inform and adjust strategy and direction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CTRL-001.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GV.OC-01</w:t>
      </w:r>
      <w:r>
        <w:t>: Organizational context (Stride edtech mission, three persona populations, cloud-native environment) is documented in the TSRA. Gap: formal cybersecurity risk appetite statement is drafted but awaiting executive sign-off</w:t>
      </w:r>
    </w:p>
    <w:p>
      <w:pPr>
        <w:pStyle w:val="ListBullet"/>
      </w:pPr>
      <w:r/>
      <w:r>
        <w:rPr>
          <w:b/>
          <w:i w:val="0"/>
        </w:rPr>
        <w:t>GV.RM-01</w:t>
      </w:r>
      <w:r>
        <w:t>: Risk management objectives are expressed through the TSRA strategic objectives and control register. Gap: quantitative risk thresholds are not yet defined — current approach is qualitative</w:t>
      </w:r>
    </w:p>
    <w:p>
      <w:pPr>
        <w:pStyle w:val="ListBullet"/>
      </w:pPr>
      <w:r/>
      <w:r>
        <w:rPr>
          <w:b/>
          <w:i w:val="0"/>
        </w:rPr>
        <w:t>GV.OV-01</w:t>
      </w:r>
      <w:r>
        <w:t>: Architecture governance reviews are scheduled quarterly. Gap: automated governance outcome reporting (KPI-to-strategy linkage) is in development (SRA §12)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CTRL-001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Executive governance of the Trust Security Reference Architecture including strategic direction, risk posture, and cross-domain alignment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Architecture governance framework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Architecture governance brief; executive review notes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The TSRA must be reviewed and reaffirmed at the executive level quarterly, with documented approval of any architectural changes</w:t>
      </w:r>
    </w:p>
    <w:p>
      <w:pPr>
        <w:pStyle w:val="ListNumber"/>
      </w:pPr>
      <w:r>
        <w:t>All domain-specific governance memos must maintain traceability to the TSRA strategic objectives and NIST CSF 2.0 subcategories</w:t>
      </w:r>
    </w:p>
    <w:p>
      <w:pPr>
        <w:pStyle w:val="ListNumber"/>
      </w:pPr>
      <w:r>
        <w:t>Risk acceptance decisions for deferred controls must be documented, time-bounded, and approved by Executive Security Leadership</w:t>
      </w:r>
    </w:p>
    <w:p>
      <w:pPr>
        <w:pStyle w:val="ListNumber"/>
      </w:pPr>
      <w:r>
        <w:t>Cross-domain architectural dependencies must be reviewed when any single domain memo is materially updated</w:t>
      </w:r>
    </w:p>
    <w:p>
      <w:pPr>
        <w:pStyle w:val="ListNumber"/>
      </w:pPr>
      <w:r>
        <w:t>The SRA Control Register must be maintained as the authoritative source of truth for all control, evidence, and compliance data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TSRA v1.0 complete with 14 sections, 22 D2 architecture diagrams, NIST CSF 2.0 subcategory mapping, control register (5 sheets), governance memo framework, and KPI framework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Executive approval of TSRA governance position; formal risk appetite statement; automated KPI reporting; domain memo completion for all sections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Quantitative risk modeling; architecture-as-code governance automation; formal third-party architecture review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— all phases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TSRA v1.0 executive approval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Formal risk appetite statement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All domain governance memos complete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KPI-to-strategy reporting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Quantitative risk modeling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Architecture-as-code governance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TSRA governance review completion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quarterly reviews completed on schedule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Domain memo currency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domain memos reviewed within trailing 6 months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Control register completeness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SRA sections have corresponding CTRL entries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acceptance register currency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expired risk acceptances without renewal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Cross-domain dependency review completion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dependency reviews completed per trigger events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Per Event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NIST CSF mapping completeness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SRA sections mapped to CSF subcategories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IT governance: an overarching security architecture must exist with documented controls, risk assessments, and executive oversight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§1, CTRL-001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TSRA document; control register; governance memo set; executive review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assessment: IT risks must be identified, assessed, and managed through a formal framework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§1, CTRL-001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NIST CSF 2.0 mapping; risk acceptance register; governance review minutes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Institutional safeguards: administrative, technical, and physical safeguards must protect the security of education records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§1, CTRL-001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TSRA as overarching safeguard framework; domain control evidence per §4–§9 memos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§1.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GV.OC-01, GV.RM-01, GV.OV-01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Architecture governance brief; executive review notes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Security Architecture / GRC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Security Architecture / GRC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§1 — Executive Summary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