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§4 — Identity and Access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§4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Identity and Access Architecture</w:t>
      </w:r>
      <w:r>
        <w:t xml:space="preserve"> as defined in the Trust Security Reference Architecture (TSRA), Section §4 — Identity and Access Architecture.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Workforce identity (Microsoft Entra ID) — conditional access, identity protection, SAML/OIDC app registrations for staff</w:t>
      </w:r>
    </w:p>
    <w:p>
      <w:pPr>
        <w:pStyle w:val="ListBullet"/>
      </w:pPr>
      <w:r>
        <w:t>External identity (Okta CIAM) — adaptive authentication and token services for students and customers</w:t>
      </w:r>
    </w:p>
    <w:p>
      <w:pPr>
        <w:pStyle w:val="ListBullet"/>
      </w:pPr>
      <w:r>
        <w:t>Unified identity governance (SailPoint IdentityNow) — identity cube, joiner/mover/leaver lifecycle, access certifications, and separation of duties (SoD) enforcement</w:t>
      </w:r>
    </w:p>
    <w:p>
      <w:pPr>
        <w:pStyle w:val="ListBullet"/>
      </w:pPr>
      <w:r>
        <w:t>Staff authentication flows including risk-adaptive conditional access and MFA (FIDO2, Windows Hello for Business)</w:t>
      </w:r>
    </w:p>
    <w:p>
      <w:pPr>
        <w:pStyle w:val="ListBullet"/>
      </w:pPr>
      <w:r>
        <w:t>Student authentication flows including enrollment provisioning (SailPoint → Okta CIAM), policy SSO, and withdrawal deprovisioning</w:t>
      </w:r>
    </w:p>
    <w:p>
      <w:pPr>
        <w:pStyle w:val="ListBullet"/>
      </w:pPr>
      <w:r>
        <w:t>Customer authentication flows including self-service registration, credential verification, MFA setup, and risk-sensitive session policy</w:t>
      </w:r>
    </w:p>
    <w:p>
      <w:pPr>
        <w:pStyle w:val="ListBullet"/>
      </w:pPr>
      <w:r>
        <w:t>Conditional access policy matrix across four risk tiers (Privileged, High, Medium, Low)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Privileged access management (covered under SRA §5 — Privileged Trust)</w:t>
      </w:r>
    </w:p>
    <w:p>
      <w:pPr>
        <w:pStyle w:val="ListBullet"/>
      </w:pPr>
      <w:r>
        <w:t>Device trust signals as CA inputs (covered under SRA §6 — Device Trust)</w:t>
      </w:r>
    </w:p>
    <w:p>
      <w:pPr>
        <w:pStyle w:val="ListBullet"/>
      </w:pPr>
      <w:r>
        <w:t>Service account lifecycle beyond identity governance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§4</w:t>
      </w:r>
    </w:p>
    <w:p>
      <w:pPr>
        <w:pStyle w:val="ListBullet"/>
      </w:pPr>
      <w:r>
        <w:t>SRA Control Register (`SRA_Control_Register.xlsx`), Control ID: CTRL-004</w:t>
      </w:r>
    </w:p>
    <w:p>
      <w:pPr>
        <w:pStyle w:val="ListBullet"/>
      </w:pPr>
      <w:r>
        <w:t>D2 Architecture Diagrams:</w:t>
      </w:r>
    </w:p>
    <w:p>
      <w:pPr>
        <w:pStyle w:val="ListBullet"/>
      </w:pPr>
      <w:r>
        <w:t>`04-staff-authentication-flow.d2` — Staff authentication with Entra CA risk assessment</w:t>
      </w:r>
    </w:p>
    <w:p>
      <w:pPr>
        <w:pStyle w:val="ListBullet"/>
      </w:pPr>
      <w:r>
        <w:t>`05-staff-conditional-access-policy-matrix.d2` — Four-tier conditional access matrix</w:t>
      </w:r>
    </w:p>
    <w:p>
      <w:pPr>
        <w:pStyle w:val="ListBullet"/>
      </w:pPr>
      <w:r>
        <w:t>`06-student-authentication-flow.d2` — Student provisioning and SSO flow</w:t>
      </w:r>
    </w:p>
    <w:p>
      <w:pPr>
        <w:pStyle w:val="ListBullet"/>
      </w:pPr>
      <w:r>
        <w:t>`07-customer-authentication-flow.d2` — Customer registration and access control</w:t>
      </w:r>
    </w:p>
    <w:p>
      <w:pPr>
        <w:pStyle w:val="ListBullet"/>
      </w:pPr>
      <w:r>
        <w:t>`08-identity-and-access-architecture.d2` — Unified IAM architecture overview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identity platform operations (Entra, Okta, SailPoint), manages access policies, produces control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identity architecture standards, reviews design decisions, maintains D2 diagrams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authentication anomalies, escalates identity-related incidents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SOX ITGC and FERPA alignment for identity controls; reviews audit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Identity and Access Architecture implements a dual-IdP model with unified governance, serving three distinct persona sets across the Stride environment:</w:t>
      </w:r>
    </w:p>
    <w:p>
      <w:r>
        <w:rPr>
          <w:b/>
          <w:i w:val="0"/>
        </w:rPr>
        <w:t>Workforce Identity — Microsoft Entra ID:</w:t>
      </w:r>
    </w:p>
    <w:p>
      <w:pPr>
        <w:pStyle w:val="ListBullet"/>
      </w:pPr>
      <w:r>
        <w:t>Primary identity provider for all staff personas (SRA §3)</w:t>
      </w:r>
    </w:p>
    <w:p>
      <w:pPr>
        <w:pStyle w:val="ListBullet"/>
      </w:pPr>
      <w:r>
        <w:t>Conditional access policies enforce risk-adaptive authentication across four tiers:</w:t>
      </w:r>
    </w:p>
    <w:p>
      <w:pPr>
        <w:pStyle w:val="ListBullet"/>
      </w:pPr>
      <w:r/>
      <w:r>
        <w:rPr>
          <w:b/>
          <w:i w:val="0"/>
        </w:rPr>
        <w:t>Privileged Access:</w:t>
      </w:r>
      <w:r>
        <w:t xml:space="preserve"> Device compliance + CrowdStrike required, strong MFA (FIDO/WHfB), 15-minute session timeout, re-auth every session</w:t>
      </w:r>
    </w:p>
    <w:p>
      <w:pPr>
        <w:pStyle w:val="ListBullet"/>
      </w:pPr>
      <w:r/>
      <w:r>
        <w:rPr>
          <w:b/>
          <w:i w:val="0"/>
        </w:rPr>
        <w:t>High Risk:</w:t>
      </w:r>
      <w:r>
        <w:t xml:space="preserve"> Device compliance + CrowdStrike required, FIDO/WHfB, 1-hour session timeout, re-auth every session</w:t>
      </w:r>
    </w:p>
    <w:p>
      <w:pPr>
        <w:pStyle w:val="ListBullet"/>
      </w:pPr>
      <w:r/>
      <w:r>
        <w:rPr>
          <w:b/>
          <w:i w:val="0"/>
        </w:rPr>
        <w:t>Medium Risk:</w:t>
      </w:r>
      <w:r>
        <w:t xml:space="preserve"> Device compliance + CrowdStrike required, numeric OTP, 4-hour session timeout, daily re-auth</w:t>
      </w:r>
    </w:p>
    <w:p>
      <w:pPr>
        <w:pStyle w:val="ListBullet"/>
      </w:pPr>
      <w:r/>
      <w:r>
        <w:rPr>
          <w:b/>
          <w:i w:val="0"/>
        </w:rPr>
        <w:t>Low Risk:</w:t>
      </w:r>
      <w:r>
        <w:t xml:space="preserve"> Device compliance + CrowdStrike required, standard auth, 8-hour session timeout, weekly re-auth</w:t>
      </w:r>
    </w:p>
    <w:p>
      <w:pPr>
        <w:pStyle w:val="ListBullet"/>
      </w:pPr>
      <w:r>
        <w:t>Entra Identity Protection provides risk-based conditional access evaluation; high-risk sign-ins trigger MFA step-up before token issuance</w:t>
      </w:r>
    </w:p>
    <w:p>
      <w:pPr>
        <w:pStyle w:val="ListBullet"/>
      </w:pPr>
      <w:r>
        <w:t>SAML/OIDC app registrations federate workforce applications</w:t>
      </w:r>
    </w:p>
    <w:p>
      <w:r>
        <w:rPr>
          <w:b/>
          <w:i w:val="0"/>
        </w:rPr>
        <w:t>External Identity — Okta CIAM:</w:t>
      </w:r>
    </w:p>
    <w:p>
      <w:pPr>
        <w:pStyle w:val="ListBullet"/>
      </w:pPr>
      <w:r>
        <w:t>Customer-facing identity for student and customer personas</w:t>
      </w:r>
    </w:p>
    <w:p>
      <w:pPr>
        <w:pStyle w:val="ListBullet"/>
      </w:pPr>
      <w:r>
        <w:t>Adaptive authentication policies with token-based authorization</w:t>
      </w:r>
    </w:p>
    <w:p>
      <w:pPr>
        <w:pStyle w:val="ListBullet"/>
      </w:pPr>
      <w:r>
        <w:t>Student lifecycle: enrollment → SailPoint provisioning to Okta CIAM → policy SSO with adaptive checks → token authentication → deprovisioning on withdrawal</w:t>
      </w:r>
    </w:p>
    <w:p>
      <w:pPr>
        <w:pStyle w:val="ListBullet"/>
      </w:pPr>
      <w:r>
        <w:t>Customer lifecycle: self-service portal → credential verification → MFA setup → risk-sensitive session policy → token-based authorization</w:t>
      </w:r>
    </w:p>
    <w:p>
      <w:r>
        <w:rPr>
          <w:b/>
          <w:i w:val="0"/>
        </w:rPr>
        <w:t>Unified Governance — SailPoint IdentityNow:</w:t>
      </w:r>
    </w:p>
    <w:p>
      <w:pPr>
        <w:pStyle w:val="ListBullet"/>
      </w:pPr>
      <w:r>
        <w:t>Aggregates identities from both Entra ID and Okta CIAM into a unified identity cube</w:t>
      </w:r>
    </w:p>
    <w:p>
      <w:pPr>
        <w:pStyle w:val="ListBullet"/>
      </w:pPr>
      <w:r>
        <w:t>Joiner/mover/leaver automation ensures consistent provisioning and deprovisioning across both IdPs</w:t>
      </w:r>
    </w:p>
    <w:p>
      <w:pPr>
        <w:pStyle w:val="ListBullet"/>
      </w:pPr>
      <w:r>
        <w:t>Access certification campaigns enforce periodic review of entitlements</w:t>
      </w:r>
    </w:p>
    <w:p>
      <w:pPr>
        <w:pStyle w:val="ListBullet"/>
      </w:pPr>
      <w:r>
        <w:t>Separation of duties (SoD) policies prevent toxic role combinations</w:t>
      </w:r>
    </w:p>
    <w:p>
      <w:pPr>
        <w:pStyle w:val="ListBullet"/>
      </w:pPr>
      <w:r>
        <w:t>ServiceNow integration provides attestation workflows and evidence trails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(staff, student, customer): SRA §3</w:t>
      </w:r>
    </w:p>
    <w:p>
      <w:pPr>
        <w:ind w:left="720"/>
      </w:pPr>
      <w:r>
        <w:rPr>
          <w:b w:val="0"/>
          <w:i/>
          <w:color w:val="757575"/>
        </w:rPr>
        <w:t>- Privileged access (elevated staff): SRA §5</w:t>
      </w:r>
    </w:p>
    <w:p>
      <w:pPr>
        <w:ind w:left="720"/>
      </w:pPr>
      <w:r>
        <w:rPr>
          <w:b w:val="0"/>
          <w:i/>
          <w:color w:val="757575"/>
        </w:rPr>
        <w:t>- Device compliance signals as CA inputs: SRA §6</w:t>
      </w:r>
    </w:p>
    <w:p>
      <w:pPr>
        <w:ind w:left="720"/>
      </w:pPr>
      <w:r>
        <w:rPr>
          <w:b w:val="0"/>
          <w:i/>
          <w:color w:val="757575"/>
        </w:rPr>
        <w:t>- Operational correlation and incident handling: SRA §9</w:t>
      </w:r>
    </w:p>
    <w:p>
      <w:r>
        <w:rPr>
          <w:b/>
          <w:i w:val="0"/>
        </w:rPr>
        <w:t>Current-State Architecture Diagrams:</w:t>
      </w:r>
    </w:p>
    <w:p>
      <w:pPr>
        <w:ind w:left="720"/>
      </w:pPr>
      <w:r>
        <w:rPr>
          <w:b w:val="0"/>
          <w:i/>
          <w:color w:val="757575"/>
        </w:rPr>
        <w:t>See: `08-identity-and-access-architecture.d2` (overview), `04-staff-authentication-flow.d2`, `05-staff-conditional-access-policy-matrix.d2`, `06-student-authentication-flow.d2`, `07-customer-authentication-flow.d2`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Identities and credentials for authorized users, services, and hardware are managed by the organization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Identities are proofed and bound to credentials based on the context of interactions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Configuration management practices are established and applied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CTRL-004.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PR.AA-01</w:t>
      </w:r>
      <w:r>
        <w:t>: Entra ID and Okta CIAM fully manage workforce and external identities respectively; SailPoint provides unified lifecycle governance. Gap: automated credential lifecycle for non-federated service accounts is not yet fully onboarded</w:t>
      </w:r>
    </w:p>
    <w:p>
      <w:pPr>
        <w:pStyle w:val="ListBullet"/>
      </w:pPr>
      <w:r/>
      <w:r>
        <w:rPr>
          <w:b/>
          <w:i w:val="0"/>
        </w:rPr>
        <w:t>PR.AA-02</w:t>
      </w:r>
      <w:r>
        <w:t>: Staff identities are proofed through HR-driven provisioning; student identities are proofed through enrollment verification; customer identities use self-service with credential verification. Gap: identity proofing strength varies by persona — no unified assurance-level framework yet</w:t>
      </w:r>
    </w:p>
    <w:p>
      <w:pPr>
        <w:pStyle w:val="ListBullet"/>
      </w:pPr>
      <w:r/>
      <w:r>
        <w:rPr>
          <w:b/>
          <w:i w:val="0"/>
        </w:rPr>
        <w:t>PR.PS-01</w:t>
      </w:r>
      <w:r>
        <w:t>: Conditional access policies are version-controlled and tiered by risk. Gap: Okta CIAM policy configuration is not yet managed as code (future infrastructure-as-code initiative)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CTRL-004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controls across workforce and external populations including conditional access, lifecycle management, and governance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ID; Okta CIAM; SailPoint IdentityNow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workforce authentication must traverse Entra ID conditional access policies with risk-tier-appropriate controls enforced (device compliance, MFA strength, session limits)</w:t>
      </w:r>
    </w:p>
    <w:p>
      <w:pPr>
        <w:pStyle w:val="ListNumber"/>
      </w:pPr>
      <w:r>
        <w:t>Student provisioning must flow through SailPoint → Okta CIAM with automated deprovisioning on withdrawal events within 24 hours</w:t>
      </w:r>
    </w:p>
    <w:p>
      <w:pPr>
        <w:pStyle w:val="ListNumber"/>
      </w:pPr>
      <w:r>
        <w:t>Customer registration must enforce credential verification and MFA enrollment before access is granted</w:t>
      </w:r>
    </w:p>
    <w:p>
      <w:pPr>
        <w:pStyle w:val="ListNumber"/>
      </w:pPr>
      <w:r>
        <w:t>Access certification campaigns must complete quarterly for workforce entitlements and semi-annually for external entitlements</w:t>
      </w:r>
    </w:p>
    <w:p>
      <w:pPr>
        <w:pStyle w:val="ListNumber"/>
      </w:pPr>
      <w:r>
        <w:t>Separation of duties (SoD) policy violations must be flagged and remediated or risk-accepted before access is granted</w:t>
      </w:r>
    </w:p>
    <w:p>
      <w:pPr>
        <w:pStyle w:val="ListNumber"/>
      </w:pPr>
      <w:r>
        <w:t>All conditional access policy changes must follow change management processes with documented approvals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Entra ID conditional access with four risk tiers enforced; Okta CIAM operational for student and customer authentication; SailPoint IdentityNow lifecycle automation for joiner/mover/leaver; FIDO2 and WHfB available for staff; MFA enforcement across all tiers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SailPoint access certification campaign automation; SoD policy refinement for complex role combinations; Okta CIAM adaptive policy tuning based on risk analytics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Okta CIAM policy-as-code management; unified identity assurance-level framework; non-federated service account onboarding to SailPoint; decentralized identity exploration (long-term)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SailPoint access certification automation (workforce)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SoD policy expansion for cross-IdP role combinations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 adaptive policy tuning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 policy-as-code migration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Unified identity assurance-level framework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Non-federated service account SailPoint onboarding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MFA enforcement rate (workforce)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staff sign-ins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MFA enrollment rate (students + customers)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active external accounts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Conditional access policy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workforce apps under CA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Access certification completion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campaigns completed by deadline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Joiner provisioning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from HR event to account activation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Leaver deprovisioning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24 hours from termination event to full deprovisioning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SoD violation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unresolved violations beyond grace period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 and data: identity controls must authenticate and authorize all users before access is granted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Entra CA policy exports; Okta CIAM policy configurations; SailPoint certification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User account management: joiner/mover/leaver processes must ensure timely provisioning and deprovisioning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SailPoint lifecycle audit trails; deprovisioning SLA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Segregation of duties: access entitlements must not create toxic role combinations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SoD policy configuration; violation and remediation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to student education records must be restricted to authorized personnel with valid need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Okta CIAM access logs; SailPoint role-to-application mappings; student app authorization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§4.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PR.AA-01, PR.AA-02, PR.PS-01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IAM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§4 — Identity and Access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