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§5 — Privileged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§5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 + Security Operations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Privileged Trust</w:t>
      </w:r>
      <w:r>
        <w:t xml:space="preserve"> as defined in the Trust Security Reference Architecture (TSRA), Section §5 — Privileged Trust (Delinea and Entra PIM).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All privileged access management (PAM) capabilities including just-in-time (JIT) elevation, session recording, and role governance</w:t>
      </w:r>
    </w:p>
    <w:p>
      <w:pPr>
        <w:pStyle w:val="ListBullet"/>
      </w:pPr>
      <w:r>
        <w:t>Delinea Secret Server / Privilege Manager for vault-based credential management</w:t>
      </w:r>
    </w:p>
    <w:p>
      <w:pPr>
        <w:pStyle w:val="ListBullet"/>
      </w:pPr>
      <w:r>
        <w:t>Microsoft Entra Privileged Identity Management (PIM) for Azure AD role activation</w:t>
      </w:r>
    </w:p>
    <w:p>
      <w:pPr>
        <w:pStyle w:val="ListBullet"/>
      </w:pPr>
      <w:r>
        <w:t>Applicable to all staff personas with elevated or administrative access (ref: SRA §3)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Standard user access controls (covered under SRA §4 — Identity and Access Architecture)</w:t>
      </w:r>
    </w:p>
    <w:p>
      <w:pPr>
        <w:pStyle w:val="ListBullet"/>
      </w:pPr>
      <w:r>
        <w:t>Service account management beyond privileged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§5</w:t>
      </w:r>
    </w:p>
    <w:p>
      <w:pPr>
        <w:pStyle w:val="ListBullet"/>
      </w:pPr>
      <w:r>
        <w:t>SRA Control Register (`SRA_Control_Register.xlsx`), Control ID: CTRL-005</w:t>
      </w:r>
    </w:p>
    <w:p>
      <w:pPr>
        <w:pStyle w:val="ListBullet"/>
      </w:pPr>
      <w:r>
        <w:t>D2 Architecture Diagram: `09-privileged-trust-architecture.d2`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+ 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privileged access controls, manages PIM/PAM platforms, produces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privileged trust architecture standards and reviews design decisions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privileged session activity, escalates anomalies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SOX ITGC alignment for privileged access; reviews audit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Privileged Trust Architecture implements a layered approach to controlling elevated access across the Stride environment:</w:t>
      </w:r>
    </w:p>
    <w:p>
      <w:r>
        <w:rPr>
          <w:b/>
          <w:i w:val="0"/>
        </w:rPr>
        <w:t>Delinea (Secret Server / Privilege Manager):</w:t>
      </w:r>
    </w:p>
    <w:p>
      <w:pPr>
        <w:pStyle w:val="ListBullet"/>
      </w:pPr>
      <w:r>
        <w:t>Vault-based credential storage and rotation for infrastructure and application administrator accounts</w:t>
      </w:r>
    </w:p>
    <w:p>
      <w:pPr>
        <w:pStyle w:val="ListBullet"/>
      </w:pPr>
      <w:r>
        <w:t>Session recording and privileged session management for auditability</w:t>
      </w:r>
    </w:p>
    <w:p>
      <w:pPr>
        <w:pStyle w:val="ListBullet"/>
      </w:pPr>
      <w:r>
        <w:t>Just-in-time checkout with time-limited credential access and automatic revocation</w:t>
      </w:r>
    </w:p>
    <w:p>
      <w:r>
        <w:rPr>
          <w:b/>
          <w:i w:val="0"/>
        </w:rPr>
        <w:t>Microsoft Entra PIM:</w:t>
      </w:r>
    </w:p>
    <w:p>
      <w:pPr>
        <w:pStyle w:val="ListBullet"/>
      </w:pPr>
      <w:r>
        <w:t>Role-based activation for Azure AD administrative roles (Global Admin, Exchange Admin, Security Admin, etc.)</w:t>
      </w:r>
    </w:p>
    <w:p>
      <w:pPr>
        <w:pStyle w:val="ListBullet"/>
      </w:pPr>
      <w:r>
        <w:t>Activation requires MFA step-up and approval workflow for high-risk roles</w:t>
      </w:r>
    </w:p>
    <w:p>
      <w:pPr>
        <w:pStyle w:val="ListBullet"/>
      </w:pPr>
      <w:r>
        <w:t>Time-bounded role assignments with automatic deactivation</w:t>
      </w:r>
    </w:p>
    <w:p>
      <w:pPr>
        <w:pStyle w:val="ListBullet"/>
      </w:pPr>
      <w:r>
        <w:t>Audit logging of all PIM activations and approvals</w:t>
      </w:r>
    </w:p>
    <w:p>
      <w:r>
        <w:rPr>
          <w:b/>
          <w:i w:val="0"/>
        </w:rPr>
        <w:t>Trust Decision Integration:</w:t>
      </w:r>
    </w:p>
    <w:p>
      <w:pPr>
        <w:pStyle w:val="ListBullet"/>
      </w:pPr>
      <w:r>
        <w:t>Privileged access requests feed into the Trust Decision Plane (SRA §2) as high-assurance signals</w:t>
      </w:r>
    </w:p>
    <w:p>
      <w:pPr>
        <w:pStyle w:val="ListBullet"/>
      </w:pPr>
      <w:r>
        <w:t xml:space="preserve">Conditional Access policies at the </w:t>
      </w:r>
      <w:r>
        <w:rPr>
          <w:b/>
          <w:i w:val="0"/>
        </w:rPr>
        <w:t>Privileged Access</w:t>
      </w:r>
      <w:r>
        <w:t xml:space="preserve"> tier require: device compliance, CrowdStrike active, strong MFA (FIDO/WHfB), 15-minute session timeout, and re-authentication every session (ref: SRA §4, `05-staff-conditional-access-policy-matrix.d2`)</w:t>
      </w:r>
    </w:p>
    <w:p>
      <w:pPr>
        <w:pStyle w:val="ListBullet"/>
      </w:pPr>
      <w:r>
        <w:t>Privileged session telemetry is forwarded to the operational trust layer for incident correlation (ref: SRA §9)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 privileged): SRA §3</w:t>
      </w:r>
    </w:p>
    <w:p>
      <w:pPr>
        <w:ind w:left="720"/>
      </w:pPr>
      <w:r>
        <w:rPr>
          <w:b w:val="0"/>
          <w:i/>
          <w:color w:val="757575"/>
        </w:rPr>
        <w:t>- Conditional Access privileged tier: SRA §4 (`05-staff-conditional-access-policy-matrix.d2`)</w:t>
      </w:r>
    </w:p>
    <w:p>
      <w:pPr>
        <w:ind w:left="720"/>
      </w:pPr>
      <w:r>
        <w:rPr>
          <w:b w:val="0"/>
          <w:i/>
          <w:color w:val="757575"/>
        </w:rPr>
        <w:t>- Device compliance signals: SRA §6</w:t>
      </w:r>
    </w:p>
    <w:p>
      <w:pPr>
        <w:ind w:left="720"/>
      </w:pPr>
      <w:r>
        <w:rPr>
          <w:b w:val="0"/>
          <w:i/>
          <w:color w:val="757575"/>
        </w:rPr>
        <w:t>- Operational correlation: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`09-privileged-trust-architecture.d2`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permissions and authorizations are defined using least privilege and separation of duties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Software is maintained, replaced, and removed in a timely manner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Personnel activity and technology usage are monitored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CTRL-005.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PR.AA-05</w:t>
      </w:r>
      <w:r>
        <w:t>: Least-privilege role definitions are in place for Entra PIM; Delinea role scoping is operational but requires periodic access certification automation</w:t>
      </w:r>
    </w:p>
    <w:p>
      <w:pPr>
        <w:pStyle w:val="ListBullet"/>
      </w:pPr>
      <w:r/>
      <w:r>
        <w:rPr>
          <w:b/>
          <w:i w:val="0"/>
        </w:rPr>
        <w:t>PR.PS-02</w:t>
      </w:r>
      <w:r>
        <w:t>: Delinea credential rotation is automated; Entra PIM role lifecycle management is partially manual for custom roles</w:t>
      </w:r>
    </w:p>
    <w:p>
      <w:pPr>
        <w:pStyle w:val="ListBullet"/>
      </w:pPr>
      <w:r/>
      <w:r>
        <w:rPr>
          <w:b/>
          <w:i w:val="0"/>
        </w:rPr>
        <w:t>DE.CM-03</w:t>
      </w:r>
      <w:r>
        <w:t>: Session recording is active in Delinea; Entra PIM audit logs feed SIEM, but advanced analytics (UEBA) for privileged behavior is a future-state enhancement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controls including just-in-time elevation, session monitoring, and PIM role governance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Delinea; Entra PIM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administrative access must be provisioned through JIT activation (Entra PIM) or time-limited checkout (Delinea) — standing privileges are prohibited for Tier 0/1 roles</w:t>
      </w:r>
    </w:p>
    <w:p>
      <w:pPr>
        <w:pStyle w:val="ListNumber"/>
      </w:pPr>
      <w:r>
        <w:t>Privileged sessions for infrastructure accounts must be recorded and retrievable for 12 months minimum</w:t>
      </w:r>
    </w:p>
    <w:p>
      <w:pPr>
        <w:pStyle w:val="ListNumber"/>
      </w:pPr>
      <w:r>
        <w:t>PIM role activations for high-risk Azure AD roles require approval from a second authorized administrator</w:t>
      </w:r>
    </w:p>
    <w:p>
      <w:pPr>
        <w:pStyle w:val="ListNumber"/>
      </w:pPr>
      <w:r>
        <w:t>Credential rotation for vaulted accounts must occur at policy-defined intervals (90 days maximum, 30 days for Tier 0)</w:t>
      </w:r>
    </w:p>
    <w:p>
      <w:pPr>
        <w:pStyle w:val="ListNumber"/>
      </w:pPr>
      <w:r>
        <w:t>Monthly access certification reviews must validate that privileged role assignments remain appropriate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Delinea vault operational for infrastructure credentials; Entra PIM active for Azure AD roles; conditional access at privileged tier enforced; session recording enabled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Entra PIM access review automation; Delinea role scoping refinement; integration of privileged session telemetry with ServiceNow SecOps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UEBA-based privileged behavior analytics; automated service account discovery and onboarding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Entra PIM access review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Delinea role scope refinement (Tier 0/1/2 segmentation)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Privileged session telemetry → ServiceNow SecOps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UEBA for privileged behavior analytics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service account discovery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JIT adoption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Tier 0/1 activations via PIM/Delinea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Standing privilege count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standing Tier 0 privileges; ≤ 5 Tier 1 exceptions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Credential rotation compliance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within policy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revoke terminated privileged access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certification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monthly cycle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session recording gaps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Control Quality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unrecorded privileged sessions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 and data: privileged access must be restricted, monitored, and periodically reviewed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PIM activation logs; Delinea session recordings; monthly access certification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Segregation of duties: privileged role assignments must enforce SoD constraints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Role conflict analysis; PIM approval workflows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to student records by privileged administrators must be logged and auditable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Privileged session audit logs; access-to-FERPA-data reports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§5.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CTRL-005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PR.AA-05, PR.PS-02, DE.CM-03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IAM + Security Operations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IAM + Security Operations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§5 — Privileged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