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§9 — Operational Trust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§9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Operations + ITSM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Operational Trust</w:t>
      </w:r>
      <w:r>
        <w:t xml:space="preserve"> as defined in the Trust Security Reference Architecture (TSRA), Section §9 — Operational Trust (ServiceNow SecOps, CMDB, Tagging).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ServiceNow Security Operations (SecOps) — incident management, vulnerability response, and evidence collection</w:t>
      </w:r>
    </w:p>
    <w:p>
      <w:pPr>
        <w:pStyle w:val="ListBullet"/>
      </w:pPr>
      <w:r>
        <w:t>Workflow automation — ownership assignment, SLA enforcement, and verification tracking</w:t>
      </w:r>
    </w:p>
    <w:p>
      <w:pPr>
        <w:pStyle w:val="ListBullet"/>
      </w:pPr>
      <w:r>
        <w:t>CMDB maturity (future enhancement) — asset-to-control linkage and criticality classification</w:t>
      </w:r>
    </w:p>
    <w:p>
      <w:pPr>
        <w:pStyle w:val="ListBullet"/>
      </w:pPr>
      <w:r>
        <w:t>Cloud tagging governance (future enhancement) — criticality and ownership context for cloud resources</w:t>
      </w:r>
    </w:p>
    <w:p>
      <w:pPr>
        <w:pStyle w:val="ListBullet"/>
      </w:pPr>
      <w:r>
        <w:t>Integration with all upstream security signal sources: CrowdStrike, Tenable, Sonatype, and Burp Suite</w:t>
      </w:r>
    </w:p>
    <w:p>
      <w:pPr>
        <w:pStyle w:val="ListBullet"/>
      </w:pPr>
      <w:r>
        <w:t>Operational outcomes: clear ownership, risk-based prioritization, and audit-ready evidence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Individual security domain controls (covered under respective SRA sections §4–§8)</w:t>
      </w:r>
    </w:p>
    <w:p>
      <w:pPr>
        <w:pStyle w:val="ListBullet"/>
      </w:pPr>
      <w:r>
        <w:t>SOC/SIEM platform architecture (operational tooling outside SRA scope)</w:t>
      </w:r>
    </w:p>
    <w:p>
      <w:pPr>
        <w:pStyle w:val="ListBullet"/>
      </w:pPr>
      <w:r>
        <w:t>IT service management beyond security operations workflows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§9</w:t>
      </w:r>
    </w:p>
    <w:p>
      <w:pPr>
        <w:pStyle w:val="ListBullet"/>
      </w:pPr>
      <w:r>
        <w:t>SRA Control Register (`SRA_Control_Register.xlsx`), Control ID: CTRL-009</w:t>
      </w:r>
    </w:p>
    <w:p>
      <w:pPr>
        <w:pStyle w:val="ListBullet"/>
      </w:pPr>
      <w:r>
        <w:t>D2 Architecture Diagram: `13-operational-trust-architecture.d2`</w:t>
      </w:r>
    </w:p>
    <w:p>
      <w:pPr>
        <w:pStyle w:val="ListBullet"/>
      </w:pPr>
      <w:r>
        <w:t>STRIDE ISP — Incident Detection, Response, and Recovery (DE.CM, RS.MA, RC.RP)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ServiceNow SecOps platform, manages operational workflows, produces operational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operational trust architecture standards and integration patterns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Provide upstream security signals; consume operational workflows for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Maintains CMDB accuracy and cloud tagging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operational control effectiveness for SOX/FERPA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operational maturity deferrals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Operational Trust Architecture serves as the central operations plane that ingests security signals from all domain-specific controls and operationalizes them through consistent workflow automation:</w:t>
      </w:r>
    </w:p>
    <w:p>
      <w:r>
        <w:rPr>
          <w:b/>
          <w:i w:val="0"/>
        </w:rPr>
        <w:t>Security Signal Inputs:</w:t>
      </w:r>
    </w:p>
    <w:p>
      <w:pPr>
        <w:pStyle w:val="ListBullet"/>
      </w:pPr>
      <w:r/>
      <w:r>
        <w:rPr>
          <w:b/>
          <w:i w:val="0"/>
        </w:rPr>
        <w:t>CrowdStrike</w:t>
      </w:r>
      <w:r>
        <w:t>: Endpoint detection alerts, device health events, and threat intelligence indicators</w:t>
      </w:r>
    </w:p>
    <w:p>
      <w:pPr>
        <w:pStyle w:val="ListBullet"/>
      </w:pPr>
      <w:r/>
      <w:r>
        <w:rPr>
          <w:b/>
          <w:i w:val="0"/>
        </w:rPr>
        <w:t>Tenable</w:t>
      </w:r>
      <w:r>
        <w:t>: Vulnerability scan findings, CSPM posture drift alerts, and exposure metrics</w:t>
      </w:r>
    </w:p>
    <w:p>
      <w:pPr>
        <w:pStyle w:val="ListBullet"/>
      </w:pPr>
      <w:r/>
      <w:r>
        <w:rPr>
          <w:b/>
          <w:i w:val="0"/>
        </w:rPr>
        <w:t>Sonatype</w:t>
      </w:r>
      <w:r>
        <w:t>: SCA findings, policy gate violations, and dependency risk notifications</w:t>
      </w:r>
    </w:p>
    <w:p>
      <w:pPr>
        <w:pStyle w:val="ListBullet"/>
      </w:pPr>
      <w:r/>
      <w:r>
        <w:rPr>
          <w:b/>
          <w:i w:val="0"/>
        </w:rPr>
        <w:t>Burp Suite</w:t>
      </w:r>
      <w:r>
        <w:t>: DAST findings, runtime vulnerability detections, and scan completion events</w:t>
      </w:r>
    </w:p>
    <w:p>
      <w:r>
        <w:t>All four signal sources are integrated into ServiceNow SecOps through automated ingestion pipelines.</w:t>
      </w:r>
    </w:p>
    <w:p>
      <w:r>
        <w:rPr>
          <w:b/>
          <w:i w:val="0"/>
        </w:rPr>
        <w:t>Central Operations Plane — ServiceNow SecOps:</w:t>
      </w:r>
    </w:p>
    <w:p>
      <w:pPr>
        <w:pStyle w:val="ListBullet"/>
      </w:pPr>
      <w:r/>
      <w:r>
        <w:rPr>
          <w:b/>
          <w:i w:val="0"/>
        </w:rPr>
        <w:t>Incident Management</w:t>
      </w:r>
      <w:r>
        <w:t>: Security incidents from upstream sources are created, classified, and assigned to response teams with severity-based SLAs</w:t>
      </w:r>
    </w:p>
    <w:p>
      <w:pPr>
        <w:pStyle w:val="ListBullet"/>
      </w:pPr>
      <w:r/>
      <w:r>
        <w:rPr>
          <w:b/>
          <w:i w:val="0"/>
        </w:rPr>
        <w:t>Vulnerability Response</w:t>
      </w:r>
      <w:r>
        <w:t>: Vulnerability findings are ingested, deduplicated, and assigned to asset owners for remediation with SLA tracking</w:t>
      </w:r>
    </w:p>
    <w:p>
      <w:pPr>
        <w:pStyle w:val="ListBullet"/>
      </w:pPr>
      <w:r/>
      <w:r>
        <w:rPr>
          <w:b/>
          <w:i w:val="0"/>
        </w:rPr>
        <w:t>Evidence Collection</w:t>
      </w:r>
      <w:r>
        <w:t>: All operational actions (assignment, escalation, remediation, verification) are logged as audit-ready evidence trails</w:t>
      </w:r>
    </w:p>
    <w:p>
      <w:pPr>
        <w:pStyle w:val="ListBullet"/>
      </w:pPr>
      <w:r/>
      <w:r>
        <w:rPr>
          <w:b/>
          <w:i w:val="0"/>
        </w:rPr>
        <w:t>Workflow Automation</w:t>
      </w:r>
      <w:r>
        <w:t>: Automated ownership assignment based on CMDB records (where available), SLA timer management, escalation for SLA breaches, and verification workflows post-remediation</w:t>
      </w:r>
    </w:p>
    <w:p>
      <w:r>
        <w:rPr>
          <w:b/>
          <w:i w:val="0"/>
        </w:rPr>
        <w:t>Maturity Enhancements (Future State):</w:t>
      </w:r>
    </w:p>
    <w:p>
      <w:pPr>
        <w:pStyle w:val="ListBullet"/>
      </w:pPr>
      <w:r/>
      <w:r>
        <w:rPr>
          <w:b/>
          <w:i w:val="0"/>
        </w:rPr>
        <w:t>CMDB Maturity</w:t>
      </w:r>
      <w:r>
        <w:t>: Improving the CMDB to provide reliable asset-to-control linkage, enabling automated ownership assignment and criticality-based prioritization for all security findings</w:t>
      </w:r>
    </w:p>
    <w:p>
      <w:pPr>
        <w:pStyle w:val="ListBullet"/>
      </w:pPr>
      <w:r/>
      <w:r>
        <w:rPr>
          <w:b/>
          <w:i w:val="0"/>
        </w:rPr>
        <w:t>Cloud Tagging Governance</w:t>
      </w:r>
      <w:r>
        <w:t>: Establishing mandatory cloud resource tagging for criticality classification and ownership context, feeding into ServiceNow for more accurate SLA assignment and reporting</w:t>
      </w:r>
    </w:p>
    <w:p>
      <w:r>
        <w:rPr>
          <w:b/>
          <w:i w:val="0"/>
        </w:rPr>
        <w:t>Operational Outcomes:</w:t>
      </w:r>
    </w:p>
    <w:p>
      <w:pPr>
        <w:pStyle w:val="ListBullet"/>
      </w:pPr>
      <w:r/>
      <w:r>
        <w:rPr>
          <w:b/>
          <w:i w:val="0"/>
        </w:rPr>
        <w:t>Clear Ownership</w:t>
      </w:r>
      <w:r>
        <w:t>: Every security finding has an assigned accountable owner with documented resolution expectations</w:t>
      </w:r>
    </w:p>
    <w:p>
      <w:pPr>
        <w:pStyle w:val="ListBullet"/>
      </w:pPr>
      <w:r/>
      <w:r>
        <w:rPr>
          <w:b/>
          <w:i w:val="0"/>
        </w:rPr>
        <w:t>Risk-Based Prioritization</w:t>
      </w:r>
      <w:r>
        <w:t>: Findings are triaged using composite risk scores (severity × asset criticality) rather than raw CVSS alone</w:t>
      </w:r>
    </w:p>
    <w:p>
      <w:pPr>
        <w:pStyle w:val="ListBullet"/>
      </w:pPr>
      <w:r/>
      <w:r>
        <w:rPr>
          <w:b/>
          <w:i w:val="0"/>
        </w:rPr>
        <w:t>Audit-Ready Evidence</w:t>
      </w:r>
      <w:r>
        <w:t>: Complete operational lifecycle from detection through remediation is documented and retrievable for audit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Identity controls feeding IAM-related incidents: SRA §4</w:t>
      </w:r>
    </w:p>
    <w:p>
      <w:pPr>
        <w:ind w:left="720"/>
      </w:pPr>
      <w:r>
        <w:rPr>
          <w:b w:val="0"/>
          <w:i/>
          <w:color w:val="757575"/>
        </w:rPr>
        <w:t>- Privileged session telemetry as high-priority signal: SRA §5</w:t>
      </w:r>
    </w:p>
    <w:p>
      <w:pPr>
        <w:ind w:left="720"/>
      </w:pPr>
      <w:r>
        <w:rPr>
          <w:b w:val="0"/>
          <w:i/>
          <w:color w:val="757575"/>
        </w:rPr>
        <w:t>- Device trust alerts from CrowdStrike/Defender: SRA §6</w:t>
      </w:r>
    </w:p>
    <w:p>
      <w:pPr>
        <w:ind w:left="720"/>
      </w:pPr>
      <w:r>
        <w:rPr>
          <w:b w:val="0"/>
          <w:i/>
          <w:color w:val="757575"/>
        </w:rPr>
        <w:t>- Vulnerability findings from Tenable: SRA §7</w:t>
      </w:r>
    </w:p>
    <w:p>
      <w:pPr>
        <w:ind w:left="720"/>
      </w:pPr>
      <w:r>
        <w:rPr>
          <w:b w:val="0"/>
          <w:i/>
          <w:color w:val="757575"/>
        </w:rPr>
        <w:t>- AppSec findings from Sonatype/Burp: SRA §8</w:t>
      </w:r>
    </w:p>
    <w:p>
      <w:pPr>
        <w:ind w:left="720"/>
      </w:pPr>
      <w:r>
        <w:rPr>
          <w:b w:val="0"/>
          <w:i/>
          <w:color w:val="757575"/>
        </w:rPr>
        <w:t>- KPI measurement for operational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`13-operational-trust-architecture.d2`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DE.CM-06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External service provider activities and services are monitored to find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RS.MA-01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Respond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incident response plan is executed in coordination with relevant third parties once an incident is declared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RC.RP-01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Recover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recovery portion of the incident response plan is executed once initiated from the incident response process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CTRL-009.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DE.CM-06</w:t>
      </w:r>
      <w:r>
        <w:t>: ServiceNow ingests security signals from external service providers (CrowdStrike, Tenable, Sonatype); monitoring is operational. Gap: coverage of third-party SaaS security events beyond current tool integrations requires expansion</w:t>
      </w:r>
    </w:p>
    <w:p>
      <w:pPr>
        <w:pStyle w:val="ListBullet"/>
      </w:pPr>
      <w:r/>
      <w:r>
        <w:rPr>
          <w:b/>
          <w:i w:val="0"/>
        </w:rPr>
        <w:t>RS.MA-01</w:t>
      </w:r>
      <w:r>
        <w:t>: ServiceNow SecOps provides coordinated incident response workflows with automated escalation. Gap: playbook-driven response automation is partially manual — future enhancement via ServiceNow SOAR capabilities</w:t>
      </w:r>
    </w:p>
    <w:p>
      <w:pPr>
        <w:pStyle w:val="ListBullet"/>
      </w:pPr>
      <w:r/>
      <w:r>
        <w:rPr>
          <w:b/>
          <w:i w:val="0"/>
        </w:rPr>
        <w:t>RC.RP-01</w:t>
      </w:r>
      <w:r>
        <w:t>: Recovery workflows exist for major incident types; ServiceNow tracks recovery milestones. Gap: automated recovery verification and SLA measurement for recovery activities need formalization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Operational trust controls including security workflow automation, SLA enforcement, CMDB linkage, and evidence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security signals from CrowdStrike, Tenable, Sonatype, and Burp Suite must be automatically ingested into ServiceNow SecOps — manual finding entry is prohibited for integrated sources</w:t>
      </w:r>
    </w:p>
    <w:p>
      <w:pPr>
        <w:pStyle w:val="ListNumber"/>
      </w:pPr>
      <w:r>
        <w:t>Every security incident and vulnerability finding must have an assigned owner within 4 hours of creation (Critical/High) or 24 hours (Medium/Low)</w:t>
      </w:r>
    </w:p>
    <w:p>
      <w:pPr>
        <w:pStyle w:val="ListNumber"/>
      </w:pPr>
      <w:r>
        <w:t>SLA timers must be enforced by severity: Critical ≤ 4 hours to acknowledge / ≤ 24 hours to resolve; High ≤ 8 hours / ≤ 7 days; Medium ≤ 24 hours / ≤ 30 days</w:t>
      </w:r>
    </w:p>
    <w:p>
      <w:pPr>
        <w:pStyle w:val="ListNumber"/>
      </w:pPr>
      <w:r>
        <w:t>SLA breaches must trigger automated escalation to the next management tier</w:t>
      </w:r>
    </w:p>
    <w:p>
      <w:pPr>
        <w:pStyle w:val="ListNumber"/>
      </w:pPr>
      <w:r>
        <w:t>Remediation closure requires verification evidence — self-attestation alone is insufficient for Critical and High findings</w:t>
      </w:r>
    </w:p>
    <w:p>
      <w:pPr>
        <w:pStyle w:val="ListNumber"/>
      </w:pPr>
      <w:r>
        <w:t>All operational evidence (assignment, action, resolution, verification) must be retained for 12 months minimum for audit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ServiceNow SecOps operational for incident management and vulnerability response; automated ingestion from CrowdStrike and Tenable; SLA-based workflow enforcement; evidence trail retention; weekly operational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Sonatype and Burp Suite ingestion pipeline completion; CMDB asset-to-control linkage improvement; SLA automation refinements for escalation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Cloud tagging governance enforcement; CMDB full maturity for dynamic cloud workloads; ServiceNow SOAR playbook automation; predictive operational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4 — Application + Ops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4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Burp Suite → ServiceNow ingestion pipeline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asset-to-control linkage improvement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SLA escalation automation refinements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tagging governance enforcement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SOAR playbook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CMDB full maturity for dynamic cloud workloads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Signal ingestion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integrated tools actively ingesting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(Critical/High); ≤ 24 hours (Medium/Low)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(incidents)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incidents resolved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compliance rate (vulnerabilities)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of vulnerability findings remediated within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SLA breach escalation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breaches escalated within policy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Evidence completeness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closed items with complete evidence trail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ITSM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CMDB linkage accuracy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85% of findings linked to CMDB CI (target: ≥ 95% post-maturity)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Monitoring of information processing: security incidents affecting financial systems must be detected, responded to, and documented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ServiceNow incident records; SLA compliance reports; resolution and verification 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vulnerability remediation for financial systems must be tracked with ownership and SLA compliance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response records; remediation SLA dashboards; escalation logs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incidents involving student data must be investigated, documented, and reported per institutional policy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§9, CTRL-009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FERPA-tagged incident records; investigation and resolution evidence; notification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§9.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DE.CM-06, RS.MA-01, RC.RP-01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SecOps incident records; CMDB linkage and tagging evidence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Operations + ITSM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left"/>
        <w:tblLook w:firstColumn="1" w:firstRow="1" w:lastColumn="0" w:lastRow="0" w:noHBand="0" w:noVBand="1" w:val="04A0"/>
        <w:tblW w:type="pct" w:w="500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Operations + ITSM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§9 — Operational Trust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