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FD19" w14:textId="77777777" w:rsidR="005749DA" w:rsidRDefault="002F2A89">
      <w:pPr>
        <w:pStyle w:val="Title"/>
      </w:pPr>
      <w:r>
        <w:t>Consolidated Compliance Mapping – Security Reference Architecture</w:t>
      </w:r>
    </w:p>
    <w:p w14:paraId="68ED5017" w14:textId="77777777" w:rsidR="005749DA" w:rsidRDefault="002F2A89">
      <w:pPr>
        <w:pStyle w:val="Heading1"/>
      </w:pPr>
      <w:r>
        <w:t>Appendix C – Control &amp; Practice to SRA Section Mapping</w:t>
      </w:r>
    </w:p>
    <w:p w14:paraId="73268268" w14:textId="77777777" w:rsidR="005749DA" w:rsidRDefault="002F2A89">
      <w:r>
        <w:t>This section consolidates all active compliance-mapping artifacts for the Security Reference Architecture (SRA) without duplication.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749DA" w14:paraId="600E8B8C" w14:textId="77777777">
        <w:tc>
          <w:tcPr>
            <w:tcW w:w="1728" w:type="dxa"/>
          </w:tcPr>
          <w:p w14:paraId="2765D0E2" w14:textId="77777777" w:rsidR="005749DA" w:rsidRDefault="002F2A89">
            <w:r>
              <w:t>Framework</w:t>
            </w:r>
          </w:p>
        </w:tc>
        <w:tc>
          <w:tcPr>
            <w:tcW w:w="1728" w:type="dxa"/>
          </w:tcPr>
          <w:p w14:paraId="080B46BF" w14:textId="77777777" w:rsidR="005749DA" w:rsidRDefault="002F2A89">
            <w:r>
              <w:t>Control ID</w:t>
            </w:r>
          </w:p>
        </w:tc>
        <w:tc>
          <w:tcPr>
            <w:tcW w:w="1728" w:type="dxa"/>
          </w:tcPr>
          <w:p w14:paraId="33A5BC4B" w14:textId="77777777" w:rsidR="005749DA" w:rsidRDefault="002F2A89">
            <w:r>
              <w:t>Control / Practice</w:t>
            </w:r>
          </w:p>
        </w:tc>
        <w:tc>
          <w:tcPr>
            <w:tcW w:w="1728" w:type="dxa"/>
          </w:tcPr>
          <w:p w14:paraId="783557D8" w14:textId="77777777" w:rsidR="005749DA" w:rsidRDefault="002F2A89">
            <w:r>
              <w:t>Description</w:t>
            </w:r>
          </w:p>
        </w:tc>
        <w:tc>
          <w:tcPr>
            <w:tcW w:w="1728" w:type="dxa"/>
          </w:tcPr>
          <w:p w14:paraId="3177E810" w14:textId="77777777" w:rsidR="005749DA" w:rsidRDefault="002F2A89">
            <w:r>
              <w:t>Mapped SRA Section(s)</w:t>
            </w:r>
          </w:p>
        </w:tc>
      </w:tr>
      <w:tr w:rsidR="005749DA" w14:paraId="696FFF95" w14:textId="77777777">
        <w:tc>
          <w:tcPr>
            <w:tcW w:w="1728" w:type="dxa"/>
          </w:tcPr>
          <w:p w14:paraId="290C5C9E" w14:textId="77777777" w:rsidR="005749DA" w:rsidRDefault="002F2A89">
            <w:r>
              <w:t>FERPA</w:t>
            </w:r>
          </w:p>
        </w:tc>
        <w:tc>
          <w:tcPr>
            <w:tcW w:w="1728" w:type="dxa"/>
          </w:tcPr>
          <w:p w14:paraId="5A49DC4F" w14:textId="77777777" w:rsidR="005749DA" w:rsidRDefault="002F2A89">
            <w:r>
              <w:t>34 CFR §99.31</w:t>
            </w:r>
          </w:p>
        </w:tc>
        <w:tc>
          <w:tcPr>
            <w:tcW w:w="1728" w:type="dxa"/>
          </w:tcPr>
          <w:p w14:paraId="5E95A467" w14:textId="77777777" w:rsidR="005749DA" w:rsidRDefault="002F2A89">
            <w:r>
              <w:t>Disclosure Limitation</w:t>
            </w:r>
          </w:p>
        </w:tc>
        <w:tc>
          <w:tcPr>
            <w:tcW w:w="1728" w:type="dxa"/>
          </w:tcPr>
          <w:p w14:paraId="2DD0FE3A" w14:textId="77777777" w:rsidR="005749DA" w:rsidRDefault="002F2A89">
            <w:r>
              <w:t>Limits disclosure of education records without consent</w:t>
            </w:r>
          </w:p>
        </w:tc>
        <w:tc>
          <w:tcPr>
            <w:tcW w:w="1728" w:type="dxa"/>
          </w:tcPr>
          <w:p w14:paraId="45B5C5BF" w14:textId="77777777" w:rsidR="005749DA" w:rsidRDefault="002F2A89">
            <w:r>
              <w:t>1.3; 2.1; 2.2.3</w:t>
            </w:r>
          </w:p>
        </w:tc>
      </w:tr>
      <w:tr w:rsidR="005749DA" w14:paraId="42B291FA" w14:textId="77777777">
        <w:tc>
          <w:tcPr>
            <w:tcW w:w="1728" w:type="dxa"/>
          </w:tcPr>
          <w:p w14:paraId="08ACF71C" w14:textId="77777777" w:rsidR="005749DA" w:rsidRDefault="002F2A89">
            <w:r>
              <w:t>FERPA</w:t>
            </w:r>
          </w:p>
        </w:tc>
        <w:tc>
          <w:tcPr>
            <w:tcW w:w="1728" w:type="dxa"/>
          </w:tcPr>
          <w:p w14:paraId="6E90A9F0" w14:textId="77777777" w:rsidR="005749DA" w:rsidRDefault="002F2A89">
            <w:r>
              <w:t>34 CFR §99.30</w:t>
            </w:r>
          </w:p>
        </w:tc>
        <w:tc>
          <w:tcPr>
            <w:tcW w:w="1728" w:type="dxa"/>
          </w:tcPr>
          <w:p w14:paraId="3ED441F1" w14:textId="77777777" w:rsidR="005749DA" w:rsidRDefault="002F2A89">
            <w:r>
              <w:t>Access Authorization</w:t>
            </w:r>
          </w:p>
        </w:tc>
        <w:tc>
          <w:tcPr>
            <w:tcW w:w="1728" w:type="dxa"/>
          </w:tcPr>
          <w:p w14:paraId="6FF287A6" w14:textId="77777777" w:rsidR="005749DA" w:rsidRDefault="002F2A89">
            <w:r>
              <w:t>Ensures only authorized parties access student records</w:t>
            </w:r>
          </w:p>
        </w:tc>
        <w:tc>
          <w:tcPr>
            <w:tcW w:w="1728" w:type="dxa"/>
          </w:tcPr>
          <w:p w14:paraId="464AE7FC" w14:textId="77777777" w:rsidR="005749DA" w:rsidRDefault="002F2A89">
            <w:r>
              <w:t>2.2.1; 2.2.3</w:t>
            </w:r>
          </w:p>
        </w:tc>
      </w:tr>
      <w:tr w:rsidR="005749DA" w14:paraId="07E1DDB0" w14:textId="77777777">
        <w:tc>
          <w:tcPr>
            <w:tcW w:w="1728" w:type="dxa"/>
          </w:tcPr>
          <w:p w14:paraId="5796FF15" w14:textId="77777777" w:rsidR="005749DA" w:rsidRDefault="002F2A89">
            <w:r>
              <w:t>FERPA</w:t>
            </w:r>
          </w:p>
        </w:tc>
        <w:tc>
          <w:tcPr>
            <w:tcW w:w="1728" w:type="dxa"/>
          </w:tcPr>
          <w:p w14:paraId="56C4AB9C" w14:textId="77777777" w:rsidR="005749DA" w:rsidRDefault="002F2A89">
            <w:r>
              <w:t>34 CFR §99.33</w:t>
            </w:r>
          </w:p>
        </w:tc>
        <w:tc>
          <w:tcPr>
            <w:tcW w:w="1728" w:type="dxa"/>
          </w:tcPr>
          <w:p w14:paraId="51F8577D" w14:textId="77777777" w:rsidR="005749DA" w:rsidRDefault="002F2A89">
            <w:r>
              <w:t>Third‑Party Use Controls</w:t>
            </w:r>
          </w:p>
        </w:tc>
        <w:tc>
          <w:tcPr>
            <w:tcW w:w="1728" w:type="dxa"/>
          </w:tcPr>
          <w:p w14:paraId="3F412BC1" w14:textId="77777777" w:rsidR="005749DA" w:rsidRDefault="002F2A89">
            <w:r>
              <w:t>Controls reuse and redisclosure of student data</w:t>
            </w:r>
          </w:p>
        </w:tc>
        <w:tc>
          <w:tcPr>
            <w:tcW w:w="1728" w:type="dxa"/>
          </w:tcPr>
          <w:p w14:paraId="423860AE" w14:textId="77777777" w:rsidR="005749DA" w:rsidRDefault="002F2A89">
            <w:r>
              <w:t>2.2.3</w:t>
            </w:r>
          </w:p>
        </w:tc>
      </w:tr>
      <w:tr w:rsidR="005749DA" w14:paraId="0A869103" w14:textId="77777777">
        <w:tc>
          <w:tcPr>
            <w:tcW w:w="1728" w:type="dxa"/>
          </w:tcPr>
          <w:p w14:paraId="7F0260AE" w14:textId="77777777" w:rsidR="005749DA" w:rsidRDefault="002F2A89">
            <w:r>
              <w:t>SOX</w:t>
            </w:r>
          </w:p>
        </w:tc>
        <w:tc>
          <w:tcPr>
            <w:tcW w:w="1728" w:type="dxa"/>
          </w:tcPr>
          <w:p w14:paraId="1943F8D0" w14:textId="77777777" w:rsidR="005749DA" w:rsidRDefault="002F2A89">
            <w:r>
              <w:t>SOX §302</w:t>
            </w:r>
          </w:p>
        </w:tc>
        <w:tc>
          <w:tcPr>
            <w:tcW w:w="1728" w:type="dxa"/>
          </w:tcPr>
          <w:p w14:paraId="5FACF1F1" w14:textId="77777777" w:rsidR="005749DA" w:rsidRDefault="002F2A89">
            <w:r>
              <w:t>Financial Reporting Controls</w:t>
            </w:r>
          </w:p>
        </w:tc>
        <w:tc>
          <w:tcPr>
            <w:tcW w:w="1728" w:type="dxa"/>
          </w:tcPr>
          <w:p w14:paraId="08CA951A" w14:textId="77777777" w:rsidR="005749DA" w:rsidRDefault="002F2A89">
            <w:r>
              <w:t>Executive responsibility for financial data integrity</w:t>
            </w:r>
          </w:p>
        </w:tc>
        <w:tc>
          <w:tcPr>
            <w:tcW w:w="1728" w:type="dxa"/>
          </w:tcPr>
          <w:p w14:paraId="5EC6C529" w14:textId="77777777" w:rsidR="005749DA" w:rsidRDefault="002F2A89">
            <w:r>
              <w:t>2.2.4</w:t>
            </w:r>
          </w:p>
        </w:tc>
      </w:tr>
      <w:tr w:rsidR="005749DA" w14:paraId="30CC943B" w14:textId="77777777">
        <w:tc>
          <w:tcPr>
            <w:tcW w:w="1728" w:type="dxa"/>
          </w:tcPr>
          <w:p w14:paraId="6775CEC5" w14:textId="77777777" w:rsidR="005749DA" w:rsidRDefault="002F2A89">
            <w:r>
              <w:t>SOX</w:t>
            </w:r>
          </w:p>
        </w:tc>
        <w:tc>
          <w:tcPr>
            <w:tcW w:w="1728" w:type="dxa"/>
          </w:tcPr>
          <w:p w14:paraId="2D8A3BA0" w14:textId="77777777" w:rsidR="005749DA" w:rsidRDefault="002F2A89">
            <w:r>
              <w:t>SOX §404</w:t>
            </w:r>
          </w:p>
        </w:tc>
        <w:tc>
          <w:tcPr>
            <w:tcW w:w="1728" w:type="dxa"/>
          </w:tcPr>
          <w:p w14:paraId="2B1E3DB8" w14:textId="77777777" w:rsidR="005749DA" w:rsidRDefault="002F2A89">
            <w:r>
              <w:t>Internal Controls over Financial Reporting</w:t>
            </w:r>
          </w:p>
        </w:tc>
        <w:tc>
          <w:tcPr>
            <w:tcW w:w="1728" w:type="dxa"/>
          </w:tcPr>
          <w:p w14:paraId="42329875" w14:textId="77777777" w:rsidR="005749DA" w:rsidRDefault="002F2A89">
            <w:r>
              <w:t>Assessment and audit of financial system controls</w:t>
            </w:r>
          </w:p>
        </w:tc>
        <w:tc>
          <w:tcPr>
            <w:tcW w:w="1728" w:type="dxa"/>
          </w:tcPr>
          <w:p w14:paraId="2A0F8776" w14:textId="77777777" w:rsidR="005749DA" w:rsidRDefault="002F2A89">
            <w:r>
              <w:t>1.4; 2.2.4</w:t>
            </w:r>
          </w:p>
        </w:tc>
      </w:tr>
      <w:tr w:rsidR="005749DA" w14:paraId="6CB40FC3" w14:textId="77777777">
        <w:tc>
          <w:tcPr>
            <w:tcW w:w="1728" w:type="dxa"/>
          </w:tcPr>
          <w:p w14:paraId="335F7786" w14:textId="77777777" w:rsidR="005749DA" w:rsidRDefault="002F2A89">
            <w:r>
              <w:t>SOX</w:t>
            </w:r>
          </w:p>
        </w:tc>
        <w:tc>
          <w:tcPr>
            <w:tcW w:w="1728" w:type="dxa"/>
          </w:tcPr>
          <w:p w14:paraId="70790C38" w14:textId="77777777" w:rsidR="005749DA" w:rsidRDefault="002F2A89">
            <w:r>
              <w:t>SOX §409</w:t>
            </w:r>
          </w:p>
        </w:tc>
        <w:tc>
          <w:tcPr>
            <w:tcW w:w="1728" w:type="dxa"/>
          </w:tcPr>
          <w:p w14:paraId="6ED6B78D" w14:textId="77777777" w:rsidR="005749DA" w:rsidRDefault="002F2A89">
            <w:r>
              <w:t>Timely Disclosure</w:t>
            </w:r>
          </w:p>
        </w:tc>
        <w:tc>
          <w:tcPr>
            <w:tcW w:w="1728" w:type="dxa"/>
          </w:tcPr>
          <w:p w14:paraId="3E4C9C20" w14:textId="77777777" w:rsidR="005749DA" w:rsidRDefault="002F2A89">
            <w:r>
              <w:t>Rapid disclosure of material financial changes</w:t>
            </w:r>
          </w:p>
        </w:tc>
        <w:tc>
          <w:tcPr>
            <w:tcW w:w="1728" w:type="dxa"/>
          </w:tcPr>
          <w:p w14:paraId="1C0E53DD" w14:textId="77777777" w:rsidR="005749DA" w:rsidRDefault="002F2A89">
            <w:r>
              <w:t>1.3</w:t>
            </w:r>
          </w:p>
        </w:tc>
      </w:tr>
      <w:tr w:rsidR="005749DA" w14:paraId="45570A13" w14:textId="77777777">
        <w:tc>
          <w:tcPr>
            <w:tcW w:w="1728" w:type="dxa"/>
          </w:tcPr>
          <w:p w14:paraId="52CD9ACF" w14:textId="77777777" w:rsidR="005749DA" w:rsidRDefault="002F2A89">
            <w:r>
              <w:lastRenderedPageBreak/>
              <w:t>NIST CSF 2.0</w:t>
            </w:r>
          </w:p>
        </w:tc>
        <w:tc>
          <w:tcPr>
            <w:tcW w:w="1728" w:type="dxa"/>
          </w:tcPr>
          <w:p w14:paraId="34B8D17D" w14:textId="77777777" w:rsidR="005749DA" w:rsidRDefault="002F2A89">
            <w:r>
              <w:t>ID.AM</w:t>
            </w:r>
          </w:p>
        </w:tc>
        <w:tc>
          <w:tcPr>
            <w:tcW w:w="1728" w:type="dxa"/>
          </w:tcPr>
          <w:p w14:paraId="31497D88" w14:textId="77777777" w:rsidR="005749DA" w:rsidRDefault="002F2A89">
            <w:r>
              <w:t>Asset Management</w:t>
            </w:r>
          </w:p>
        </w:tc>
        <w:tc>
          <w:tcPr>
            <w:tcW w:w="1728" w:type="dxa"/>
          </w:tcPr>
          <w:p w14:paraId="6B618B11" w14:textId="77777777" w:rsidR="005749DA" w:rsidRDefault="002F2A89">
            <w:r>
              <w:t>Identification and management of systems and data assets</w:t>
            </w:r>
          </w:p>
        </w:tc>
        <w:tc>
          <w:tcPr>
            <w:tcW w:w="1728" w:type="dxa"/>
          </w:tcPr>
          <w:p w14:paraId="18210204" w14:textId="77777777" w:rsidR="005749DA" w:rsidRDefault="002F2A89">
            <w:r>
              <w:t>2.1; 2.2</w:t>
            </w:r>
          </w:p>
        </w:tc>
      </w:tr>
      <w:tr w:rsidR="005749DA" w14:paraId="1A019BFA" w14:textId="77777777">
        <w:tc>
          <w:tcPr>
            <w:tcW w:w="1728" w:type="dxa"/>
          </w:tcPr>
          <w:p w14:paraId="372A64B4" w14:textId="77777777" w:rsidR="005749DA" w:rsidRDefault="002F2A89">
            <w:r>
              <w:t>NIST CSF 2.0</w:t>
            </w:r>
          </w:p>
        </w:tc>
        <w:tc>
          <w:tcPr>
            <w:tcW w:w="1728" w:type="dxa"/>
          </w:tcPr>
          <w:p w14:paraId="70661325" w14:textId="77777777" w:rsidR="005749DA" w:rsidRDefault="002F2A89">
            <w:r>
              <w:t>PR.AA</w:t>
            </w:r>
          </w:p>
        </w:tc>
        <w:tc>
          <w:tcPr>
            <w:tcW w:w="1728" w:type="dxa"/>
          </w:tcPr>
          <w:p w14:paraId="16F976C5" w14:textId="77777777" w:rsidR="005749DA" w:rsidRDefault="002F2A89">
            <w:r>
              <w:t>Identity &amp; Access Control</w:t>
            </w:r>
          </w:p>
        </w:tc>
        <w:tc>
          <w:tcPr>
            <w:tcW w:w="1728" w:type="dxa"/>
          </w:tcPr>
          <w:p w14:paraId="7B4E0E7F" w14:textId="77777777" w:rsidR="005749DA" w:rsidRDefault="002F2A89">
            <w:r>
              <w:t>Authentication and authorization of users</w:t>
            </w:r>
          </w:p>
        </w:tc>
        <w:tc>
          <w:tcPr>
            <w:tcW w:w="1728" w:type="dxa"/>
          </w:tcPr>
          <w:p w14:paraId="7C8F2168" w14:textId="77777777" w:rsidR="005749DA" w:rsidRDefault="002F2A89">
            <w:r>
              <w:t>2.2.3</w:t>
            </w:r>
          </w:p>
        </w:tc>
      </w:tr>
      <w:tr w:rsidR="005749DA" w14:paraId="24738F4D" w14:textId="77777777">
        <w:tc>
          <w:tcPr>
            <w:tcW w:w="1728" w:type="dxa"/>
          </w:tcPr>
          <w:p w14:paraId="4AC98FC6" w14:textId="77777777" w:rsidR="005749DA" w:rsidRDefault="002F2A89">
            <w:r>
              <w:t>NIST CSF 2.0</w:t>
            </w:r>
          </w:p>
        </w:tc>
        <w:tc>
          <w:tcPr>
            <w:tcW w:w="1728" w:type="dxa"/>
          </w:tcPr>
          <w:p w14:paraId="319D837C" w14:textId="77777777" w:rsidR="005749DA" w:rsidRDefault="002F2A89">
            <w:r>
              <w:t>PR.DS</w:t>
            </w:r>
          </w:p>
        </w:tc>
        <w:tc>
          <w:tcPr>
            <w:tcW w:w="1728" w:type="dxa"/>
          </w:tcPr>
          <w:p w14:paraId="02C9FCC0" w14:textId="77777777" w:rsidR="005749DA" w:rsidRDefault="002F2A89">
            <w:r>
              <w:t>Data Security</w:t>
            </w:r>
          </w:p>
        </w:tc>
        <w:tc>
          <w:tcPr>
            <w:tcW w:w="1728" w:type="dxa"/>
          </w:tcPr>
          <w:p w14:paraId="19F1F6EB" w14:textId="77777777" w:rsidR="005749DA" w:rsidRDefault="002F2A89">
            <w:r>
              <w:t>Protection of data at rest and in transit</w:t>
            </w:r>
          </w:p>
        </w:tc>
        <w:tc>
          <w:tcPr>
            <w:tcW w:w="1728" w:type="dxa"/>
          </w:tcPr>
          <w:p w14:paraId="729A4C71" w14:textId="77777777" w:rsidR="005749DA" w:rsidRDefault="002F2A89">
            <w:r>
              <w:t>2.2.1; 2.2.2</w:t>
            </w:r>
          </w:p>
        </w:tc>
      </w:tr>
      <w:tr w:rsidR="005749DA" w14:paraId="349BA7D9" w14:textId="77777777">
        <w:tc>
          <w:tcPr>
            <w:tcW w:w="1728" w:type="dxa"/>
          </w:tcPr>
          <w:p w14:paraId="004D4761" w14:textId="77777777" w:rsidR="005749DA" w:rsidRDefault="002F2A89">
            <w:r>
              <w:t>NIST CSF 2.0</w:t>
            </w:r>
          </w:p>
        </w:tc>
        <w:tc>
          <w:tcPr>
            <w:tcW w:w="1728" w:type="dxa"/>
          </w:tcPr>
          <w:p w14:paraId="2FB815E0" w14:textId="77777777" w:rsidR="005749DA" w:rsidRDefault="002F2A89">
            <w:r>
              <w:t>DE.CM</w:t>
            </w:r>
          </w:p>
        </w:tc>
        <w:tc>
          <w:tcPr>
            <w:tcW w:w="1728" w:type="dxa"/>
          </w:tcPr>
          <w:p w14:paraId="442C10B6" w14:textId="77777777" w:rsidR="005749DA" w:rsidRDefault="002F2A89">
            <w:r>
              <w:t>Security Monitoring</w:t>
            </w:r>
          </w:p>
        </w:tc>
        <w:tc>
          <w:tcPr>
            <w:tcW w:w="1728" w:type="dxa"/>
          </w:tcPr>
          <w:p w14:paraId="6989F247" w14:textId="77777777" w:rsidR="005749DA" w:rsidRDefault="002F2A89">
            <w:r>
              <w:t>Continuous monitoring for anomalies</w:t>
            </w:r>
          </w:p>
        </w:tc>
        <w:tc>
          <w:tcPr>
            <w:tcW w:w="1728" w:type="dxa"/>
          </w:tcPr>
          <w:p w14:paraId="6C2077AA" w14:textId="77777777" w:rsidR="005749DA" w:rsidRDefault="002F2A89">
            <w:r>
              <w:t>2.2.5</w:t>
            </w:r>
          </w:p>
        </w:tc>
      </w:tr>
      <w:tr w:rsidR="005749DA" w14:paraId="3AAE393D" w14:textId="77777777">
        <w:tc>
          <w:tcPr>
            <w:tcW w:w="1728" w:type="dxa"/>
          </w:tcPr>
          <w:p w14:paraId="528309AC" w14:textId="77777777" w:rsidR="005749DA" w:rsidRDefault="002F2A89">
            <w:r>
              <w:t>NIST CSF 2.0</w:t>
            </w:r>
          </w:p>
        </w:tc>
        <w:tc>
          <w:tcPr>
            <w:tcW w:w="1728" w:type="dxa"/>
          </w:tcPr>
          <w:p w14:paraId="0816DD29" w14:textId="77777777" w:rsidR="005749DA" w:rsidRDefault="002F2A89">
            <w:r>
              <w:t>RS.IR</w:t>
            </w:r>
          </w:p>
        </w:tc>
        <w:tc>
          <w:tcPr>
            <w:tcW w:w="1728" w:type="dxa"/>
          </w:tcPr>
          <w:p w14:paraId="702F20EB" w14:textId="77777777" w:rsidR="005749DA" w:rsidRDefault="002F2A89">
            <w:r>
              <w:t>Incident Response</w:t>
            </w:r>
          </w:p>
        </w:tc>
        <w:tc>
          <w:tcPr>
            <w:tcW w:w="1728" w:type="dxa"/>
          </w:tcPr>
          <w:p w14:paraId="5B0ECBF5" w14:textId="77777777" w:rsidR="005749DA" w:rsidRDefault="002F2A89">
            <w:r>
              <w:t>Response processes for cybersecurity incidents</w:t>
            </w:r>
          </w:p>
        </w:tc>
        <w:tc>
          <w:tcPr>
            <w:tcW w:w="1728" w:type="dxa"/>
          </w:tcPr>
          <w:p w14:paraId="61B3681E" w14:textId="77777777" w:rsidR="005749DA" w:rsidRDefault="002F2A89">
            <w:r>
              <w:t>1.3</w:t>
            </w:r>
          </w:p>
        </w:tc>
      </w:tr>
      <w:tr w:rsidR="005749DA" w14:paraId="2566A71A" w14:textId="77777777">
        <w:tc>
          <w:tcPr>
            <w:tcW w:w="1728" w:type="dxa"/>
          </w:tcPr>
          <w:p w14:paraId="48D6BA0B" w14:textId="77777777" w:rsidR="005749DA" w:rsidRDefault="002F2A89">
            <w:r>
              <w:t>NIST CSF 2.0</w:t>
            </w:r>
          </w:p>
        </w:tc>
        <w:tc>
          <w:tcPr>
            <w:tcW w:w="1728" w:type="dxa"/>
          </w:tcPr>
          <w:p w14:paraId="70AC0C83" w14:textId="77777777" w:rsidR="005749DA" w:rsidRDefault="002F2A89">
            <w:r>
              <w:t>RC.RP</w:t>
            </w:r>
          </w:p>
        </w:tc>
        <w:tc>
          <w:tcPr>
            <w:tcW w:w="1728" w:type="dxa"/>
          </w:tcPr>
          <w:p w14:paraId="1368F999" w14:textId="77777777" w:rsidR="005749DA" w:rsidRDefault="002F2A89">
            <w:r>
              <w:t>Recovery Planning</w:t>
            </w:r>
          </w:p>
        </w:tc>
        <w:tc>
          <w:tcPr>
            <w:tcW w:w="1728" w:type="dxa"/>
          </w:tcPr>
          <w:p w14:paraId="3D3C2DBC" w14:textId="77777777" w:rsidR="005749DA" w:rsidRDefault="002F2A89">
            <w:r>
              <w:t>Restoration of services after incidents</w:t>
            </w:r>
          </w:p>
        </w:tc>
        <w:tc>
          <w:tcPr>
            <w:tcW w:w="1728" w:type="dxa"/>
          </w:tcPr>
          <w:p w14:paraId="48B36641" w14:textId="77777777" w:rsidR="005749DA" w:rsidRDefault="002F2A89">
            <w:r>
              <w:t>1.4</w:t>
            </w:r>
          </w:p>
        </w:tc>
      </w:tr>
    </w:tbl>
    <w:p w14:paraId="6E2561F7" w14:textId="77777777" w:rsidR="005749DA" w:rsidRDefault="002F2A89">
      <w:pPr>
        <w:pStyle w:val="Heading1"/>
      </w:pPr>
      <w:r>
        <w:t>Appendix D – SRA to Control &amp; Practice Mapping (Expanded)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4"/>
        <w:gridCol w:w="1730"/>
        <w:gridCol w:w="1317"/>
        <w:gridCol w:w="1035"/>
        <w:gridCol w:w="1070"/>
        <w:gridCol w:w="1267"/>
        <w:gridCol w:w="1413"/>
      </w:tblGrid>
      <w:tr w:rsidR="005749DA" w14:paraId="7A6E50ED" w14:textId="77777777">
        <w:tc>
          <w:tcPr>
            <w:tcW w:w="1234" w:type="dxa"/>
          </w:tcPr>
          <w:p w14:paraId="2B2C328C" w14:textId="77777777" w:rsidR="005749DA" w:rsidRDefault="002F2A89">
            <w:r>
              <w:t>SRA Section</w:t>
            </w:r>
          </w:p>
        </w:tc>
        <w:tc>
          <w:tcPr>
            <w:tcW w:w="1234" w:type="dxa"/>
          </w:tcPr>
          <w:p w14:paraId="599BFB66" w14:textId="77777777" w:rsidR="005749DA" w:rsidRDefault="002F2A89">
            <w:r>
              <w:t>Section Title</w:t>
            </w:r>
          </w:p>
        </w:tc>
        <w:tc>
          <w:tcPr>
            <w:tcW w:w="1234" w:type="dxa"/>
          </w:tcPr>
          <w:p w14:paraId="50087064" w14:textId="77777777" w:rsidR="005749DA" w:rsidRDefault="002F2A89">
            <w:r>
              <w:t>Framework</w:t>
            </w:r>
          </w:p>
        </w:tc>
        <w:tc>
          <w:tcPr>
            <w:tcW w:w="1234" w:type="dxa"/>
          </w:tcPr>
          <w:p w14:paraId="6ECC7B3A" w14:textId="77777777" w:rsidR="005749DA" w:rsidRDefault="002F2A89">
            <w:r>
              <w:t>Control ID</w:t>
            </w:r>
          </w:p>
        </w:tc>
        <w:tc>
          <w:tcPr>
            <w:tcW w:w="1234" w:type="dxa"/>
          </w:tcPr>
          <w:p w14:paraId="35A0442D" w14:textId="77777777" w:rsidR="005749DA" w:rsidRDefault="002F2A89">
            <w:r>
              <w:t>Control / Practice</w:t>
            </w:r>
          </w:p>
        </w:tc>
        <w:tc>
          <w:tcPr>
            <w:tcW w:w="1234" w:type="dxa"/>
          </w:tcPr>
          <w:p w14:paraId="60643F99" w14:textId="77777777" w:rsidR="005749DA" w:rsidRDefault="002F2A89">
            <w:r>
              <w:t>Primary / Supporting</w:t>
            </w:r>
          </w:p>
        </w:tc>
        <w:tc>
          <w:tcPr>
            <w:tcW w:w="1234" w:type="dxa"/>
          </w:tcPr>
          <w:p w14:paraId="00E8B4D7" w14:textId="77777777" w:rsidR="005749DA" w:rsidRDefault="002F2A89">
            <w:r>
              <w:t>Coverage Status</w:t>
            </w:r>
          </w:p>
        </w:tc>
      </w:tr>
      <w:tr w:rsidR="005749DA" w14:paraId="4668638E" w14:textId="77777777">
        <w:tc>
          <w:tcPr>
            <w:tcW w:w="1234" w:type="dxa"/>
          </w:tcPr>
          <w:p w14:paraId="75239679" w14:textId="77777777" w:rsidR="005749DA" w:rsidRDefault="002F2A89">
            <w:r>
              <w:t>1</w:t>
            </w:r>
          </w:p>
        </w:tc>
        <w:tc>
          <w:tcPr>
            <w:tcW w:w="1234" w:type="dxa"/>
          </w:tcPr>
          <w:p w14:paraId="7150876E" w14:textId="77777777" w:rsidR="005749DA" w:rsidRDefault="002F2A89">
            <w:r>
              <w:t>Executive Overview</w:t>
            </w:r>
          </w:p>
        </w:tc>
        <w:tc>
          <w:tcPr>
            <w:tcW w:w="1234" w:type="dxa"/>
          </w:tcPr>
          <w:p w14:paraId="39688152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935F217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25954B40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B74A97E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5973F68" w14:textId="77777777" w:rsidR="005749DA" w:rsidRDefault="002F2A89">
            <w:r>
              <w:t>Planned (placeholder section)</w:t>
            </w:r>
          </w:p>
        </w:tc>
      </w:tr>
      <w:tr w:rsidR="005749DA" w14:paraId="70FCD78A" w14:textId="77777777">
        <w:tc>
          <w:tcPr>
            <w:tcW w:w="1234" w:type="dxa"/>
          </w:tcPr>
          <w:p w14:paraId="2DC01248" w14:textId="77777777" w:rsidR="005749DA" w:rsidRDefault="002F2A89">
            <w:r>
              <w:t>2</w:t>
            </w:r>
          </w:p>
        </w:tc>
        <w:tc>
          <w:tcPr>
            <w:tcW w:w="1234" w:type="dxa"/>
          </w:tcPr>
          <w:p w14:paraId="3C8A29E0" w14:textId="77777777" w:rsidR="005749DA" w:rsidRDefault="002F2A89">
            <w:r>
              <w:t>Company and Operating Context (Online Education Enterprise)</w:t>
            </w:r>
          </w:p>
        </w:tc>
        <w:tc>
          <w:tcPr>
            <w:tcW w:w="1234" w:type="dxa"/>
          </w:tcPr>
          <w:p w14:paraId="1B75486D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D682D19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20971E6E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0772FA9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576C4E18" w14:textId="77777777" w:rsidR="005749DA" w:rsidRDefault="002F2A89">
            <w:r>
              <w:t>Planned (placeholder section)</w:t>
            </w:r>
          </w:p>
        </w:tc>
      </w:tr>
      <w:tr w:rsidR="005749DA" w14:paraId="5CFA8E38" w14:textId="77777777">
        <w:tc>
          <w:tcPr>
            <w:tcW w:w="1234" w:type="dxa"/>
          </w:tcPr>
          <w:p w14:paraId="2EE5CDC2" w14:textId="77777777" w:rsidR="005749DA" w:rsidRDefault="002F2A89">
            <w:r>
              <w:t>3</w:t>
            </w:r>
          </w:p>
        </w:tc>
        <w:tc>
          <w:tcPr>
            <w:tcW w:w="1234" w:type="dxa"/>
          </w:tcPr>
          <w:p w14:paraId="41135249" w14:textId="77777777" w:rsidR="005749DA" w:rsidRDefault="002F2A89">
            <w:r>
              <w:t xml:space="preserve">Regulatory, </w:t>
            </w:r>
            <w:r>
              <w:lastRenderedPageBreak/>
              <w:t>Legal, and Assurance Landscape</w:t>
            </w:r>
          </w:p>
        </w:tc>
        <w:tc>
          <w:tcPr>
            <w:tcW w:w="1234" w:type="dxa"/>
          </w:tcPr>
          <w:p w14:paraId="1D4886F3" w14:textId="77777777" w:rsidR="005749DA" w:rsidRDefault="002F2A89">
            <w:r>
              <w:lastRenderedPageBreak/>
              <w:t>TBD</w:t>
            </w:r>
          </w:p>
        </w:tc>
        <w:tc>
          <w:tcPr>
            <w:tcW w:w="1234" w:type="dxa"/>
          </w:tcPr>
          <w:p w14:paraId="026DD63F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AC0EAAE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5F7ED1A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34FF1C2" w14:textId="77777777" w:rsidR="005749DA" w:rsidRDefault="002F2A89">
            <w:r>
              <w:t xml:space="preserve">Planned </w:t>
            </w:r>
            <w:r>
              <w:lastRenderedPageBreak/>
              <w:t>(placeholder section)</w:t>
            </w:r>
          </w:p>
        </w:tc>
      </w:tr>
      <w:tr w:rsidR="005749DA" w14:paraId="359B43DA" w14:textId="77777777">
        <w:tc>
          <w:tcPr>
            <w:tcW w:w="1234" w:type="dxa"/>
          </w:tcPr>
          <w:p w14:paraId="132EE605" w14:textId="77777777" w:rsidR="005749DA" w:rsidRDefault="002F2A89">
            <w:r>
              <w:lastRenderedPageBreak/>
              <w:t>4</w:t>
            </w:r>
          </w:p>
        </w:tc>
        <w:tc>
          <w:tcPr>
            <w:tcW w:w="1234" w:type="dxa"/>
          </w:tcPr>
          <w:p w14:paraId="093B01F8" w14:textId="77777777" w:rsidR="005749DA" w:rsidRDefault="002F2A89">
            <w:r>
              <w:t>Architecture Principles and Design Tenets</w:t>
            </w:r>
          </w:p>
        </w:tc>
        <w:tc>
          <w:tcPr>
            <w:tcW w:w="1234" w:type="dxa"/>
          </w:tcPr>
          <w:p w14:paraId="37C74AC1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38BA8C6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FD6ABE4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98D1C52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35847578" w14:textId="77777777" w:rsidR="005749DA" w:rsidRDefault="002F2A89">
            <w:r>
              <w:t>Planned (placeholder section)</w:t>
            </w:r>
          </w:p>
        </w:tc>
      </w:tr>
      <w:tr w:rsidR="005749DA" w14:paraId="1C8E7A94" w14:textId="77777777">
        <w:tc>
          <w:tcPr>
            <w:tcW w:w="1234" w:type="dxa"/>
          </w:tcPr>
          <w:p w14:paraId="2086D212" w14:textId="77777777" w:rsidR="005749DA" w:rsidRDefault="002F2A89">
            <w:r>
              <w:t>5</w:t>
            </w:r>
          </w:p>
        </w:tc>
        <w:tc>
          <w:tcPr>
            <w:tcW w:w="1234" w:type="dxa"/>
          </w:tcPr>
          <w:p w14:paraId="6F35C824" w14:textId="77777777" w:rsidR="005749DA" w:rsidRDefault="002F2A89">
            <w:r>
              <w:t>Reference Architecture Overview</w:t>
            </w:r>
          </w:p>
        </w:tc>
        <w:tc>
          <w:tcPr>
            <w:tcW w:w="1234" w:type="dxa"/>
          </w:tcPr>
          <w:p w14:paraId="7D4BF17B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57BE4CE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5D05AD0B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3DCC62A7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4F16A78" w14:textId="77777777" w:rsidR="005749DA" w:rsidRDefault="002F2A89">
            <w:r>
              <w:t>Planned (placeholder section)</w:t>
            </w:r>
          </w:p>
        </w:tc>
      </w:tr>
      <w:tr w:rsidR="005749DA" w14:paraId="761D687D" w14:textId="77777777">
        <w:tc>
          <w:tcPr>
            <w:tcW w:w="1234" w:type="dxa"/>
          </w:tcPr>
          <w:p w14:paraId="21013258" w14:textId="77777777" w:rsidR="005749DA" w:rsidRDefault="002F2A89">
            <w:r>
              <w:t>6</w:t>
            </w:r>
          </w:p>
        </w:tc>
        <w:tc>
          <w:tcPr>
            <w:tcW w:w="1234" w:type="dxa"/>
          </w:tcPr>
          <w:p w14:paraId="45F524BF" w14:textId="77777777" w:rsidR="005749DA" w:rsidRDefault="002F2A89">
            <w:r>
              <w:t>Governance, Risk, and Compliance (GRC) Architecture</w:t>
            </w:r>
          </w:p>
        </w:tc>
        <w:tc>
          <w:tcPr>
            <w:tcW w:w="1234" w:type="dxa"/>
          </w:tcPr>
          <w:p w14:paraId="688F97DD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7C1E960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1522FDE4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A72CA86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20D06773" w14:textId="77777777" w:rsidR="005749DA" w:rsidRDefault="002F2A89">
            <w:r>
              <w:t>Planned (placeholder section)</w:t>
            </w:r>
          </w:p>
        </w:tc>
      </w:tr>
      <w:tr w:rsidR="005749DA" w14:paraId="527F3D18" w14:textId="77777777">
        <w:tc>
          <w:tcPr>
            <w:tcW w:w="1234" w:type="dxa"/>
          </w:tcPr>
          <w:p w14:paraId="613E68B6" w14:textId="77777777" w:rsidR="005749DA" w:rsidRDefault="002F2A89">
            <w:r>
              <w:t>7</w:t>
            </w:r>
          </w:p>
        </w:tc>
        <w:tc>
          <w:tcPr>
            <w:tcW w:w="1234" w:type="dxa"/>
          </w:tcPr>
          <w:p w14:paraId="3243FE23" w14:textId="77777777" w:rsidR="005749DA" w:rsidRDefault="002F2A89">
            <w:r>
              <w:t>Identity and Access Management Architecture</w:t>
            </w:r>
          </w:p>
        </w:tc>
        <w:tc>
          <w:tcPr>
            <w:tcW w:w="1234" w:type="dxa"/>
          </w:tcPr>
          <w:p w14:paraId="75794D64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99AFCE0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59E3E77A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173425D0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69B6505" w14:textId="77777777" w:rsidR="005749DA" w:rsidRDefault="002F2A89">
            <w:r>
              <w:t>Planned (placeholder section)</w:t>
            </w:r>
          </w:p>
        </w:tc>
      </w:tr>
      <w:tr w:rsidR="005749DA" w14:paraId="49CFFEAC" w14:textId="77777777">
        <w:tc>
          <w:tcPr>
            <w:tcW w:w="1234" w:type="dxa"/>
          </w:tcPr>
          <w:p w14:paraId="7657981C" w14:textId="77777777" w:rsidR="005749DA" w:rsidRDefault="002F2A89">
            <w:r>
              <w:t>8</w:t>
            </w:r>
          </w:p>
        </w:tc>
        <w:tc>
          <w:tcPr>
            <w:tcW w:w="1234" w:type="dxa"/>
          </w:tcPr>
          <w:p w14:paraId="19735493" w14:textId="77777777" w:rsidR="005749DA" w:rsidRDefault="002F2A89">
            <w:r>
              <w:t>Application and Platform Security Architecture</w:t>
            </w:r>
          </w:p>
        </w:tc>
        <w:tc>
          <w:tcPr>
            <w:tcW w:w="1234" w:type="dxa"/>
          </w:tcPr>
          <w:p w14:paraId="78803C2D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A919410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DEA2478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A85F6B2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1055E21C" w14:textId="77777777" w:rsidR="005749DA" w:rsidRDefault="002F2A89">
            <w:r>
              <w:t>Planned (placeholder section)</w:t>
            </w:r>
          </w:p>
        </w:tc>
      </w:tr>
      <w:tr w:rsidR="005749DA" w14:paraId="178CF074" w14:textId="77777777">
        <w:tc>
          <w:tcPr>
            <w:tcW w:w="1234" w:type="dxa"/>
          </w:tcPr>
          <w:p w14:paraId="4B69F6A8" w14:textId="77777777" w:rsidR="005749DA" w:rsidRDefault="002F2A89">
            <w:r>
              <w:t>9</w:t>
            </w:r>
          </w:p>
        </w:tc>
        <w:tc>
          <w:tcPr>
            <w:tcW w:w="1234" w:type="dxa"/>
          </w:tcPr>
          <w:p w14:paraId="3B2873A2" w14:textId="77777777" w:rsidR="005749DA" w:rsidRDefault="002F2A89">
            <w:r>
              <w:t>Data Security and Privacy Architecture</w:t>
            </w:r>
          </w:p>
        </w:tc>
        <w:tc>
          <w:tcPr>
            <w:tcW w:w="1234" w:type="dxa"/>
          </w:tcPr>
          <w:p w14:paraId="19E8D736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1494DF6D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2E4C23E7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3A0A1D73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31189806" w14:textId="77777777" w:rsidR="005749DA" w:rsidRDefault="002F2A89">
            <w:r>
              <w:t>Planned (placeholder section)</w:t>
            </w:r>
          </w:p>
        </w:tc>
      </w:tr>
      <w:tr w:rsidR="005749DA" w14:paraId="555697C0" w14:textId="77777777">
        <w:tc>
          <w:tcPr>
            <w:tcW w:w="1234" w:type="dxa"/>
          </w:tcPr>
          <w:p w14:paraId="14F1568E" w14:textId="77777777" w:rsidR="005749DA" w:rsidRDefault="002F2A89">
            <w:r>
              <w:t>10</w:t>
            </w:r>
          </w:p>
        </w:tc>
        <w:tc>
          <w:tcPr>
            <w:tcW w:w="1234" w:type="dxa"/>
          </w:tcPr>
          <w:p w14:paraId="099232D9" w14:textId="77777777" w:rsidR="005749DA" w:rsidRDefault="002F2A89">
            <w:r>
              <w:t>Infrastructure, Network, and Cloud Security Architecture</w:t>
            </w:r>
          </w:p>
        </w:tc>
        <w:tc>
          <w:tcPr>
            <w:tcW w:w="1234" w:type="dxa"/>
          </w:tcPr>
          <w:p w14:paraId="48B55738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6FDFD582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90ED814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9848135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B5DB786" w14:textId="77777777" w:rsidR="005749DA" w:rsidRDefault="002F2A89">
            <w:r>
              <w:t>Planned (placeholder section)</w:t>
            </w:r>
          </w:p>
        </w:tc>
      </w:tr>
      <w:tr w:rsidR="005749DA" w14:paraId="72D49C38" w14:textId="77777777">
        <w:tc>
          <w:tcPr>
            <w:tcW w:w="1234" w:type="dxa"/>
          </w:tcPr>
          <w:p w14:paraId="76087531" w14:textId="77777777" w:rsidR="005749DA" w:rsidRDefault="002F2A89">
            <w:r>
              <w:t>11</w:t>
            </w:r>
          </w:p>
        </w:tc>
        <w:tc>
          <w:tcPr>
            <w:tcW w:w="1234" w:type="dxa"/>
          </w:tcPr>
          <w:p w14:paraId="3D84CDD7" w14:textId="77777777" w:rsidR="005749DA" w:rsidRDefault="002F2A89">
            <w:r>
              <w:t>Security Monitoring and Incident Response</w:t>
            </w:r>
          </w:p>
        </w:tc>
        <w:tc>
          <w:tcPr>
            <w:tcW w:w="1234" w:type="dxa"/>
          </w:tcPr>
          <w:p w14:paraId="2AD9804E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51C09F2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FB69268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2A1B859C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CE185BD" w14:textId="77777777" w:rsidR="005749DA" w:rsidRDefault="002F2A89">
            <w:r>
              <w:t>Planned (placeholder section)</w:t>
            </w:r>
          </w:p>
        </w:tc>
      </w:tr>
      <w:tr w:rsidR="005749DA" w14:paraId="5BFE3F1D" w14:textId="77777777">
        <w:tc>
          <w:tcPr>
            <w:tcW w:w="1234" w:type="dxa"/>
          </w:tcPr>
          <w:p w14:paraId="6179F439" w14:textId="77777777" w:rsidR="005749DA" w:rsidRDefault="002F2A89">
            <w:r>
              <w:t>12</w:t>
            </w:r>
          </w:p>
        </w:tc>
        <w:tc>
          <w:tcPr>
            <w:tcW w:w="1234" w:type="dxa"/>
          </w:tcPr>
          <w:p w14:paraId="1E9B0D7E" w14:textId="77777777" w:rsidR="005749DA" w:rsidRDefault="002F2A89">
            <w:r>
              <w:t>Resilience, Continuity, and Recovery</w:t>
            </w:r>
          </w:p>
        </w:tc>
        <w:tc>
          <w:tcPr>
            <w:tcW w:w="1234" w:type="dxa"/>
          </w:tcPr>
          <w:p w14:paraId="3D616BFF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5D78EB94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02F273B9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2A4E235A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12AEEE72" w14:textId="77777777" w:rsidR="005749DA" w:rsidRDefault="002F2A89">
            <w:r>
              <w:t>Planned (placeholder section)</w:t>
            </w:r>
          </w:p>
        </w:tc>
      </w:tr>
      <w:tr w:rsidR="005749DA" w14:paraId="16FC3A95" w14:textId="77777777">
        <w:tc>
          <w:tcPr>
            <w:tcW w:w="1234" w:type="dxa"/>
          </w:tcPr>
          <w:p w14:paraId="43C8221D" w14:textId="77777777" w:rsidR="005749DA" w:rsidRDefault="002F2A89">
            <w:r>
              <w:lastRenderedPageBreak/>
              <w:t>13</w:t>
            </w:r>
          </w:p>
        </w:tc>
        <w:tc>
          <w:tcPr>
            <w:tcW w:w="1234" w:type="dxa"/>
          </w:tcPr>
          <w:p w14:paraId="6FD17F8F" w14:textId="77777777" w:rsidR="005749DA" w:rsidRDefault="002F2A89">
            <w:r>
              <w:t>Assurance and Continuous Improvement</w:t>
            </w:r>
          </w:p>
        </w:tc>
        <w:tc>
          <w:tcPr>
            <w:tcW w:w="1234" w:type="dxa"/>
          </w:tcPr>
          <w:p w14:paraId="531786A9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4895E905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3A1946AC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76B916DD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35AF0915" w14:textId="77777777" w:rsidR="005749DA" w:rsidRDefault="002F2A89">
            <w:r>
              <w:t>Planned (placeholder section)</w:t>
            </w:r>
          </w:p>
        </w:tc>
      </w:tr>
      <w:tr w:rsidR="005749DA" w14:paraId="02489695" w14:textId="77777777">
        <w:tc>
          <w:tcPr>
            <w:tcW w:w="1234" w:type="dxa"/>
          </w:tcPr>
          <w:p w14:paraId="65601256" w14:textId="77777777" w:rsidR="005749DA" w:rsidRDefault="002F2A89">
            <w:r>
              <w:t>14</w:t>
            </w:r>
          </w:p>
        </w:tc>
        <w:tc>
          <w:tcPr>
            <w:tcW w:w="1234" w:type="dxa"/>
          </w:tcPr>
          <w:p w14:paraId="31AC4D87" w14:textId="77777777" w:rsidR="005749DA" w:rsidRDefault="002F2A89">
            <w:r>
              <w:t>Implementation Roadmap</w:t>
            </w:r>
          </w:p>
        </w:tc>
        <w:tc>
          <w:tcPr>
            <w:tcW w:w="1234" w:type="dxa"/>
          </w:tcPr>
          <w:p w14:paraId="3A26F72E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03E56FF7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1404F874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1DBC2394" w14:textId="77777777" w:rsidR="005749DA" w:rsidRDefault="002F2A89">
            <w:r>
              <w:t>TBD</w:t>
            </w:r>
          </w:p>
        </w:tc>
        <w:tc>
          <w:tcPr>
            <w:tcW w:w="1234" w:type="dxa"/>
          </w:tcPr>
          <w:p w14:paraId="55ADA966" w14:textId="77777777" w:rsidR="005749DA" w:rsidRDefault="002F2A89">
            <w:r>
              <w:t>Planned (placeholder section)</w:t>
            </w:r>
          </w:p>
        </w:tc>
      </w:tr>
    </w:tbl>
    <w:p w14:paraId="35C59484" w14:textId="77777777" w:rsidR="005749DA" w:rsidRDefault="002F2A89">
      <w:pPr>
        <w:pStyle w:val="Heading1"/>
      </w:pPr>
      <w:r>
        <w:t>Appendix E – SOC-Style Narrative by SRA Section (Expanded)</w:t>
      </w:r>
    </w:p>
    <w:p w14:paraId="77DF633E" w14:textId="77777777" w:rsidR="005749DA" w:rsidRDefault="002F2A89">
      <w:pPr>
        <w:pStyle w:val="Heading2"/>
      </w:pPr>
      <w:r>
        <w:t>1 – Executive Overview</w:t>
      </w:r>
    </w:p>
    <w:p w14:paraId="4FEF49D1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29EFC05A" w14:textId="77777777" w:rsidR="005749DA" w:rsidRDefault="002F2A89">
      <w:r>
        <w:t>Controls mapped to this section:</w:t>
      </w:r>
    </w:p>
    <w:p w14:paraId="6DB305F9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07F91407" w14:textId="77777777" w:rsidR="005749DA" w:rsidRDefault="002F2A89">
      <w:pPr>
        <w:pStyle w:val="Heading2"/>
      </w:pPr>
      <w:r>
        <w:t>2 – Company and Operating Context (Online Education Enterprise)</w:t>
      </w:r>
    </w:p>
    <w:p w14:paraId="7981F9AD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0A545757" w14:textId="77777777" w:rsidR="005749DA" w:rsidRDefault="002F2A89">
      <w:r>
        <w:t>Controls mapped to this section:</w:t>
      </w:r>
    </w:p>
    <w:p w14:paraId="60A750E3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0DD6FBB8" w14:textId="77777777" w:rsidR="005749DA" w:rsidRDefault="002F2A89">
      <w:pPr>
        <w:pStyle w:val="Heading2"/>
      </w:pPr>
      <w:r>
        <w:t>3 – Regulatory, Legal, and Assurance Landscape</w:t>
      </w:r>
    </w:p>
    <w:p w14:paraId="0B8380DD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4EF3488B" w14:textId="77777777" w:rsidR="005749DA" w:rsidRDefault="002F2A89">
      <w:r>
        <w:t>Controls mapped to this section:</w:t>
      </w:r>
    </w:p>
    <w:p w14:paraId="6632E76B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49E4D56D" w14:textId="77777777" w:rsidR="005749DA" w:rsidRDefault="002F2A89">
      <w:pPr>
        <w:pStyle w:val="Heading2"/>
      </w:pPr>
      <w:r>
        <w:lastRenderedPageBreak/>
        <w:t>4 – Architecture Principles and Design Tenets</w:t>
      </w:r>
    </w:p>
    <w:p w14:paraId="6ADCA377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2D780983" w14:textId="77777777" w:rsidR="005749DA" w:rsidRDefault="002F2A89">
      <w:r>
        <w:t>Controls mapped to this section:</w:t>
      </w:r>
    </w:p>
    <w:p w14:paraId="7111B509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4F5B214A" w14:textId="77777777" w:rsidR="005749DA" w:rsidRDefault="002F2A89">
      <w:pPr>
        <w:pStyle w:val="Heading2"/>
      </w:pPr>
      <w:r>
        <w:t>5 – Reference Architecture Overview</w:t>
      </w:r>
    </w:p>
    <w:p w14:paraId="7618F9DB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37364EEE" w14:textId="77777777" w:rsidR="005749DA" w:rsidRDefault="002F2A89">
      <w:r>
        <w:t>Controls mapped to this section:</w:t>
      </w:r>
    </w:p>
    <w:p w14:paraId="397ECA6A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50282910" w14:textId="77777777" w:rsidR="005749DA" w:rsidRDefault="002F2A89">
      <w:pPr>
        <w:pStyle w:val="Heading2"/>
      </w:pPr>
      <w:r>
        <w:t>6 – Governance, Risk, and Compliance (GRC) Architecture</w:t>
      </w:r>
    </w:p>
    <w:p w14:paraId="2FBC1B83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5E783C1E" w14:textId="77777777" w:rsidR="005749DA" w:rsidRDefault="002F2A89">
      <w:r>
        <w:t>Controls mapped to this section:</w:t>
      </w:r>
    </w:p>
    <w:p w14:paraId="45A72856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38C33220" w14:textId="77777777" w:rsidR="005749DA" w:rsidRDefault="002F2A89">
      <w:pPr>
        <w:pStyle w:val="Heading2"/>
      </w:pPr>
      <w:r>
        <w:t>7 – Identity and Access Management Architecture</w:t>
      </w:r>
    </w:p>
    <w:p w14:paraId="3366C905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093AA507" w14:textId="77777777" w:rsidR="005749DA" w:rsidRDefault="002F2A89">
      <w:r>
        <w:t>Controls mapped to this section:</w:t>
      </w:r>
    </w:p>
    <w:p w14:paraId="29D9B9B6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20B64F7D" w14:textId="77777777" w:rsidR="005749DA" w:rsidRDefault="002F2A89">
      <w:pPr>
        <w:pStyle w:val="Heading2"/>
      </w:pPr>
      <w:r>
        <w:lastRenderedPageBreak/>
        <w:t>8 – Application and Platform Security Architecture</w:t>
      </w:r>
    </w:p>
    <w:p w14:paraId="0D14361F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5B6CF038" w14:textId="77777777" w:rsidR="005749DA" w:rsidRDefault="002F2A89">
      <w:r>
        <w:t>Controls mapped to this section:</w:t>
      </w:r>
    </w:p>
    <w:p w14:paraId="7D486D94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5EA0D3C7" w14:textId="77777777" w:rsidR="005749DA" w:rsidRDefault="002F2A89">
      <w:pPr>
        <w:pStyle w:val="Heading2"/>
      </w:pPr>
      <w:r>
        <w:t>9 – Data Security and Privacy Architecture</w:t>
      </w:r>
    </w:p>
    <w:p w14:paraId="5AE973A6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490698E5" w14:textId="77777777" w:rsidR="005749DA" w:rsidRDefault="002F2A89">
      <w:r>
        <w:t>Controls mapped to this section:</w:t>
      </w:r>
    </w:p>
    <w:p w14:paraId="1D24711F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1A146344" w14:textId="77777777" w:rsidR="005749DA" w:rsidRDefault="002F2A89">
      <w:pPr>
        <w:pStyle w:val="Heading2"/>
      </w:pPr>
      <w:r>
        <w:t>10 – Infrastructure, Network, and Cloud Security Architecture</w:t>
      </w:r>
    </w:p>
    <w:p w14:paraId="1B30F99A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40E450E0" w14:textId="77777777" w:rsidR="005749DA" w:rsidRDefault="002F2A89">
      <w:r>
        <w:t>Controls mapped to this section:</w:t>
      </w:r>
    </w:p>
    <w:p w14:paraId="11FF899A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134EA5D3" w14:textId="77777777" w:rsidR="005749DA" w:rsidRDefault="002F2A89">
      <w:pPr>
        <w:pStyle w:val="Heading2"/>
      </w:pPr>
      <w:r>
        <w:t>11 – Security Monitoring and Incident Response</w:t>
      </w:r>
    </w:p>
    <w:p w14:paraId="4B3C5110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63FEC29B" w14:textId="77777777" w:rsidR="005749DA" w:rsidRDefault="002F2A89">
      <w:r>
        <w:t>Controls mapped to this section:</w:t>
      </w:r>
    </w:p>
    <w:p w14:paraId="3F7C8E73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287198F6" w14:textId="77777777" w:rsidR="005749DA" w:rsidRDefault="002F2A89">
      <w:pPr>
        <w:pStyle w:val="Heading2"/>
      </w:pPr>
      <w:r>
        <w:lastRenderedPageBreak/>
        <w:t>12 – Resilience, Continuity, and Recovery</w:t>
      </w:r>
    </w:p>
    <w:p w14:paraId="2905DE46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612CF327" w14:textId="77777777" w:rsidR="005749DA" w:rsidRDefault="002F2A89">
      <w:r>
        <w:t>Controls mapped to this section:</w:t>
      </w:r>
    </w:p>
    <w:p w14:paraId="14790333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017C81D0" w14:textId="77777777" w:rsidR="005749DA" w:rsidRDefault="002F2A89">
      <w:pPr>
        <w:pStyle w:val="Heading2"/>
      </w:pPr>
      <w:r>
        <w:t>13 – Assurance and Continuous Improvement</w:t>
      </w:r>
    </w:p>
    <w:p w14:paraId="208CCA94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54444437" w14:textId="77777777" w:rsidR="005749DA" w:rsidRDefault="002F2A89">
      <w:r>
        <w:t>Controls mapped to this section:</w:t>
      </w:r>
    </w:p>
    <w:p w14:paraId="59F9DD04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p w14:paraId="61A0BB51" w14:textId="77777777" w:rsidR="005749DA" w:rsidRDefault="002F2A89">
      <w:pPr>
        <w:pStyle w:val="Heading2"/>
      </w:pPr>
      <w:r>
        <w:t>14 – Implementation Roadmap</w:t>
      </w:r>
    </w:p>
    <w:p w14:paraId="6E3EFC99" w14:textId="77777777" w:rsidR="005749DA" w:rsidRDefault="002F2A89">
      <w:r>
        <w:t>Controls Summary &amp; Governance. This section will document the security architecture intent, control objectives, and evidence expectations for this area of the SRA. Evidence expectations: written policies/standards where applicable, ownership/RACI, architecture diagrams or configurations, operating procedures, and references to monitoring and testing artifacts.</w:t>
      </w:r>
    </w:p>
    <w:p w14:paraId="016D6230" w14:textId="77777777" w:rsidR="005749DA" w:rsidRDefault="002F2A89">
      <w:r>
        <w:t>Controls mapped to this section:</w:t>
      </w:r>
    </w:p>
    <w:p w14:paraId="5C5C6E6D" w14:textId="77777777" w:rsidR="005749DA" w:rsidRDefault="002F2A89">
      <w:pPr>
        <w:pStyle w:val="ListBullet"/>
      </w:pPr>
      <w:r>
        <w:t>TBD – No mapped controls/practices listed yet in Appendix C for this section.</w:t>
      </w:r>
    </w:p>
    <w:sectPr w:rsidR="005749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910956">
    <w:abstractNumId w:val="8"/>
  </w:num>
  <w:num w:numId="2" w16cid:durableId="1142117008">
    <w:abstractNumId w:val="6"/>
  </w:num>
  <w:num w:numId="3" w16cid:durableId="1818690525">
    <w:abstractNumId w:val="5"/>
  </w:num>
  <w:num w:numId="4" w16cid:durableId="1442609061">
    <w:abstractNumId w:val="4"/>
  </w:num>
  <w:num w:numId="5" w16cid:durableId="1422801054">
    <w:abstractNumId w:val="7"/>
  </w:num>
  <w:num w:numId="6" w16cid:durableId="1637560238">
    <w:abstractNumId w:val="3"/>
  </w:num>
  <w:num w:numId="7" w16cid:durableId="160511560">
    <w:abstractNumId w:val="2"/>
  </w:num>
  <w:num w:numId="8" w16cid:durableId="552740153">
    <w:abstractNumId w:val="1"/>
  </w:num>
  <w:num w:numId="9" w16cid:durableId="159451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8AC"/>
    <w:rsid w:val="002F2A89"/>
    <w:rsid w:val="00326F90"/>
    <w:rsid w:val="00406405"/>
    <w:rsid w:val="005749DA"/>
    <w:rsid w:val="0087344C"/>
    <w:rsid w:val="00AA1D8D"/>
    <w:rsid w:val="00B47730"/>
    <w:rsid w:val="00CB0664"/>
    <w:rsid w:val="00D24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00EB34-FD66-114C-9244-AC2E1597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1335</Words>
  <Characters>8872</Characters>
  <Application>Microsoft Office Word</Application>
  <DocSecurity>0</DocSecurity>
  <Lines>410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3</cp:revision>
  <dcterms:created xsi:type="dcterms:W3CDTF">2013-12-23T23:15:00Z</dcterms:created>
  <dcterms:modified xsi:type="dcterms:W3CDTF">2026-02-12T13:44:00Z</dcterms:modified>
  <cp:category/>
</cp:coreProperties>
</file>