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Stride Security Reference Architecture — Control‑Mapped Edition (Draft)</w:t>
      </w:r>
    </w:p>
    <w:p>
      <w:r>
        <w:t>This edition expands the Security Reference Architecture to include explicit mappings to Stride policies (ISP/IISP), NIST CSF 2.0 controls, FERPA, and SOX 404. Diagrams are referenced by stable IDs; rendered SVGs remain authoritative snapshots.</w:t>
      </w:r>
    </w:p>
    <w:p>
      <w:pPr>
        <w:pStyle w:val="Heading1"/>
      </w:pPr>
      <w:r>
        <w:t>Identity &amp; Access Architecture</w:t>
      </w:r>
    </w:p>
    <w:p>
      <w:r>
        <w:t>Intent: Ensure access is granted based on verified identity, risk context, and least privilege across personas.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Stride Policies</w:t>
            </w:r>
          </w:p>
        </w:tc>
        <w:tc>
          <w:tcPr>
            <w:tcW w:type="dxa" w:w="4320"/>
          </w:tcPr>
          <w:p>
            <w:r>
              <w:t>ISP 1.0, ISP 2.3, IISP 4.0, IISP 9.0</w:t>
            </w:r>
          </w:p>
        </w:tc>
      </w:tr>
      <w:tr>
        <w:tc>
          <w:tcPr>
            <w:tcW w:type="dxa" w:w="4320"/>
          </w:tcPr>
          <w:p>
            <w:r>
              <w:t>NIST CSF 2.0</w:t>
            </w:r>
          </w:p>
        </w:tc>
        <w:tc>
          <w:tcPr>
            <w:tcW w:type="dxa" w:w="4320"/>
          </w:tcPr>
          <w:p>
            <w:r>
              <w:t>PR.AA‑01, PR.AA‑05, GV.RR‑01</w:t>
            </w:r>
          </w:p>
        </w:tc>
      </w:tr>
      <w:tr>
        <w:tc>
          <w:tcPr>
            <w:tcW w:type="dxa" w:w="4320"/>
          </w:tcPr>
          <w:p>
            <w:r>
              <w:t>FERPA</w:t>
            </w:r>
          </w:p>
        </w:tc>
        <w:tc>
          <w:tcPr>
            <w:tcW w:type="dxa" w:w="4320"/>
          </w:tcPr>
          <w:p>
            <w:r>
              <w:t>34 CFR §99.30</w:t>
            </w:r>
          </w:p>
        </w:tc>
      </w:tr>
      <w:tr>
        <w:tc>
          <w:tcPr>
            <w:tcW w:type="dxa" w:w="4320"/>
          </w:tcPr>
          <w:p>
            <w:r>
              <w:t>SOX 404</w:t>
            </w:r>
          </w:p>
        </w:tc>
        <w:tc>
          <w:tcPr>
            <w:tcW w:type="dxa" w:w="4320"/>
          </w:tcPr>
          <w:p>
            <w:r>
              <w:t>SOX ITGC Access</w:t>
            </w:r>
          </w:p>
        </w:tc>
      </w:tr>
    </w:tbl>
    <w:p>
      <w:pPr>
        <w:pStyle w:val="Heading1"/>
      </w:pPr>
      <w:r>
        <w:t>Privileged Trust</w:t>
      </w:r>
    </w:p>
    <w:p>
      <w:r>
        <w:t>Intent: Protect privileged operations with vaulting, approvals, and session controls.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Stride Policies</w:t>
            </w:r>
          </w:p>
        </w:tc>
        <w:tc>
          <w:tcPr>
            <w:tcW w:type="dxa" w:w="4320"/>
          </w:tcPr>
          <w:p>
            <w:r>
              <w:t>IISP 9.0, IISP 10.0</w:t>
            </w:r>
          </w:p>
        </w:tc>
      </w:tr>
      <w:tr>
        <w:tc>
          <w:tcPr>
            <w:tcW w:type="dxa" w:w="4320"/>
          </w:tcPr>
          <w:p>
            <w:r>
              <w:t>NIST CSF 2.0</w:t>
            </w:r>
          </w:p>
        </w:tc>
        <w:tc>
          <w:tcPr>
            <w:tcW w:type="dxa" w:w="4320"/>
          </w:tcPr>
          <w:p>
            <w:r>
              <w:t>PR.AA‑05, DE.CM‑03</w:t>
            </w:r>
          </w:p>
        </w:tc>
      </w:tr>
      <w:tr>
        <w:tc>
          <w:tcPr>
            <w:tcW w:type="dxa" w:w="4320"/>
          </w:tcPr>
          <w:p>
            <w:r>
              <w:t>FERPA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SOX 404</w:t>
            </w:r>
          </w:p>
        </w:tc>
        <w:tc>
          <w:tcPr>
            <w:tcW w:type="dxa" w:w="4320"/>
          </w:tcPr>
          <w:p>
            <w:r>
              <w:t>SOX ITGC Access/Operations</w:t>
            </w:r>
          </w:p>
        </w:tc>
      </w:tr>
    </w:tbl>
    <w:p>
      <w:pPr>
        <w:pStyle w:val="Heading1"/>
      </w:pPr>
      <w:r>
        <w:t>Device Trust</w:t>
      </w:r>
    </w:p>
    <w:p>
      <w:r>
        <w:t>Intent: Continuously assess endpoint posture to inform access and risk decisions.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Stride Policies</w:t>
            </w:r>
          </w:p>
        </w:tc>
        <w:tc>
          <w:tcPr>
            <w:tcW w:type="dxa" w:w="4320"/>
          </w:tcPr>
          <w:p>
            <w:r>
              <w:t>IISP 7.0</w:t>
            </w:r>
          </w:p>
        </w:tc>
      </w:tr>
      <w:tr>
        <w:tc>
          <w:tcPr>
            <w:tcW w:type="dxa" w:w="4320"/>
          </w:tcPr>
          <w:p>
            <w:r>
              <w:t>NIST CSF 2.0</w:t>
            </w:r>
          </w:p>
        </w:tc>
        <w:tc>
          <w:tcPr>
            <w:tcW w:type="dxa" w:w="4320"/>
          </w:tcPr>
          <w:p>
            <w:r>
              <w:t>PR.PS‑03, DE.CM‑01</w:t>
            </w:r>
          </w:p>
        </w:tc>
      </w:tr>
      <w:tr>
        <w:tc>
          <w:tcPr>
            <w:tcW w:type="dxa" w:w="4320"/>
          </w:tcPr>
          <w:p>
            <w:r>
              <w:t>FERPA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SOX 404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1"/>
      </w:pPr>
      <w:r>
        <w:t>Application &amp; API Trust</w:t>
      </w:r>
    </w:p>
    <w:p>
      <w:r>
        <w:t>Intent: Embed security controls across SDLC and runtime.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Stride Policies</w:t>
            </w:r>
          </w:p>
        </w:tc>
        <w:tc>
          <w:tcPr>
            <w:tcW w:type="dxa" w:w="4320"/>
          </w:tcPr>
          <w:p>
            <w:r>
              <w:t>IISP 9.0</w:t>
            </w:r>
          </w:p>
        </w:tc>
      </w:tr>
      <w:tr>
        <w:tc>
          <w:tcPr>
            <w:tcW w:type="dxa" w:w="4320"/>
          </w:tcPr>
          <w:p>
            <w:r>
              <w:t>NIST CSF 2.0</w:t>
            </w:r>
          </w:p>
        </w:tc>
        <w:tc>
          <w:tcPr>
            <w:tcW w:type="dxa" w:w="4320"/>
          </w:tcPr>
          <w:p>
            <w:r>
              <w:t>PR.PS‑06, PR.DS‑07</w:t>
            </w:r>
          </w:p>
        </w:tc>
      </w:tr>
      <w:tr>
        <w:tc>
          <w:tcPr>
            <w:tcW w:type="dxa" w:w="4320"/>
          </w:tcPr>
          <w:p>
            <w:r>
              <w:t>FERPA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SOX 404</w:t>
            </w:r>
          </w:p>
        </w:tc>
        <w:tc>
          <w:tcPr>
            <w:tcW w:type="dxa" w:w="4320"/>
          </w:tcPr>
          <w:p>
            <w:r>
              <w:t>SOX ITGC Change</w:t>
            </w:r>
          </w:p>
        </w:tc>
      </w:tr>
    </w:tbl>
    <w:p>
      <w:pPr>
        <w:pStyle w:val="Heading1"/>
      </w:pPr>
      <w:r>
        <w:t>Operational Trust</w:t>
      </w:r>
    </w:p>
    <w:p>
      <w:r>
        <w:t>Intent: Centralize detection, response, and evidence handling.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Stride Policies</w:t>
            </w:r>
          </w:p>
        </w:tc>
        <w:tc>
          <w:tcPr>
            <w:tcW w:type="dxa" w:w="4320"/>
          </w:tcPr>
          <w:p>
            <w:r>
              <w:t>IISP 10.0</w:t>
            </w:r>
          </w:p>
        </w:tc>
      </w:tr>
      <w:tr>
        <w:tc>
          <w:tcPr>
            <w:tcW w:type="dxa" w:w="4320"/>
          </w:tcPr>
          <w:p>
            <w:r>
              <w:t>NIST CSF 2.0</w:t>
            </w:r>
          </w:p>
        </w:tc>
        <w:tc>
          <w:tcPr>
            <w:tcW w:type="dxa" w:w="4320"/>
          </w:tcPr>
          <w:p>
            <w:r>
              <w:t>RS.MA‑01, RC.RP‑01</w:t>
            </w:r>
          </w:p>
        </w:tc>
      </w:tr>
      <w:tr>
        <w:tc>
          <w:tcPr>
            <w:tcW w:type="dxa" w:w="4320"/>
          </w:tcPr>
          <w:p>
            <w:r>
              <w:t>FERPA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SOX 404</w:t>
            </w:r>
          </w:p>
        </w:tc>
        <w:tc>
          <w:tcPr>
            <w:tcW w:type="dxa" w:w="4320"/>
          </w:tcPr>
          <w:p>
            <w:r>
              <w:t>SOX ITGC Operations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