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FD09" w14:textId="77777777" w:rsidR="008B67C4" w:rsidRPr="00AC0468" w:rsidRDefault="00000000" w:rsidP="00AC0468">
      <w:pPr>
        <w:pStyle w:val="Title"/>
      </w:pPr>
      <w:r w:rsidRPr="00AC0468">
        <w:t>Security Reference Architecture (SRA)</w:t>
      </w:r>
    </w:p>
    <w:p w14:paraId="5F1EECC1" w14:textId="50FB09AE" w:rsidR="008B67C4" w:rsidRDefault="00AC0468">
      <w:r>
        <w:t>Confidential and Proprietary Property of [company]</w:t>
      </w:r>
    </w:p>
    <w:p w14:paraId="406D8194" w14:textId="77777777" w:rsidR="008B67C4" w:rsidRDefault="00000000">
      <w:r>
        <w:t>FERPA • SOX • NIST Cybersecurity Framework 2.0</w:t>
      </w:r>
    </w:p>
    <w:p w14:paraId="4410DFF6" w14:textId="77777777" w:rsidR="008B67C4" w:rsidRDefault="008B67C4"/>
    <w:p w14:paraId="566CA7FF" w14:textId="77777777" w:rsidR="008B67C4" w:rsidRDefault="00000000">
      <w:pPr>
        <w:pStyle w:val="Heading2"/>
      </w:pPr>
      <w:r>
        <w:t>1. Executive Overview</w:t>
      </w:r>
    </w:p>
    <w:p w14:paraId="2175D45B" w14:textId="77777777" w:rsidR="008B67C4" w:rsidRDefault="00000000">
      <w:pPr>
        <w:pStyle w:val="Heading2"/>
      </w:pPr>
      <w:r>
        <w:t>1.1 Purpose</w:t>
      </w:r>
    </w:p>
    <w:p w14:paraId="40605E0E" w14:textId="77777777" w:rsidR="008B67C4" w:rsidRDefault="00000000">
      <w:r>
        <w:t>[Placeholder]</w:t>
      </w:r>
    </w:p>
    <w:p w14:paraId="4C05255D" w14:textId="77777777" w:rsidR="008B67C4" w:rsidRDefault="00000000">
      <w:pPr>
        <w:pStyle w:val="Heading2"/>
      </w:pPr>
      <w:r>
        <w:t>1.2 Scope and Audience</w:t>
      </w:r>
    </w:p>
    <w:p w14:paraId="7C77384C" w14:textId="77777777" w:rsidR="008B67C4" w:rsidRDefault="00000000">
      <w:r>
        <w:t>[Placeholder]</w:t>
      </w:r>
    </w:p>
    <w:p w14:paraId="04B7C1CF" w14:textId="77777777" w:rsidR="008B67C4" w:rsidRDefault="00000000">
      <w:pPr>
        <w:pStyle w:val="Heading2"/>
      </w:pPr>
      <w:r>
        <w:t>1.3 Compliance Alignment Summary (FERPA, SOX, NIST CSF 2.0)</w:t>
      </w:r>
    </w:p>
    <w:p w14:paraId="1892E1F7" w14:textId="77777777" w:rsidR="008B67C4" w:rsidRDefault="00000000">
      <w:r>
        <w:t>[Placeholder]</w:t>
      </w:r>
    </w:p>
    <w:p w14:paraId="55F38A4F" w14:textId="77777777" w:rsidR="008B67C4" w:rsidRDefault="00000000">
      <w:pPr>
        <w:pStyle w:val="Heading2"/>
      </w:pPr>
      <w:r>
        <w:t>1.4 Key Architectural Decisions and Exclusions</w:t>
      </w:r>
    </w:p>
    <w:p w14:paraId="7B0DE0C5" w14:textId="77777777" w:rsidR="008B67C4" w:rsidRDefault="00000000">
      <w:r>
        <w:t>[Placeholder]</w:t>
      </w:r>
    </w:p>
    <w:p w14:paraId="5E74F13B" w14:textId="77777777" w:rsidR="008B67C4" w:rsidRDefault="008B67C4"/>
    <w:p w14:paraId="47575474" w14:textId="77777777" w:rsidR="008B67C4" w:rsidRDefault="00000000">
      <w:pPr>
        <w:pStyle w:val="Heading2"/>
      </w:pPr>
      <w:r>
        <w:t>2. Company and Operating Context (Online Education Enterprise)</w:t>
      </w:r>
    </w:p>
    <w:p w14:paraId="7C4FAED1" w14:textId="77777777" w:rsidR="008B67C4" w:rsidRDefault="00000000">
      <w:pPr>
        <w:pStyle w:val="Heading2"/>
      </w:pPr>
      <w:r>
        <w:t>2.1 Business Model and Stakeholders</w:t>
      </w:r>
    </w:p>
    <w:p w14:paraId="17F28F79" w14:textId="77777777" w:rsidR="008B67C4" w:rsidRDefault="00000000">
      <w:r>
        <w:t>[Placeholder]</w:t>
      </w:r>
    </w:p>
    <w:p w14:paraId="4F76DF0F" w14:textId="77777777" w:rsidR="008B67C4" w:rsidRDefault="00000000">
      <w:pPr>
        <w:pStyle w:val="Heading2"/>
      </w:pPr>
      <w:r>
        <w:t>2.2 Platforms and Services</w:t>
      </w:r>
    </w:p>
    <w:p w14:paraId="1E5834F1" w14:textId="77777777" w:rsidR="008B67C4" w:rsidRDefault="00000000">
      <w:pPr>
        <w:pStyle w:val="Heading3"/>
      </w:pPr>
      <w:r>
        <w:t>2.2.1 Learning Management / Experience Platform (LMS/LXP)</w:t>
      </w:r>
    </w:p>
    <w:p w14:paraId="38F3CA02" w14:textId="77777777" w:rsidR="008B67C4" w:rsidRDefault="00000000">
      <w:r>
        <w:t>[Placeholder]</w:t>
      </w:r>
    </w:p>
    <w:p w14:paraId="7B997B00" w14:textId="77777777" w:rsidR="008B67C4" w:rsidRDefault="00000000">
      <w:pPr>
        <w:pStyle w:val="Heading3"/>
      </w:pPr>
      <w:r>
        <w:t>2.2.2 Content Delivery and Assessments</w:t>
      </w:r>
    </w:p>
    <w:p w14:paraId="4A10ABC1" w14:textId="77777777" w:rsidR="008B67C4" w:rsidRDefault="00000000">
      <w:r>
        <w:t>[Placeholder]</w:t>
      </w:r>
    </w:p>
    <w:p w14:paraId="7C99F595" w14:textId="77777777" w:rsidR="008B67C4" w:rsidRDefault="00000000">
      <w:pPr>
        <w:pStyle w:val="Heading3"/>
      </w:pPr>
      <w:r>
        <w:t>2.2.3 Identity and Federation with Partner Institutions</w:t>
      </w:r>
    </w:p>
    <w:p w14:paraId="396F599A" w14:textId="77777777" w:rsidR="008B67C4" w:rsidRDefault="00000000">
      <w:r>
        <w:t>[Placeholder]</w:t>
      </w:r>
    </w:p>
    <w:p w14:paraId="7FCD482D" w14:textId="77777777" w:rsidR="008B67C4" w:rsidRDefault="00000000">
      <w:pPr>
        <w:pStyle w:val="Heading3"/>
      </w:pPr>
      <w:r>
        <w:t>2.2.4 Commerce, Billing, and Payments</w:t>
      </w:r>
    </w:p>
    <w:p w14:paraId="0156E162" w14:textId="77777777" w:rsidR="008B67C4" w:rsidRDefault="00000000">
      <w:r>
        <w:t>[Placeholder]</w:t>
      </w:r>
    </w:p>
    <w:p w14:paraId="7D1129D1" w14:textId="77777777" w:rsidR="008B67C4" w:rsidRDefault="00000000">
      <w:pPr>
        <w:pStyle w:val="Heading3"/>
      </w:pPr>
      <w:r>
        <w:t>2.2.5 Analytics, Personalization, and AI Capabilities</w:t>
      </w:r>
    </w:p>
    <w:p w14:paraId="167E2021" w14:textId="77777777" w:rsidR="008B67C4" w:rsidRDefault="00000000">
      <w:r>
        <w:t>[Placeholder]</w:t>
      </w:r>
    </w:p>
    <w:p w14:paraId="58EE1861" w14:textId="31A8F430" w:rsidR="00AC0468" w:rsidRDefault="00AC0468" w:rsidP="00AC0468">
      <w:pPr>
        <w:pStyle w:val="Heading1"/>
      </w:pPr>
      <w:r>
        <w:lastRenderedPageBreak/>
        <w:t>Appendix B – Control to Document Section 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0468" w14:paraId="663FC724" w14:textId="77777777" w:rsidTr="00FD5D22">
        <w:tc>
          <w:tcPr>
            <w:tcW w:w="1728" w:type="dxa"/>
          </w:tcPr>
          <w:p w14:paraId="412A329B" w14:textId="77777777" w:rsidR="00AC0468" w:rsidRDefault="00AC0468" w:rsidP="00FD5D22">
            <w:r>
              <w:t>Framework</w:t>
            </w:r>
          </w:p>
        </w:tc>
        <w:tc>
          <w:tcPr>
            <w:tcW w:w="1728" w:type="dxa"/>
          </w:tcPr>
          <w:p w14:paraId="0AE43755" w14:textId="77777777" w:rsidR="00AC0468" w:rsidRDefault="00AC0468" w:rsidP="00FD5D22">
            <w:r>
              <w:t>Control ID</w:t>
            </w:r>
          </w:p>
        </w:tc>
        <w:tc>
          <w:tcPr>
            <w:tcW w:w="1728" w:type="dxa"/>
          </w:tcPr>
          <w:p w14:paraId="702B753E" w14:textId="77777777" w:rsidR="00AC0468" w:rsidRDefault="00AC0468" w:rsidP="00FD5D22">
            <w:r>
              <w:t>Control / Practice</w:t>
            </w:r>
          </w:p>
        </w:tc>
        <w:tc>
          <w:tcPr>
            <w:tcW w:w="1728" w:type="dxa"/>
          </w:tcPr>
          <w:p w14:paraId="4E3DC2A9" w14:textId="77777777" w:rsidR="00AC0468" w:rsidRDefault="00AC0468" w:rsidP="00FD5D22">
            <w:r>
              <w:t>Description</w:t>
            </w:r>
          </w:p>
        </w:tc>
        <w:tc>
          <w:tcPr>
            <w:tcW w:w="1728" w:type="dxa"/>
          </w:tcPr>
          <w:p w14:paraId="32619FE4" w14:textId="77777777" w:rsidR="00AC0468" w:rsidRDefault="00AC0468" w:rsidP="00FD5D22">
            <w:r>
              <w:t>Mapped SRA Section(s)</w:t>
            </w:r>
          </w:p>
        </w:tc>
      </w:tr>
      <w:tr w:rsidR="00AC0468" w14:paraId="0AD4A0C2" w14:textId="77777777" w:rsidTr="00FD5D22">
        <w:tc>
          <w:tcPr>
            <w:tcW w:w="1728" w:type="dxa"/>
          </w:tcPr>
          <w:p w14:paraId="37C79DB3" w14:textId="77777777" w:rsidR="00AC0468" w:rsidRDefault="00AC0468" w:rsidP="00FD5D22">
            <w:r>
              <w:t>FERPA</w:t>
            </w:r>
          </w:p>
        </w:tc>
        <w:tc>
          <w:tcPr>
            <w:tcW w:w="1728" w:type="dxa"/>
          </w:tcPr>
          <w:p w14:paraId="7FF9ABE6" w14:textId="77777777" w:rsidR="00AC0468" w:rsidRDefault="00AC0468" w:rsidP="00FD5D22">
            <w:r>
              <w:t>34 CFR §99.31</w:t>
            </w:r>
          </w:p>
        </w:tc>
        <w:tc>
          <w:tcPr>
            <w:tcW w:w="1728" w:type="dxa"/>
          </w:tcPr>
          <w:p w14:paraId="28448886" w14:textId="77777777" w:rsidR="00AC0468" w:rsidRDefault="00AC0468" w:rsidP="00FD5D22">
            <w:r>
              <w:t>Disclosure Limitation</w:t>
            </w:r>
          </w:p>
        </w:tc>
        <w:tc>
          <w:tcPr>
            <w:tcW w:w="1728" w:type="dxa"/>
          </w:tcPr>
          <w:p w14:paraId="68363ACB" w14:textId="77777777" w:rsidR="00AC0468" w:rsidRDefault="00AC0468" w:rsidP="00FD5D22">
            <w:r>
              <w:t>Limits disclosure of education records without consent</w:t>
            </w:r>
          </w:p>
        </w:tc>
        <w:tc>
          <w:tcPr>
            <w:tcW w:w="1728" w:type="dxa"/>
          </w:tcPr>
          <w:p w14:paraId="037A6DD8" w14:textId="77777777" w:rsidR="00AC0468" w:rsidRDefault="00AC0468" w:rsidP="00FD5D22">
            <w:r>
              <w:t>1.3; 2.1; 2.2.3</w:t>
            </w:r>
          </w:p>
        </w:tc>
      </w:tr>
      <w:tr w:rsidR="00AC0468" w14:paraId="4A3044DF" w14:textId="77777777" w:rsidTr="00FD5D22">
        <w:tc>
          <w:tcPr>
            <w:tcW w:w="1728" w:type="dxa"/>
          </w:tcPr>
          <w:p w14:paraId="1A27E92D" w14:textId="77777777" w:rsidR="00AC0468" w:rsidRDefault="00AC0468" w:rsidP="00FD5D22">
            <w:r>
              <w:t>FERPA</w:t>
            </w:r>
          </w:p>
        </w:tc>
        <w:tc>
          <w:tcPr>
            <w:tcW w:w="1728" w:type="dxa"/>
          </w:tcPr>
          <w:p w14:paraId="08292DC1" w14:textId="77777777" w:rsidR="00AC0468" w:rsidRDefault="00AC0468" w:rsidP="00FD5D22">
            <w:r>
              <w:t>34 CFR §99.30</w:t>
            </w:r>
          </w:p>
        </w:tc>
        <w:tc>
          <w:tcPr>
            <w:tcW w:w="1728" w:type="dxa"/>
          </w:tcPr>
          <w:p w14:paraId="2ECD06C0" w14:textId="77777777" w:rsidR="00AC0468" w:rsidRDefault="00AC0468" w:rsidP="00FD5D22">
            <w:r>
              <w:t>Access Authorization</w:t>
            </w:r>
          </w:p>
        </w:tc>
        <w:tc>
          <w:tcPr>
            <w:tcW w:w="1728" w:type="dxa"/>
          </w:tcPr>
          <w:p w14:paraId="0A88D217" w14:textId="77777777" w:rsidR="00AC0468" w:rsidRDefault="00AC0468" w:rsidP="00FD5D22">
            <w:r>
              <w:t>Ensures only authorized parties access student records</w:t>
            </w:r>
          </w:p>
        </w:tc>
        <w:tc>
          <w:tcPr>
            <w:tcW w:w="1728" w:type="dxa"/>
          </w:tcPr>
          <w:p w14:paraId="3DF063C5" w14:textId="77777777" w:rsidR="00AC0468" w:rsidRDefault="00AC0468" w:rsidP="00FD5D22">
            <w:r>
              <w:t>2.2.1; 2.2.3</w:t>
            </w:r>
          </w:p>
        </w:tc>
      </w:tr>
      <w:tr w:rsidR="00AC0468" w14:paraId="73D05442" w14:textId="77777777" w:rsidTr="00FD5D22">
        <w:tc>
          <w:tcPr>
            <w:tcW w:w="1728" w:type="dxa"/>
          </w:tcPr>
          <w:p w14:paraId="38CF03B7" w14:textId="77777777" w:rsidR="00AC0468" w:rsidRDefault="00AC0468" w:rsidP="00FD5D22">
            <w:r>
              <w:t>FERPA</w:t>
            </w:r>
          </w:p>
        </w:tc>
        <w:tc>
          <w:tcPr>
            <w:tcW w:w="1728" w:type="dxa"/>
          </w:tcPr>
          <w:p w14:paraId="78CE621D" w14:textId="77777777" w:rsidR="00AC0468" w:rsidRDefault="00AC0468" w:rsidP="00FD5D22">
            <w:r>
              <w:t>34 CFR §99.33</w:t>
            </w:r>
          </w:p>
        </w:tc>
        <w:tc>
          <w:tcPr>
            <w:tcW w:w="1728" w:type="dxa"/>
          </w:tcPr>
          <w:p w14:paraId="2096DC30" w14:textId="77777777" w:rsidR="00AC0468" w:rsidRDefault="00AC0468" w:rsidP="00FD5D22">
            <w:r>
              <w:t>Third‑Party Use Controls</w:t>
            </w:r>
          </w:p>
        </w:tc>
        <w:tc>
          <w:tcPr>
            <w:tcW w:w="1728" w:type="dxa"/>
          </w:tcPr>
          <w:p w14:paraId="5689D542" w14:textId="77777777" w:rsidR="00AC0468" w:rsidRDefault="00AC0468" w:rsidP="00FD5D22">
            <w:r>
              <w:t>Controls reuse and redisclosure of student data</w:t>
            </w:r>
          </w:p>
        </w:tc>
        <w:tc>
          <w:tcPr>
            <w:tcW w:w="1728" w:type="dxa"/>
          </w:tcPr>
          <w:p w14:paraId="00C72B2F" w14:textId="77777777" w:rsidR="00AC0468" w:rsidRDefault="00AC0468" w:rsidP="00FD5D22">
            <w:r>
              <w:t>2.2.3</w:t>
            </w:r>
          </w:p>
        </w:tc>
      </w:tr>
      <w:tr w:rsidR="00AC0468" w14:paraId="1C244DB1" w14:textId="77777777" w:rsidTr="00FD5D22">
        <w:tc>
          <w:tcPr>
            <w:tcW w:w="1728" w:type="dxa"/>
          </w:tcPr>
          <w:p w14:paraId="1A3D4BEF" w14:textId="77777777" w:rsidR="00AC0468" w:rsidRDefault="00AC0468" w:rsidP="00FD5D22">
            <w:r>
              <w:t>SOX</w:t>
            </w:r>
          </w:p>
        </w:tc>
        <w:tc>
          <w:tcPr>
            <w:tcW w:w="1728" w:type="dxa"/>
          </w:tcPr>
          <w:p w14:paraId="3C96DAAE" w14:textId="77777777" w:rsidR="00AC0468" w:rsidRDefault="00AC0468" w:rsidP="00FD5D22">
            <w:r>
              <w:t>SOX §302</w:t>
            </w:r>
          </w:p>
        </w:tc>
        <w:tc>
          <w:tcPr>
            <w:tcW w:w="1728" w:type="dxa"/>
          </w:tcPr>
          <w:p w14:paraId="02500A4D" w14:textId="77777777" w:rsidR="00AC0468" w:rsidRDefault="00AC0468" w:rsidP="00FD5D22">
            <w:r>
              <w:t>Financial Reporting Controls</w:t>
            </w:r>
          </w:p>
        </w:tc>
        <w:tc>
          <w:tcPr>
            <w:tcW w:w="1728" w:type="dxa"/>
          </w:tcPr>
          <w:p w14:paraId="53A7CB38" w14:textId="77777777" w:rsidR="00AC0468" w:rsidRDefault="00AC0468" w:rsidP="00FD5D22">
            <w:r>
              <w:t>Executive responsibility for financial data integrity</w:t>
            </w:r>
          </w:p>
        </w:tc>
        <w:tc>
          <w:tcPr>
            <w:tcW w:w="1728" w:type="dxa"/>
          </w:tcPr>
          <w:p w14:paraId="672BF35E" w14:textId="77777777" w:rsidR="00AC0468" w:rsidRDefault="00AC0468" w:rsidP="00FD5D22">
            <w:r>
              <w:t>2.2.4</w:t>
            </w:r>
          </w:p>
        </w:tc>
      </w:tr>
      <w:tr w:rsidR="00AC0468" w14:paraId="330A65C1" w14:textId="77777777" w:rsidTr="00FD5D22">
        <w:tc>
          <w:tcPr>
            <w:tcW w:w="1728" w:type="dxa"/>
          </w:tcPr>
          <w:p w14:paraId="37C55266" w14:textId="77777777" w:rsidR="00AC0468" w:rsidRDefault="00AC0468" w:rsidP="00FD5D22">
            <w:r>
              <w:t>SOX</w:t>
            </w:r>
          </w:p>
        </w:tc>
        <w:tc>
          <w:tcPr>
            <w:tcW w:w="1728" w:type="dxa"/>
          </w:tcPr>
          <w:p w14:paraId="27F6D764" w14:textId="77777777" w:rsidR="00AC0468" w:rsidRDefault="00AC0468" w:rsidP="00FD5D22">
            <w:r>
              <w:t>SOX §404</w:t>
            </w:r>
          </w:p>
        </w:tc>
        <w:tc>
          <w:tcPr>
            <w:tcW w:w="1728" w:type="dxa"/>
          </w:tcPr>
          <w:p w14:paraId="43B1E3FB" w14:textId="77777777" w:rsidR="00AC0468" w:rsidRDefault="00AC0468" w:rsidP="00FD5D22">
            <w:r>
              <w:t>Internal Controls over Financial Reporting</w:t>
            </w:r>
          </w:p>
        </w:tc>
        <w:tc>
          <w:tcPr>
            <w:tcW w:w="1728" w:type="dxa"/>
          </w:tcPr>
          <w:p w14:paraId="1A83E70F" w14:textId="77777777" w:rsidR="00AC0468" w:rsidRDefault="00AC0468" w:rsidP="00FD5D22">
            <w:r>
              <w:t>Assessment and audit of financial system controls</w:t>
            </w:r>
          </w:p>
        </w:tc>
        <w:tc>
          <w:tcPr>
            <w:tcW w:w="1728" w:type="dxa"/>
          </w:tcPr>
          <w:p w14:paraId="5143D9E1" w14:textId="77777777" w:rsidR="00AC0468" w:rsidRDefault="00AC0468" w:rsidP="00FD5D22">
            <w:r>
              <w:t>1.4; 2.2.4</w:t>
            </w:r>
          </w:p>
        </w:tc>
      </w:tr>
      <w:tr w:rsidR="00AC0468" w14:paraId="0C2F0B01" w14:textId="77777777" w:rsidTr="00FD5D22">
        <w:tc>
          <w:tcPr>
            <w:tcW w:w="1728" w:type="dxa"/>
          </w:tcPr>
          <w:p w14:paraId="30EE6EDC" w14:textId="77777777" w:rsidR="00AC0468" w:rsidRDefault="00AC0468" w:rsidP="00FD5D22">
            <w:r>
              <w:t>SOX</w:t>
            </w:r>
          </w:p>
        </w:tc>
        <w:tc>
          <w:tcPr>
            <w:tcW w:w="1728" w:type="dxa"/>
          </w:tcPr>
          <w:p w14:paraId="461FCE48" w14:textId="77777777" w:rsidR="00AC0468" w:rsidRDefault="00AC0468" w:rsidP="00FD5D22">
            <w:r>
              <w:t>SOX §409</w:t>
            </w:r>
          </w:p>
        </w:tc>
        <w:tc>
          <w:tcPr>
            <w:tcW w:w="1728" w:type="dxa"/>
          </w:tcPr>
          <w:p w14:paraId="4D396A43" w14:textId="77777777" w:rsidR="00AC0468" w:rsidRDefault="00AC0468" w:rsidP="00FD5D22">
            <w:r>
              <w:t>Timely Disclosure</w:t>
            </w:r>
          </w:p>
        </w:tc>
        <w:tc>
          <w:tcPr>
            <w:tcW w:w="1728" w:type="dxa"/>
          </w:tcPr>
          <w:p w14:paraId="2EAE5878" w14:textId="77777777" w:rsidR="00AC0468" w:rsidRDefault="00AC0468" w:rsidP="00FD5D22">
            <w:r>
              <w:t>Rapid disclosure of material financial changes</w:t>
            </w:r>
          </w:p>
        </w:tc>
        <w:tc>
          <w:tcPr>
            <w:tcW w:w="1728" w:type="dxa"/>
          </w:tcPr>
          <w:p w14:paraId="7184BC0C" w14:textId="77777777" w:rsidR="00AC0468" w:rsidRDefault="00AC0468" w:rsidP="00FD5D22">
            <w:r>
              <w:t>1.3</w:t>
            </w:r>
          </w:p>
        </w:tc>
      </w:tr>
      <w:tr w:rsidR="00AC0468" w14:paraId="1D85925B" w14:textId="77777777" w:rsidTr="00FD5D22">
        <w:tc>
          <w:tcPr>
            <w:tcW w:w="1728" w:type="dxa"/>
          </w:tcPr>
          <w:p w14:paraId="03C5D565" w14:textId="77777777" w:rsidR="00AC0468" w:rsidRDefault="00AC0468" w:rsidP="00FD5D22">
            <w:r>
              <w:t>NIST CSF 2.0</w:t>
            </w:r>
          </w:p>
        </w:tc>
        <w:tc>
          <w:tcPr>
            <w:tcW w:w="1728" w:type="dxa"/>
          </w:tcPr>
          <w:p w14:paraId="579847BA" w14:textId="77777777" w:rsidR="00AC0468" w:rsidRDefault="00AC0468" w:rsidP="00FD5D22">
            <w:r>
              <w:t>ID.AM</w:t>
            </w:r>
          </w:p>
        </w:tc>
        <w:tc>
          <w:tcPr>
            <w:tcW w:w="1728" w:type="dxa"/>
          </w:tcPr>
          <w:p w14:paraId="080481B7" w14:textId="77777777" w:rsidR="00AC0468" w:rsidRDefault="00AC0468" w:rsidP="00FD5D22">
            <w:r>
              <w:t>Asset Management</w:t>
            </w:r>
          </w:p>
        </w:tc>
        <w:tc>
          <w:tcPr>
            <w:tcW w:w="1728" w:type="dxa"/>
          </w:tcPr>
          <w:p w14:paraId="2FF10679" w14:textId="77777777" w:rsidR="00AC0468" w:rsidRDefault="00AC0468" w:rsidP="00FD5D22">
            <w:r>
              <w:t>Identification and management of systems and data assets</w:t>
            </w:r>
          </w:p>
        </w:tc>
        <w:tc>
          <w:tcPr>
            <w:tcW w:w="1728" w:type="dxa"/>
          </w:tcPr>
          <w:p w14:paraId="4C922440" w14:textId="77777777" w:rsidR="00AC0468" w:rsidRDefault="00AC0468" w:rsidP="00FD5D22">
            <w:r>
              <w:t>2.1; 2.2</w:t>
            </w:r>
          </w:p>
        </w:tc>
      </w:tr>
      <w:tr w:rsidR="00AC0468" w14:paraId="1C4B92D5" w14:textId="77777777" w:rsidTr="00FD5D22">
        <w:tc>
          <w:tcPr>
            <w:tcW w:w="1728" w:type="dxa"/>
          </w:tcPr>
          <w:p w14:paraId="284C5E23" w14:textId="77777777" w:rsidR="00AC0468" w:rsidRDefault="00AC0468" w:rsidP="00FD5D22">
            <w:r>
              <w:t>NIST CSF 2.0</w:t>
            </w:r>
          </w:p>
        </w:tc>
        <w:tc>
          <w:tcPr>
            <w:tcW w:w="1728" w:type="dxa"/>
          </w:tcPr>
          <w:p w14:paraId="14C43D95" w14:textId="77777777" w:rsidR="00AC0468" w:rsidRDefault="00AC0468" w:rsidP="00FD5D22">
            <w:r>
              <w:t>PR.AA</w:t>
            </w:r>
          </w:p>
        </w:tc>
        <w:tc>
          <w:tcPr>
            <w:tcW w:w="1728" w:type="dxa"/>
          </w:tcPr>
          <w:p w14:paraId="477B40F0" w14:textId="77777777" w:rsidR="00AC0468" w:rsidRDefault="00AC0468" w:rsidP="00FD5D22">
            <w:r>
              <w:t>Identity &amp; Access Control</w:t>
            </w:r>
          </w:p>
        </w:tc>
        <w:tc>
          <w:tcPr>
            <w:tcW w:w="1728" w:type="dxa"/>
          </w:tcPr>
          <w:p w14:paraId="5E771FC9" w14:textId="77777777" w:rsidR="00AC0468" w:rsidRDefault="00AC0468" w:rsidP="00FD5D22">
            <w:r>
              <w:t xml:space="preserve">Authentication and authorization of </w:t>
            </w:r>
            <w:r>
              <w:lastRenderedPageBreak/>
              <w:t>users</w:t>
            </w:r>
          </w:p>
        </w:tc>
        <w:tc>
          <w:tcPr>
            <w:tcW w:w="1728" w:type="dxa"/>
          </w:tcPr>
          <w:p w14:paraId="1B0B51BD" w14:textId="77777777" w:rsidR="00AC0468" w:rsidRDefault="00AC0468" w:rsidP="00FD5D22">
            <w:r>
              <w:lastRenderedPageBreak/>
              <w:t>2.2.3</w:t>
            </w:r>
          </w:p>
        </w:tc>
      </w:tr>
      <w:tr w:rsidR="00AC0468" w14:paraId="51363800" w14:textId="77777777" w:rsidTr="00FD5D22">
        <w:tc>
          <w:tcPr>
            <w:tcW w:w="1728" w:type="dxa"/>
          </w:tcPr>
          <w:p w14:paraId="1A4CC0AF" w14:textId="77777777" w:rsidR="00AC0468" w:rsidRDefault="00AC0468" w:rsidP="00FD5D22">
            <w:r>
              <w:t>NIST CSF 2.0</w:t>
            </w:r>
          </w:p>
        </w:tc>
        <w:tc>
          <w:tcPr>
            <w:tcW w:w="1728" w:type="dxa"/>
          </w:tcPr>
          <w:p w14:paraId="0D88C21C" w14:textId="77777777" w:rsidR="00AC0468" w:rsidRDefault="00AC0468" w:rsidP="00FD5D22">
            <w:r>
              <w:t>PR.DS</w:t>
            </w:r>
          </w:p>
        </w:tc>
        <w:tc>
          <w:tcPr>
            <w:tcW w:w="1728" w:type="dxa"/>
          </w:tcPr>
          <w:p w14:paraId="528B590E" w14:textId="77777777" w:rsidR="00AC0468" w:rsidRDefault="00AC0468" w:rsidP="00FD5D22">
            <w:r>
              <w:t>Data Security</w:t>
            </w:r>
          </w:p>
        </w:tc>
        <w:tc>
          <w:tcPr>
            <w:tcW w:w="1728" w:type="dxa"/>
          </w:tcPr>
          <w:p w14:paraId="46E4405B" w14:textId="77777777" w:rsidR="00AC0468" w:rsidRDefault="00AC0468" w:rsidP="00FD5D22">
            <w:r>
              <w:t>Protection of data at rest and in transit</w:t>
            </w:r>
          </w:p>
        </w:tc>
        <w:tc>
          <w:tcPr>
            <w:tcW w:w="1728" w:type="dxa"/>
          </w:tcPr>
          <w:p w14:paraId="3D85CDD5" w14:textId="77777777" w:rsidR="00AC0468" w:rsidRDefault="00AC0468" w:rsidP="00FD5D22">
            <w:r>
              <w:t>2.2.1; 2.2.2</w:t>
            </w:r>
          </w:p>
        </w:tc>
      </w:tr>
      <w:tr w:rsidR="00AC0468" w14:paraId="380A4EE5" w14:textId="77777777" w:rsidTr="00FD5D22">
        <w:tc>
          <w:tcPr>
            <w:tcW w:w="1728" w:type="dxa"/>
          </w:tcPr>
          <w:p w14:paraId="280F26C0" w14:textId="77777777" w:rsidR="00AC0468" w:rsidRDefault="00AC0468" w:rsidP="00FD5D22">
            <w:r>
              <w:t>NIST CSF 2.0</w:t>
            </w:r>
          </w:p>
        </w:tc>
        <w:tc>
          <w:tcPr>
            <w:tcW w:w="1728" w:type="dxa"/>
          </w:tcPr>
          <w:p w14:paraId="684E69EA" w14:textId="77777777" w:rsidR="00AC0468" w:rsidRDefault="00AC0468" w:rsidP="00FD5D22">
            <w:r>
              <w:t>DE.CM</w:t>
            </w:r>
          </w:p>
        </w:tc>
        <w:tc>
          <w:tcPr>
            <w:tcW w:w="1728" w:type="dxa"/>
          </w:tcPr>
          <w:p w14:paraId="234231DE" w14:textId="77777777" w:rsidR="00AC0468" w:rsidRDefault="00AC0468" w:rsidP="00FD5D22">
            <w:r>
              <w:t>Security Monitoring</w:t>
            </w:r>
          </w:p>
        </w:tc>
        <w:tc>
          <w:tcPr>
            <w:tcW w:w="1728" w:type="dxa"/>
          </w:tcPr>
          <w:p w14:paraId="3D7FCECA" w14:textId="77777777" w:rsidR="00AC0468" w:rsidRDefault="00AC0468" w:rsidP="00FD5D22">
            <w:r>
              <w:t>Continuous monitoring for anomalies</w:t>
            </w:r>
          </w:p>
        </w:tc>
        <w:tc>
          <w:tcPr>
            <w:tcW w:w="1728" w:type="dxa"/>
          </w:tcPr>
          <w:p w14:paraId="6B2CFD9D" w14:textId="77777777" w:rsidR="00AC0468" w:rsidRDefault="00AC0468" w:rsidP="00FD5D22">
            <w:r>
              <w:t>2.2.5</w:t>
            </w:r>
          </w:p>
        </w:tc>
      </w:tr>
      <w:tr w:rsidR="00AC0468" w14:paraId="18A8898C" w14:textId="77777777" w:rsidTr="00FD5D22">
        <w:tc>
          <w:tcPr>
            <w:tcW w:w="1728" w:type="dxa"/>
          </w:tcPr>
          <w:p w14:paraId="7E817F61" w14:textId="77777777" w:rsidR="00AC0468" w:rsidRDefault="00AC0468" w:rsidP="00FD5D22">
            <w:r>
              <w:t>NIST CSF 2.0</w:t>
            </w:r>
          </w:p>
        </w:tc>
        <w:tc>
          <w:tcPr>
            <w:tcW w:w="1728" w:type="dxa"/>
          </w:tcPr>
          <w:p w14:paraId="4900A46C" w14:textId="77777777" w:rsidR="00AC0468" w:rsidRDefault="00AC0468" w:rsidP="00FD5D22">
            <w:r>
              <w:t>RS.IR</w:t>
            </w:r>
          </w:p>
        </w:tc>
        <w:tc>
          <w:tcPr>
            <w:tcW w:w="1728" w:type="dxa"/>
          </w:tcPr>
          <w:p w14:paraId="38B0AA90" w14:textId="77777777" w:rsidR="00AC0468" w:rsidRDefault="00AC0468" w:rsidP="00FD5D22">
            <w:r>
              <w:t>Incident Response</w:t>
            </w:r>
          </w:p>
        </w:tc>
        <w:tc>
          <w:tcPr>
            <w:tcW w:w="1728" w:type="dxa"/>
          </w:tcPr>
          <w:p w14:paraId="6C8C1C4B" w14:textId="77777777" w:rsidR="00AC0468" w:rsidRDefault="00AC0468" w:rsidP="00FD5D22">
            <w:r>
              <w:t>Response processes for cybersecurity incidents</w:t>
            </w:r>
          </w:p>
        </w:tc>
        <w:tc>
          <w:tcPr>
            <w:tcW w:w="1728" w:type="dxa"/>
          </w:tcPr>
          <w:p w14:paraId="56265C1C" w14:textId="77777777" w:rsidR="00AC0468" w:rsidRDefault="00AC0468" w:rsidP="00FD5D22">
            <w:r>
              <w:t>1.3</w:t>
            </w:r>
          </w:p>
        </w:tc>
      </w:tr>
      <w:tr w:rsidR="00AC0468" w14:paraId="344FE026" w14:textId="77777777" w:rsidTr="00FD5D22">
        <w:tc>
          <w:tcPr>
            <w:tcW w:w="1728" w:type="dxa"/>
          </w:tcPr>
          <w:p w14:paraId="14B17E81" w14:textId="77777777" w:rsidR="00AC0468" w:rsidRDefault="00AC0468" w:rsidP="00FD5D22">
            <w:r>
              <w:t>NIST CSF 2.0</w:t>
            </w:r>
          </w:p>
        </w:tc>
        <w:tc>
          <w:tcPr>
            <w:tcW w:w="1728" w:type="dxa"/>
          </w:tcPr>
          <w:p w14:paraId="784EC8A4" w14:textId="77777777" w:rsidR="00AC0468" w:rsidRDefault="00AC0468" w:rsidP="00FD5D22">
            <w:r>
              <w:t>RC.RP</w:t>
            </w:r>
          </w:p>
        </w:tc>
        <w:tc>
          <w:tcPr>
            <w:tcW w:w="1728" w:type="dxa"/>
          </w:tcPr>
          <w:p w14:paraId="01743B1C" w14:textId="77777777" w:rsidR="00AC0468" w:rsidRDefault="00AC0468" w:rsidP="00FD5D22">
            <w:r>
              <w:t>Recovery Planning</w:t>
            </w:r>
          </w:p>
        </w:tc>
        <w:tc>
          <w:tcPr>
            <w:tcW w:w="1728" w:type="dxa"/>
          </w:tcPr>
          <w:p w14:paraId="630C5A7D" w14:textId="77777777" w:rsidR="00AC0468" w:rsidRDefault="00AC0468" w:rsidP="00FD5D22">
            <w:r>
              <w:t>Restoration of services after incidents</w:t>
            </w:r>
          </w:p>
        </w:tc>
        <w:tc>
          <w:tcPr>
            <w:tcW w:w="1728" w:type="dxa"/>
          </w:tcPr>
          <w:p w14:paraId="6BF86BE3" w14:textId="77777777" w:rsidR="00AC0468" w:rsidRDefault="00AC0468" w:rsidP="00FD5D22">
            <w:r>
              <w:t>1.4</w:t>
            </w:r>
          </w:p>
        </w:tc>
      </w:tr>
    </w:tbl>
    <w:p w14:paraId="7756CEDE" w14:textId="77777777" w:rsidR="00AC0468" w:rsidRDefault="00AC0468" w:rsidP="00AC0468"/>
    <w:p w14:paraId="7B2516F1" w14:textId="77777777" w:rsidR="00AC0468" w:rsidRDefault="00AC0468"/>
    <w:p w14:paraId="7FA351E6" w14:textId="77777777" w:rsidR="008B67C4" w:rsidRDefault="008B67C4"/>
    <w:sectPr w:rsidR="008B6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265569">
    <w:abstractNumId w:val="8"/>
  </w:num>
  <w:num w:numId="2" w16cid:durableId="201594798">
    <w:abstractNumId w:val="6"/>
  </w:num>
  <w:num w:numId="3" w16cid:durableId="2044789144">
    <w:abstractNumId w:val="5"/>
  </w:num>
  <w:num w:numId="4" w16cid:durableId="1310209459">
    <w:abstractNumId w:val="4"/>
  </w:num>
  <w:num w:numId="5" w16cid:durableId="1458185124">
    <w:abstractNumId w:val="7"/>
  </w:num>
  <w:num w:numId="6" w16cid:durableId="1125273518">
    <w:abstractNumId w:val="3"/>
  </w:num>
  <w:num w:numId="7" w16cid:durableId="1403674985">
    <w:abstractNumId w:val="2"/>
  </w:num>
  <w:num w:numId="8" w16cid:durableId="649284210">
    <w:abstractNumId w:val="1"/>
  </w:num>
  <w:num w:numId="9" w16cid:durableId="206105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063"/>
    <w:rsid w:val="00326F90"/>
    <w:rsid w:val="008B67C4"/>
    <w:rsid w:val="00AA1D8D"/>
    <w:rsid w:val="00AC0468"/>
    <w:rsid w:val="00B47730"/>
    <w:rsid w:val="00CB0664"/>
    <w:rsid w:val="00D24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E8D1A"/>
  <w14:defaultImageDpi w14:val="300"/>
  <w15:docId w15:val="{6D00EB34-FD66-114C-9244-AC2E1597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275</Words>
  <Characters>1828</Characters>
  <Application>Microsoft Office Word</Application>
  <DocSecurity>0</DocSecurity>
  <Lines>87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3</cp:revision>
  <dcterms:created xsi:type="dcterms:W3CDTF">2013-12-23T23:15:00Z</dcterms:created>
  <dcterms:modified xsi:type="dcterms:W3CDTF">2026-02-03T11:26:00Z</dcterms:modified>
  <cp:category/>
</cp:coreProperties>
</file>