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Stride ISP / IISP Policy Summary &amp; Control Cross‑Reference — v4 (Draft)</w:t>
      </w:r>
    </w:p>
    <w:p>
      <w:r>
        <w:t>Purpose: Consolidated, control‑first cross‑reference of Stride ISP and IISP policies mapped to NIST CSF 2.0, FERPA, and SOX 404. This draft normalizes primary vs supporting policy coverage and highlights governance gaps for remediation.</w:t>
      </w:r>
    </w:p>
    <w:p>
      <w:pPr>
        <w:pStyle w:val="Heading1"/>
      </w:pPr>
      <w:r>
        <w:t>Normalized Control Mapping</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Framework</w:t>
            </w:r>
          </w:p>
        </w:tc>
        <w:tc>
          <w:tcPr>
            <w:tcW w:type="dxa" w:w="1728"/>
          </w:tcPr>
          <w:p>
            <w:r>
              <w:t>Control / Requirement</w:t>
            </w:r>
          </w:p>
        </w:tc>
        <w:tc>
          <w:tcPr>
            <w:tcW w:type="dxa" w:w="1728"/>
          </w:tcPr>
          <w:p>
            <w:r>
              <w:t>Primary Policies</w:t>
            </w:r>
          </w:p>
        </w:tc>
        <w:tc>
          <w:tcPr>
            <w:tcW w:type="dxa" w:w="1728"/>
          </w:tcPr>
          <w:p>
            <w:r>
              <w:t>Supporting Policies</w:t>
            </w:r>
          </w:p>
        </w:tc>
        <w:tc>
          <w:tcPr>
            <w:tcW w:type="dxa" w:w="1728"/>
          </w:tcPr>
          <w:p>
            <w:r>
              <w:t>Notes</w:t>
            </w:r>
          </w:p>
        </w:tc>
      </w:tr>
      <w:tr>
        <w:tc>
          <w:tcPr>
            <w:tcW w:type="dxa" w:w="1728"/>
          </w:tcPr>
          <w:p>
            <w:r>
              <w:t>NIST CSF 2.0</w:t>
            </w:r>
          </w:p>
        </w:tc>
        <w:tc>
          <w:tcPr>
            <w:tcW w:type="dxa" w:w="1728"/>
          </w:tcPr>
          <w:p>
            <w:r>
              <w:t>GV.PO‑01 Policy &amp; Governance</w:t>
            </w:r>
          </w:p>
        </w:tc>
        <w:tc>
          <w:tcPr>
            <w:tcW w:type="dxa" w:w="1728"/>
          </w:tcPr>
          <w:p>
            <w:r>
              <w:t>ISP 1.0; ISP 1.1</w:t>
            </w:r>
          </w:p>
        </w:tc>
        <w:tc>
          <w:tcPr>
            <w:tcW w:type="dxa" w:w="1728"/>
          </w:tcPr>
          <w:p>
            <w:r>
              <w:t>IISP 4.0; IISP 5.0</w:t>
            </w:r>
          </w:p>
        </w:tc>
        <w:tc>
          <w:tcPr>
            <w:tcW w:type="dxa" w:w="1728"/>
          </w:tcPr>
          <w:p>
            <w:r>
              <w:t>Program authority with implementation enforcement</w:t>
            </w:r>
          </w:p>
        </w:tc>
      </w:tr>
      <w:tr>
        <w:tc>
          <w:tcPr>
            <w:tcW w:type="dxa" w:w="1728"/>
          </w:tcPr>
          <w:p>
            <w:r>
              <w:t>NIST CSF 2.0</w:t>
            </w:r>
          </w:p>
        </w:tc>
        <w:tc>
          <w:tcPr>
            <w:tcW w:type="dxa" w:w="1728"/>
          </w:tcPr>
          <w:p>
            <w:r>
              <w:t>GV.RM‑01 Risk Strategy</w:t>
            </w:r>
          </w:p>
        </w:tc>
        <w:tc>
          <w:tcPr>
            <w:tcW w:type="dxa" w:w="1728"/>
          </w:tcPr>
          <w:p>
            <w:r>
              <w:t>ISP 2.2</w:t>
            </w:r>
          </w:p>
        </w:tc>
        <w:tc>
          <w:tcPr>
            <w:tcW w:type="dxa" w:w="1728"/>
          </w:tcPr>
          <w:p>
            <w:r>
              <w:t>ISP 2.1</w:t>
            </w:r>
          </w:p>
        </w:tc>
        <w:tc>
          <w:tcPr>
            <w:tcW w:type="dxa" w:w="1728"/>
          </w:tcPr>
          <w:p>
            <w:r>
              <w:t>Risk appetite defined; context inherited</w:t>
            </w:r>
          </w:p>
        </w:tc>
      </w:tr>
      <w:tr>
        <w:tc>
          <w:tcPr>
            <w:tcW w:type="dxa" w:w="1728"/>
          </w:tcPr>
          <w:p>
            <w:r>
              <w:t>NIST CSF 2.0</w:t>
            </w:r>
          </w:p>
        </w:tc>
        <w:tc>
          <w:tcPr>
            <w:tcW w:type="dxa" w:w="1728"/>
          </w:tcPr>
          <w:p>
            <w:r>
              <w:t>GV.RR‑01 Roles &amp; Accountability</w:t>
            </w:r>
          </w:p>
        </w:tc>
        <w:tc>
          <w:tcPr>
            <w:tcW w:type="dxa" w:w="1728"/>
          </w:tcPr>
          <w:p>
            <w:r>
              <w:t>ISP 2.3</w:t>
            </w:r>
          </w:p>
        </w:tc>
        <w:tc>
          <w:tcPr>
            <w:tcW w:type="dxa" w:w="1728"/>
          </w:tcPr>
          <w:p>
            <w:r>
              <w:t>ISP 1.0</w:t>
            </w:r>
          </w:p>
        </w:tc>
        <w:tc>
          <w:tcPr>
            <w:tcW w:type="dxa" w:w="1728"/>
          </w:tcPr>
          <w:p>
            <w:r>
              <w:t>Clear ownership and RACI</w:t>
            </w:r>
          </w:p>
        </w:tc>
      </w:tr>
      <w:tr>
        <w:tc>
          <w:tcPr>
            <w:tcW w:type="dxa" w:w="1728"/>
          </w:tcPr>
          <w:p>
            <w:r>
              <w:t>NIST CSF 2.0</w:t>
            </w:r>
          </w:p>
        </w:tc>
        <w:tc>
          <w:tcPr>
            <w:tcW w:type="dxa" w:w="1728"/>
          </w:tcPr>
          <w:p>
            <w:r>
              <w:t>PR.AA‑05 Privileged Access</w:t>
            </w:r>
          </w:p>
        </w:tc>
        <w:tc>
          <w:tcPr>
            <w:tcW w:type="dxa" w:w="1728"/>
          </w:tcPr>
          <w:p>
            <w:r>
              <w:t>IISP 4.0; IISP 9.0</w:t>
            </w:r>
          </w:p>
        </w:tc>
        <w:tc>
          <w:tcPr>
            <w:tcW w:type="dxa" w:w="1728"/>
          </w:tcPr>
          <w:p>
            <w:r>
              <w:t>IISP 10.0</w:t>
            </w:r>
          </w:p>
        </w:tc>
        <w:tc>
          <w:tcPr>
            <w:tcW w:type="dxa" w:w="1728"/>
          </w:tcPr>
          <w:p>
            <w:r>
              <w:t>Privileged access + forensic separation</w:t>
            </w:r>
          </w:p>
        </w:tc>
      </w:tr>
      <w:tr>
        <w:tc>
          <w:tcPr>
            <w:tcW w:type="dxa" w:w="1728"/>
          </w:tcPr>
          <w:p>
            <w:r>
              <w:t>NIST CSF 2.0</w:t>
            </w:r>
          </w:p>
        </w:tc>
        <w:tc>
          <w:tcPr>
            <w:tcW w:type="dxa" w:w="1728"/>
          </w:tcPr>
          <w:p>
            <w:r>
              <w:t>PR.DS‑01 Data Protection</w:t>
            </w:r>
          </w:p>
        </w:tc>
        <w:tc>
          <w:tcPr>
            <w:tcW w:type="dxa" w:w="1728"/>
          </w:tcPr>
          <w:p>
            <w:r>
              <w:t>IISP 2.0</w:t>
            </w:r>
          </w:p>
        </w:tc>
        <w:tc>
          <w:tcPr>
            <w:tcW w:type="dxa" w:w="1728"/>
          </w:tcPr>
          <w:p>
            <w:r>
              <w:t>IISP 4.0; IISP 5.0</w:t>
            </w:r>
          </w:p>
        </w:tc>
        <w:tc>
          <w:tcPr>
            <w:tcW w:type="dxa" w:w="1728"/>
          </w:tcPr>
          <w:p>
            <w:r>
              <w:t>Classification drives control strength</w:t>
            </w:r>
          </w:p>
        </w:tc>
      </w:tr>
      <w:tr>
        <w:tc>
          <w:tcPr>
            <w:tcW w:type="dxa" w:w="1728"/>
          </w:tcPr>
          <w:p>
            <w:r>
              <w:t>NIST CSF 2.0</w:t>
            </w:r>
          </w:p>
        </w:tc>
        <w:tc>
          <w:tcPr>
            <w:tcW w:type="dxa" w:w="1728"/>
          </w:tcPr>
          <w:p>
            <w:r>
              <w:t>DE.CM‑09 Continuous Monitoring</w:t>
            </w:r>
          </w:p>
        </w:tc>
        <w:tc>
          <w:tcPr>
            <w:tcW w:type="dxa" w:w="1728"/>
          </w:tcPr>
          <w:p>
            <w:r>
              <w:t>IISP 7.0; IISP 9.0</w:t>
            </w:r>
          </w:p>
        </w:tc>
        <w:tc>
          <w:tcPr>
            <w:tcW w:type="dxa" w:w="1728"/>
          </w:tcPr>
          <w:p>
            <w:r>
              <w:t>—</w:t>
            </w:r>
          </w:p>
        </w:tc>
        <w:tc>
          <w:tcPr>
            <w:tcW w:type="dxa" w:w="1728"/>
          </w:tcPr>
          <w:p>
            <w:r>
              <w:t>Vulnerability and SDLC telemetry</w:t>
            </w:r>
          </w:p>
        </w:tc>
      </w:tr>
      <w:tr>
        <w:tc>
          <w:tcPr>
            <w:tcW w:type="dxa" w:w="1728"/>
          </w:tcPr>
          <w:p>
            <w:r>
              <w:t>FERPA</w:t>
            </w:r>
          </w:p>
        </w:tc>
        <w:tc>
          <w:tcPr>
            <w:tcW w:type="dxa" w:w="1728"/>
          </w:tcPr>
          <w:p>
            <w:r>
              <w:t>34 CFR §99.30 Consent</w:t>
            </w:r>
          </w:p>
        </w:tc>
        <w:tc>
          <w:tcPr>
            <w:tcW w:type="dxa" w:w="1728"/>
          </w:tcPr>
          <w:p>
            <w:r>
              <w:t>IISP 2.0</w:t>
            </w:r>
          </w:p>
        </w:tc>
        <w:tc>
          <w:tcPr>
            <w:tcW w:type="dxa" w:w="1728"/>
          </w:tcPr>
          <w:p>
            <w:r>
              <w:t>IISP 4.0; IISP 8.0</w:t>
            </w:r>
          </w:p>
        </w:tc>
        <w:tc>
          <w:tcPr>
            <w:tcW w:type="dxa" w:w="1728"/>
          </w:tcPr>
          <w:p>
            <w:r>
              <w:t>Authorization and disclosure limits</w:t>
            </w:r>
          </w:p>
        </w:tc>
      </w:tr>
      <w:tr>
        <w:tc>
          <w:tcPr>
            <w:tcW w:type="dxa" w:w="1728"/>
          </w:tcPr>
          <w:p>
            <w:r>
              <w:t>FERPA</w:t>
            </w:r>
          </w:p>
        </w:tc>
        <w:tc>
          <w:tcPr>
            <w:tcW w:type="dxa" w:w="1728"/>
          </w:tcPr>
          <w:p>
            <w:r>
              <w:t>34 CFR §99.31 Exceptions</w:t>
            </w:r>
          </w:p>
        </w:tc>
        <w:tc>
          <w:tcPr>
            <w:tcW w:type="dxa" w:w="1728"/>
          </w:tcPr>
          <w:p>
            <w:r>
              <w:t>—</w:t>
            </w:r>
          </w:p>
        </w:tc>
        <w:tc>
          <w:tcPr>
            <w:tcW w:type="dxa" w:w="1728"/>
          </w:tcPr>
          <w:p>
            <w:r>
              <w:t>—</w:t>
            </w:r>
          </w:p>
        </w:tc>
        <w:tc>
          <w:tcPr>
            <w:tcW w:type="dxa" w:w="1728"/>
          </w:tcPr>
          <w:p>
            <w:r>
              <w:t>Governance gap — handled procedurally</w:t>
            </w:r>
          </w:p>
        </w:tc>
      </w:tr>
      <w:tr>
        <w:tc>
          <w:tcPr>
            <w:tcW w:type="dxa" w:w="1728"/>
          </w:tcPr>
          <w:p>
            <w:r>
              <w:t>FERPA</w:t>
            </w:r>
          </w:p>
        </w:tc>
        <w:tc>
          <w:tcPr>
            <w:tcW w:type="dxa" w:w="1728"/>
          </w:tcPr>
          <w:p>
            <w:r>
              <w:t>34 CFR §99.33 Redisclosure</w:t>
            </w:r>
          </w:p>
        </w:tc>
        <w:tc>
          <w:tcPr>
            <w:tcW w:type="dxa" w:w="1728"/>
          </w:tcPr>
          <w:p>
            <w:r>
              <w:t>—</w:t>
            </w:r>
          </w:p>
        </w:tc>
        <w:tc>
          <w:tcPr>
            <w:tcW w:type="dxa" w:w="1728"/>
          </w:tcPr>
          <w:p>
            <w:r>
              <w:t>—</w:t>
            </w:r>
          </w:p>
        </w:tc>
        <w:tc>
          <w:tcPr>
            <w:tcW w:type="dxa" w:w="1728"/>
          </w:tcPr>
          <w:p>
            <w:r>
              <w:t>Governance gap — document for remediation</w:t>
            </w:r>
          </w:p>
        </w:tc>
      </w:tr>
      <w:tr>
        <w:tc>
          <w:tcPr>
            <w:tcW w:type="dxa" w:w="1728"/>
          </w:tcPr>
          <w:p>
            <w:r>
              <w:t>SOX 404</w:t>
            </w:r>
          </w:p>
        </w:tc>
        <w:tc>
          <w:tcPr>
            <w:tcW w:type="dxa" w:w="1728"/>
          </w:tcPr>
          <w:p>
            <w:r>
              <w:t>ITGC – Access</w:t>
            </w:r>
          </w:p>
        </w:tc>
        <w:tc>
          <w:tcPr>
            <w:tcW w:type="dxa" w:w="1728"/>
          </w:tcPr>
          <w:p>
            <w:r>
              <w:t>IISP 4.0; IISP 9.0</w:t>
            </w:r>
          </w:p>
        </w:tc>
        <w:tc>
          <w:tcPr>
            <w:tcW w:type="dxa" w:w="1728"/>
          </w:tcPr>
          <w:p>
            <w:r>
              <w:t>IISP 8.0</w:t>
            </w:r>
          </w:p>
        </w:tc>
        <w:tc>
          <w:tcPr>
            <w:tcW w:type="dxa" w:w="1728"/>
          </w:tcPr>
          <w:p>
            <w:r>
              <w:t>Least privilege and MFA</w:t>
            </w:r>
          </w:p>
        </w:tc>
      </w:tr>
      <w:tr>
        <w:tc>
          <w:tcPr>
            <w:tcW w:type="dxa" w:w="1728"/>
          </w:tcPr>
          <w:p>
            <w:r>
              <w:t>SOX 404</w:t>
            </w:r>
          </w:p>
        </w:tc>
        <w:tc>
          <w:tcPr>
            <w:tcW w:type="dxa" w:w="1728"/>
          </w:tcPr>
          <w:p>
            <w:r>
              <w:t>ITGC – Change</w:t>
            </w:r>
          </w:p>
        </w:tc>
        <w:tc>
          <w:tcPr>
            <w:tcW w:type="dxa" w:w="1728"/>
          </w:tcPr>
          <w:p>
            <w:r>
              <w:t>IISP 7.0; IISP 9.0</w:t>
            </w:r>
          </w:p>
        </w:tc>
        <w:tc>
          <w:tcPr>
            <w:tcW w:type="dxa" w:w="1728"/>
          </w:tcPr>
          <w:p>
            <w:r>
              <w:t>—</w:t>
            </w:r>
          </w:p>
        </w:tc>
        <w:tc>
          <w:tcPr>
            <w:tcW w:type="dxa" w:w="1728"/>
          </w:tcPr>
          <w:p>
            <w:r>
              <w:t>Change and release gates</w:t>
            </w:r>
          </w:p>
        </w:tc>
      </w:tr>
      <w:tr>
        <w:tc>
          <w:tcPr>
            <w:tcW w:type="dxa" w:w="1728"/>
          </w:tcPr>
          <w:p>
            <w:r>
              <w:t>SOX 404</w:t>
            </w:r>
          </w:p>
        </w:tc>
        <w:tc>
          <w:tcPr>
            <w:tcW w:type="dxa" w:w="1728"/>
          </w:tcPr>
          <w:p>
            <w:r>
              <w:t>ITGC – Operations</w:t>
            </w:r>
          </w:p>
        </w:tc>
        <w:tc>
          <w:tcPr>
            <w:tcW w:type="dxa" w:w="1728"/>
          </w:tcPr>
          <w:p>
            <w:r>
              <w:t>IISP 9.0; IISP 10.0</w:t>
            </w:r>
          </w:p>
        </w:tc>
        <w:tc>
          <w:tcPr>
            <w:tcW w:type="dxa" w:w="1728"/>
          </w:tcPr>
          <w:p>
            <w:r>
              <w:t>—</w:t>
            </w:r>
          </w:p>
        </w:tc>
        <w:tc>
          <w:tcPr>
            <w:tcW w:type="dxa" w:w="1728"/>
          </w:tcPr>
          <w:p>
            <w:r>
              <w:t>Logging, evidence, chain‑of‑custody</w:t>
            </w:r>
          </w:p>
        </w:tc>
      </w:tr>
    </w:tbl>
    <w:p>
      <w:pPr>
        <w:pStyle w:val="Heading1"/>
      </w:pPr>
      <w:r>
        <w:t>Identified Gaps &amp; Actions</w:t>
      </w:r>
    </w:p>
    <w:p>
      <w:r>
        <w:t>FERPA exception governance (§99.31) and redisclosure (§99.33) are not explicitly codified in IISP text and should be addressed via either policy amendments or formal governance standards with evidence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