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E7D32"/>
          <w:sz w:val="56"/>
        </w:rPr>
        <w:t>Stride Application Security Review</w:t>
        <w:br/>
        <w:t>Questionnaire</w:t>
      </w:r>
    </w:p>
    <w:p>
      <w:pPr>
        <w:jc w:val="center"/>
      </w:pPr>
      <w:r>
        <w:rPr>
          <w:b w:val="0"/>
          <w:i w:val="0"/>
          <w:color w:val="757575"/>
          <w:sz w:val="36"/>
        </w:rPr>
        <w:t>Version 3.0</w:t>
      </w:r>
    </w:p>
    <w:p>
      <w:pPr>
        <w:jc w:val="center"/>
      </w:pPr>
      <w:r>
        <w:rPr>
          <w:b w:val="0"/>
          <w:i w:val="0"/>
          <w:sz w:val="28"/>
        </w:rPr>
        <w:t>Stride — K12 Inc.</w:t>
      </w:r>
    </w:p>
    <w:p>
      <w:pPr>
        <w:jc w:val="center"/>
      </w:pPr>
      <w:r>
        <w:rPr>
          <w:b w:val="0"/>
          <w:i w:val="0"/>
          <w:color w:val="757575"/>
          <w:sz w:val="24"/>
        </w:rPr>
        <w:t>Information Security &amp; Governance</w:t>
      </w:r>
    </w:p>
    <w:p/>
    <w:p>
      <w:pPr>
        <w:jc w:val="center"/>
      </w:pPr>
      <w:r>
        <w:rPr>
          <w:b w:val="0"/>
          <w:i w:val="0"/>
          <w:color w:val="757575"/>
          <w:sz w:val="20"/>
        </w:rPr>
        <w:t>Discrete-choice questionnaire for application security risk assessment.</w:t>
      </w:r>
    </w:p>
    <w:p>
      <w:pPr>
        <w:jc w:val="center"/>
      </w:pPr>
      <w:r>
        <w:rPr>
          <w:b w:val="0"/>
          <w:i w:val="0"/>
          <w:color w:val="757575"/>
          <w:sz w:val="20"/>
        </w:rPr>
        <w:t>Organized by policy domain with regulatory cross-references.</w:t>
      </w:r>
    </w:p>
    <w:p>
      <w:pPr>
        <w:jc w:val="center"/>
      </w:pPr>
      <w:r>
        <w:rPr>
          <w:b w:val="0"/>
          <w:i w:val="0"/>
          <w:color w:val="757575"/>
          <w:sz w:val="20"/>
        </w:rPr>
        <w:t>Frameworks: NIST CSF 2.0 | FERPA (34 CFR Part 99) | SOX §404 ITGC</w:t>
      </w:r>
    </w:p>
    <w:p>
      <w:pPr>
        <w:jc w:val="center"/>
      </w:pPr>
      <w:r>
        <w:rPr>
          <w:b w:val="0"/>
          <w:i w:val="0"/>
          <w:color w:val="757575"/>
          <w:sz w:val="20"/>
        </w:rPr>
      </w:r>
    </w:p>
    <w:p>
      <w:pPr>
        <w:jc w:val="center"/>
      </w:pPr>
      <w:r>
        <w:rPr>
          <w:b w:val="0"/>
          <w:i w:val="0"/>
          <w:color w:val="757575"/>
          <w:sz w:val="20"/>
        </w:rPr>
        <w:t>Supersedes: ASR Checklist V2</w:t>
      </w:r>
    </w:p>
    <w:p/>
    <w:p>
      <w:pPr>
        <w:jc w:val="center"/>
      </w:pPr>
      <w:r>
        <w:rPr>
          <w:b w:val="0"/>
          <w:i w:val="0"/>
          <w:sz w:val="20"/>
        </w:rPr>
        <w:t>Document Date: March 3, 2026</w:t>
      </w:r>
    </w:p>
    <w:p>
      <w:pPr>
        <w:jc w:val="center"/>
      </w:pPr>
      <w:r>
        <w:rPr>
          <w:b w:val="0"/>
          <w:i w:val="0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t>Purpose</w:t>
      </w:r>
    </w:p>
    <w:p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>
      <w:pPr>
        <w:pStyle w:val="Heading2"/>
      </w:pPr>
      <w:r>
        <w:t>How to Complete</w:t>
      </w:r>
    </w:p>
    <w:p>
      <w:pPr>
        <w:pStyle w:val="ListNumber"/>
      </w:pPr>
      <w:r>
        <w:t>For each question, select exactly one response that best describes the current state.</w:t>
      </w:r>
    </w:p>
    <w:p>
      <w:pPr>
        <w:pStyle w:val="ListNumber"/>
      </w:pPr>
      <w:r>
        <w:t>Mark your selection with ✓ or X in the checkbox column.</w:t>
      </w:r>
    </w:p>
    <w:p>
      <w:pPr>
        <w:pStyle w:val="ListNumber"/>
      </w:pPr>
      <w:r>
        <w:t>Questions marked Critical require immediate attention if the response indicates a gap.</w:t>
      </w:r>
    </w:p>
    <w:p>
      <w:pPr>
        <w:pStyle w:val="ListNumber"/>
      </w:pPr>
      <w:r>
        <w:t>If a question is not applicable, select "N/A" and provide a brief justification.</w:t>
      </w:r>
    </w:p>
    <w:p>
      <w:pPr>
        <w:pStyle w:val="Heading2"/>
      </w:pPr>
      <w:r>
        <w:t>Scoring Model</w:t>
      </w:r>
    </w:p>
    <w:p>
      <w:r>
        <w:rPr>
          <w:b/>
          <w:i w:val="0"/>
        </w:rPr>
        <w:t>Weight Tiers: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Weight Tier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Escalation</w:t>
            </w:r>
          </w:p>
        </w:tc>
      </w:tr>
      <w:tr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</w:tr>
      <w:tr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</w:tr>
      <w:tr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</w:tr>
      <w:tr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  <w:tc>
          <w:tcPr>
            <w:tcW w:type="dxa" w:w="3420"/>
          </w:tcPr>
          <w:p/>
        </w:tc>
      </w:tr>
      <w:tr>
        <w:tc>
          <w:tcPr>
            <w:tcW w:type="dxa" w:w="3420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Highest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CISO notification</w:t>
            </w:r>
          </w:p>
        </w:tc>
      </w:tr>
      <w:tr>
        <w:tc>
          <w:tcPr>
            <w:tcW w:type="dxa" w:w="3420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Security Architecture review</w:t>
            </w:r>
          </w:p>
        </w:tc>
      </w:tr>
      <w:tr>
        <w:tc>
          <w:tcPr>
            <w:tcW w:type="dxa" w:w="3420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Risk acceptance option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Contextual / informational only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>
      <w:r>
        <w:rPr>
          <w:b/>
          <w:i w:val="0"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>
      <w:pPr>
        <w:pStyle w:val="Heading2"/>
      </w:pPr>
      <w:r>
        <w:t>Application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Application Name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Technical Owner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CMDB ID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Risk Classification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Assessment Date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Assessor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Governance and Program Management</w:t>
      </w:r>
    </w:p>
    <w:p>
      <w:r>
        <w:rPr>
          <w:b/>
          <w:i w:val="0"/>
        </w:rPr>
        <w:t xml:space="preserve">Policy References: </w:t>
      </w:r>
      <w:r>
        <w:t>STRIDE ISP 1.0, STRIDE ISP 2.1, STRIDE ISP 2.4, STRIDE ISP 2.5</w:t>
      </w:r>
      <w:r>
        <w:t xml:space="preserve">   </w:t>
      </w:r>
      <w:r>
        <w:rPr>
          <w:b/>
          <w:i w:val="0"/>
        </w:rPr>
        <w:t xml:space="preserve">CSF: </w:t>
      </w:r>
      <w:r>
        <w:t>GV.OC, GV.PO, GV.OV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named owner in CMDB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informal ownership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ownership not established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High/Critical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Medium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Low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classification assigned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explicitly referenced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covered by umbrella policy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not in scope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Unknown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Within 6 months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6–12 months ago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More than 12 months ago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Never assessed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current and reviewed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but outdated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not documented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Q6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documented and current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but outdated or incomplete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roles informally understood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accountability not defined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Q7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RACI-aligned runbook with named contacts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general escalation via IRP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ad-hoc escalation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not documented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Q8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KTLO — operationally required (MUST)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Business need — supports key objectives (SHOULD)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Nice to have — productivity enhancement (MAY)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classified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Q9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Enterprise-wide — all departments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Multiple departments — formally scoped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Single team or department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formally scoped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Q10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quantified with baseline metrics and KPIs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qualitative estimates documented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Informal understanding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estimates or benchmarks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Q11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reviewed and approved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reviewed with conditions or caveats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Review requested but not completed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reviewed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Q12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approved with defined boundaries and controls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approved for limited or pilot use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Under review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not submitted for architecture review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Identity and Access Management</w:t>
      </w:r>
    </w:p>
    <w:p>
      <w:r>
        <w:rPr>
          <w:b/>
          <w:i w:val="0"/>
        </w:rPr>
        <w:t xml:space="preserve">Policy References: </w:t>
      </w:r>
      <w:r>
        <w:t>STRIDE ISP 4.1, STRIDE ISP 2.3, STRIDE IISP 8.0</w:t>
      </w:r>
      <w:r>
        <w:t xml:space="preserve">   </w:t>
      </w:r>
      <w:r>
        <w:rPr>
          <w:b/>
          <w:i w:val="0"/>
        </w:rPr>
        <w:t xml:space="preserve">CSF: </w:t>
      </w:r>
      <w:r>
        <w:t>PR.AA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Q13</w:t>
            </w:r>
          </w:p>
        </w:tc>
        <w:tc>
          <w:tcPr>
            <w:tcW w:type="dxa" w:w="2280"/>
            <w:vMerge w:val="restart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SSO with MFA (Entra ID)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SSO without MFA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Local authentication with MFA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Local authentication without MFA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Q14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RBAC/ABAC enforced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Partially — some roles over-privileged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broad access grants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Unknown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Q15</w:t>
            </w:r>
          </w:p>
        </w:tc>
        <w:tc>
          <w:tcPr>
            <w:tcW w:type="dxa" w:w="2280"/>
            <w:vMerge w:val="restart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How are service accounts and API keys managed?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Vault/managed identities with rotation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Stored securely with manual rotation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Hard-coded or shared credentials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service accounts used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Q16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fully automated via SCIM/JIT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Partially automated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Manual process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process in place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Q17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access reviews performed periodically?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Quarterly or more frequently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Semi-annually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Annually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periodic reviews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Data Protection and Privacy</w:t>
      </w:r>
    </w:p>
    <w:p>
      <w:r>
        <w:rPr>
          <w:b/>
          <w:i w:val="0"/>
        </w:rPr>
        <w:t xml:space="preserve">Policy References: </w:t>
      </w:r>
      <w:r>
        <w:t>STRIDE ISP 4.3, STRIDE IISP 2.0, STRIDE IISP 3.0</w:t>
      </w:r>
      <w:r>
        <w:t xml:space="preserve">   </w:t>
      </w:r>
      <w:r>
        <w:rPr>
          <w:b/>
          <w:i w:val="0"/>
        </w:rPr>
        <w:t xml:space="preserve">CSF: </w:t>
      </w:r>
      <w:r>
        <w:t>PR.DS</w:t>
      </w:r>
    </w:p>
    <w:p>
      <w:r>
        <w:rPr>
          <w:b/>
          <w:i w:val="0"/>
        </w:rPr>
        <w:t xml:space="preserve">FERPA Note: </w:t>
      </w:r>
      <w:r>
        <w:t>Applications processing student education records must comply with FERPA §99.30 (consent), §99.31 (exceptions), and §99.37 (directory information).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Q18</w:t>
            </w:r>
          </w:p>
        </w:tc>
        <w:tc>
          <w:tcPr>
            <w:tcW w:type="dxa" w:w="2280"/>
            <w:vMerge w:val="restart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primary function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incidental processing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no education records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Unknown / Not assessed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Q19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data encrypted at rest?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AES-256 or equivalent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platform-managed encryption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encryption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encryption at rest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Q20</w:t>
            </w:r>
          </w:p>
        </w:tc>
        <w:tc>
          <w:tcPr>
            <w:tcW w:type="dxa" w:w="2280"/>
            <w:vMerge w:val="restart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data encrypted in transit?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TLS 1.2+ enforced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TLS with older versions allowed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some endpoints unencrypted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encryption in transit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Q21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Public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Internal / Confidential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Restricted / Highly Sensitive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classified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Q22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automated lifecycle management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manual procedures documented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some data managed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retention/disposal procedures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Q23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automated logging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manual records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applicable (no education records)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not implemented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Secure Development and Change Management</w:t>
      </w:r>
    </w:p>
    <w:p>
      <w:r>
        <w:rPr>
          <w:b/>
          <w:i w:val="0"/>
        </w:rPr>
        <w:t xml:space="preserve">Policy References: </w:t>
      </w:r>
      <w:r>
        <w:t>STRIDE ISP 4.4, STRIDE IISP 9.0</w:t>
      </w:r>
      <w:r>
        <w:t xml:space="preserve">   </w:t>
      </w:r>
      <w:r>
        <w:rPr>
          <w:b/>
          <w:i w:val="0"/>
        </w:rPr>
        <w:t xml:space="preserve">CSF: </w:t>
      </w:r>
      <w:r>
        <w:t>PR.PS</w:t>
      </w:r>
    </w:p>
    <w:p>
      <w:r>
        <w:rPr>
          <w:b/>
          <w:i w:val="0"/>
        </w:rPr>
        <w:t xml:space="preserve">SOX §404 Note: </w:t>
      </w:r>
      <w:r>
        <w:t>SOX §404 ITGC domains CM-1 through CM-6 and PD-1 through PD-4 require documented change management and security testing controls.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Q24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with security gates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without explicit security gates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Informal development process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Third-party managed / SaaS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Q25</w:t>
            </w:r>
          </w:p>
        </w:tc>
        <w:tc>
          <w:tcPr>
            <w:tcW w:type="dxa" w:w="2280"/>
            <w:vMerge w:val="restart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blocking on critical findings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advisory only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Manual scans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security scanning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Q26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DAST or penetration testing performed?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automated DAST in CI/CD + annual pentest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Annual penetration test only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Ad-hoc testing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DAST or penetration testing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Q27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fully segregated with access controls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Partially segregated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Shared environments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— SaaS application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Q28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CAB/change authority approval required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peer review only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formal approval process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— vendor managed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Q29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Fully managed via enterprise MDM/SCCM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Partially managed — some updates out-of-band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Entirely out-of-band (CLI, manual, or vendor-pushed)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— SaaS / vendor-managed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Q30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mandatory human review with sign-off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sampling-based or risk-tiered review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outputs used directly without review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— application does not generate decision outputs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Vulnerability and Threat Management</w:t>
      </w:r>
    </w:p>
    <w:p>
      <w:r>
        <w:rPr>
          <w:b/>
          <w:i w:val="0"/>
        </w:rPr>
        <w:t xml:space="preserve">Policy References: </w:t>
      </w:r>
      <w:r>
        <w:t>STRIDE IISP 7.0, STRIDE ISP 3.2, STRIDE ISP 5.1</w:t>
      </w:r>
      <w:r>
        <w:t xml:space="preserve">   </w:t>
      </w:r>
      <w:r>
        <w:rPr>
          <w:b/>
          <w:i w:val="0"/>
        </w:rPr>
        <w:t xml:space="preserve">CSF: </w:t>
      </w:r>
      <w:r>
        <w:t>ID.RA, DE.CM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Q31</w:t>
            </w:r>
          </w:p>
        </w:tc>
        <w:tc>
          <w:tcPr>
            <w:tcW w:type="dxa" w:w="2280"/>
            <w:vMerge w:val="restart"/>
            <w:shd w:fill="FFEBE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authenticated scans weekly+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unauthenticated scans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Ad-hoc scanning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in scanning scope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Q32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 days or fewer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8–30 days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31–90 days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&gt; 90 days or no SLA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Q33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SIEM integration with alerting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log collection without alerting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monitoring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security monitoring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Q34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managed WAF with tuned rules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default WAF rules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WAF — network firewall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protection layer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Q35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automated detection with real-time alerting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log-based detection requiring manual review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some detection capabilities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detective controls implemented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Q36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Are corrective controls defined to remediate or contain issues detected during application use?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automated remediation and rollback capabilities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documented manual corrective procedures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ad-hoc correction only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corrective controls defined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Q37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dashboards with KPIs at both levels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team-level metrics only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ad-hoc reporting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usage monitoring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Incident Response and Business Continuity</w:t>
      </w:r>
    </w:p>
    <w:p>
      <w:r>
        <w:rPr>
          <w:b/>
          <w:i w:val="0"/>
        </w:rPr>
        <w:t xml:space="preserve">Policy References: </w:t>
      </w:r>
      <w:r>
        <w:t>STRIDE ISP 6.1, STRIDE ISP 6.2, STRIDE IISP 1.0, STRIDE IISP 10.0</w:t>
      </w:r>
      <w:r>
        <w:t xml:space="preserve">   </w:t>
      </w:r>
      <w:r>
        <w:rPr>
          <w:b/>
          <w:i w:val="0"/>
        </w:rPr>
        <w:t xml:space="preserve">CSF: </w:t>
      </w:r>
      <w:r>
        <w:t>RS.MA, RS.AN, RC.RP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Q38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application-specific runbook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covered by general IRP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coverage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covered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Q39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What is the Recovery Time Objective (RTO)?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 hour or less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1–4 hours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4–24 hours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&gt; 24 hours or undefined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Q40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What is the Recovery Point Objective (RPO)?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 hour or less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1–4 hours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4–24 hours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&gt; 24 hours or undefined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Q41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Within 6 months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6–12 months ago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&gt; 12 months ago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Never tested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Q42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log retention and chain of custody documented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— logs retained but no formal process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forensic readiness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Third-Party and Supply Chain Risk</w:t>
      </w:r>
    </w:p>
    <w:p>
      <w:r>
        <w:rPr>
          <w:b/>
          <w:i w:val="0"/>
        </w:rPr>
        <w:t xml:space="preserve">Policy References: </w:t>
      </w:r>
      <w:r>
        <w:t>STRIDE ISP 2.6</w:t>
      </w:r>
      <w:r>
        <w:t xml:space="preserve">   </w:t>
      </w:r>
      <w:r>
        <w:rPr>
          <w:b/>
          <w:i w:val="0"/>
        </w:rPr>
        <w:t xml:space="preserve">CSF: </w:t>
      </w:r>
      <w:r>
        <w:t>GV.SC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Q43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SaaS / cloud-hosted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on-premises third-party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internally developed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Hybrid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Q44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within 12 months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older than 12 months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assessment performed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— internal application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Q45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comprehensive security addendum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basic security clauses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security requirements in contract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Q46</w:t>
            </w:r>
          </w:p>
        </w:tc>
        <w:tc>
          <w:tcPr>
            <w:tcW w:type="dxa" w:w="2280"/>
            <w:vMerge w:val="restart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documented with data portability plan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Partial plan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exit strategy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Q47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defined phases with control gates at each stage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informal phased approach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full deployment without phased controls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 w:val="restart"/>
          </w:tcPr>
          <w:p>
            <w:r>
              <w:rPr>
                <w:sz w:val="18"/>
              </w:rPr>
              <w:t>Q48</w:t>
            </w:r>
          </w:p>
        </w:tc>
        <w:tc>
          <w:tcPr>
            <w:tcW w:type="dxa" w:w="2280"/>
            <w:vMerge w:val="restart"/>
            <w:shd w:fill="FFF3E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  <w:t>Have AI-specific risks been formally assessed for this application (e.g., overreliance, output accuracy, prompt consistency, IP leakage)?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Yes — formal AI risk assessment completed  [25]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Yes — partial assessment of key risks  [50]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Not applicable — no AI/ML capabilities  [75]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r>
              <w:rPr>
                <w:sz w:val="18"/>
              </w:rPr>
              <w:t>No — AI risks not assessed  [100]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Assessment Summary</w:t>
      </w:r>
    </w:p>
    <w:p>
      <w:pPr>
        <w:pStyle w:val="Heading2"/>
      </w:pPr>
      <w:r>
        <w:t>Domain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# Questions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Score %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Governance and Program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sz w:val="18"/>
              </w:rPr>
              <w:t>Identity and Access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sz w:val="18"/>
              </w:rPr>
              <w:t>Data Protection and Privacy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sz w:val="18"/>
              </w:rPr>
              <w:t>Secure Development and Change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sz w:val="18"/>
              </w:rPr>
              <w:t>Vulnerability and Threat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sz w:val="18"/>
              </w:rPr>
              <w:t>Incident Response and Business Continuity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sz w:val="18"/>
              </w:rPr>
              <w:t>Third-Party and Supply Chain Risk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OVERALL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</w:tbl>
    <w:p>
      <w:pPr>
        <w:pStyle w:val="Heading2"/>
      </w:pPr>
      <w:r>
        <w:t>Risk Rating 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Norm %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Rating</w:t>
            </w:r>
          </w:p>
        </w:tc>
      </w:tr>
      <w:tr>
        <w:tc>
          <w:tcPr>
            <w:tcW w:type="dxa" w:w="4560"/>
          </w:tcPr>
          <w:p/>
        </w:tc>
        <w:tc>
          <w:tcPr>
            <w:tcW w:type="dxa" w:w="456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4560"/>
          </w:tcPr>
          <w:p/>
        </w:tc>
        <w:tc>
          <w:tcPr>
            <w:tcW w:type="dxa" w:w="456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4560"/>
          </w:tcPr>
          <w:p/>
        </w:tc>
        <w:tc>
          <w:tcPr>
            <w:tcW w:type="dxa" w:w="456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4560"/>
          </w:tcPr>
          <w:p/>
        </w:tc>
        <w:tc>
          <w:tcPr>
            <w:tcW w:type="dxa" w:w="456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4560"/>
            <w:shd w:fill="E8F5E9"/>
          </w:tcPr>
          <w:p>
            <w:r>
              <w:rPr>
                <w:sz w:val="18"/>
              </w:rPr>
              <w:t>0–25%</w:t>
            </w:r>
          </w:p>
        </w:tc>
        <w:tc>
          <w:tcPr>
            <w:tcW w:type="dxa" w:w="4560"/>
            <w:shd w:fill="E8F5E9"/>
          </w:tcPr>
          <w:p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type="dxa" w:w="4560"/>
            <w:shd w:fill="E8F5E9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26–50%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4560"/>
            <w:shd w:fill="FFF3E0"/>
          </w:tcPr>
          <w:p>
            <w:r>
              <w:rPr>
                <w:sz w:val="18"/>
              </w:rPr>
              <w:t>51–75%</w:t>
            </w:r>
          </w:p>
        </w:tc>
        <w:tc>
          <w:tcPr>
            <w:tcW w:type="dxa" w:w="4560"/>
            <w:shd w:fill="FFF3E0"/>
          </w:tcPr>
          <w:p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type="dxa" w:w="4560"/>
            <w:shd w:fill="FFF3E0"/>
          </w:tcPr>
          <w:p>
            <w:r>
              <w:rPr>
                <w:sz w:val="18"/>
              </w:rPr>
              <w:t>Elevated</w:t>
            </w:r>
          </w:p>
        </w:tc>
      </w:tr>
      <w:tr>
        <w:tc>
          <w:tcPr>
            <w:tcW w:type="dxa" w:w="4560"/>
            <w:shd w:fill="FFEBEE"/>
          </w:tcPr>
          <w:p>
            <w:r>
              <w:rPr>
                <w:sz w:val="18"/>
              </w:rPr>
              <w:t>76–100%</w:t>
            </w:r>
          </w:p>
        </w:tc>
        <w:tc>
          <w:tcPr>
            <w:tcW w:type="dxa" w:w="4560"/>
            <w:shd w:fill="FFEBEE"/>
          </w:tcPr>
          <w:p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type="dxa" w:w="4560"/>
            <w:shd w:fill="FFEBEE"/>
          </w:tcPr>
          <w:p>
            <w:r>
              <w:rPr>
                <w:sz w:val="18"/>
              </w:rPr>
              <w:t>Critical</w:t>
            </w:r>
          </w:p>
        </w:tc>
      </w:tr>
    </w:tbl>
    <w:p>
      <w:pPr>
        <w:pStyle w:val="Heading2"/>
      </w:pPr>
      <w:r>
        <w:t>Assessor Certification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FFFFFF"/>
          </w:tcPr>
          <w:p>
            <w:r>
              <w:rPr>
                <w:b/>
                <w:sz w:val="18"/>
              </w:rPr>
              <w:t>Assessor Signature:</w:t>
            </w:r>
          </w:p>
        </w:tc>
        <w:tc>
          <w:tcPr>
            <w:tcW w:type="dxa" w:w="6840"/>
            <w:shd w:fill="FFFFFF"/>
          </w:tcPr>
          <w:p>
            <w:r>
              <w:rPr>
                <w:b/>
                <w:sz w:val="18"/>
              </w:rPr>
              <w:t>________________________________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Reviewer Signature: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