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i w:val="0"/>
          <w:color w:val="2E7D32"/>
          <w:sz w:val="56"/>
        </w:rPr>
        <w:t>Stride Application Security Review</w:t>
        <w:br/>
        <w:t>Questionnaire</w:t>
      </w:r>
    </w:p>
    <w:p>
      <w:pPr>
        <w:jc w:val="center"/>
      </w:pPr>
      <w:r>
        <w:rPr>
          <w:b w:val="0"/>
          <w:i w:val="0"/>
          <w:color w:val="757575"/>
          <w:sz w:val="36"/>
        </w:rPr>
        <w:t>Version 3.0</w:t>
      </w:r>
    </w:p>
    <w:p>
      <w:pPr>
        <w:jc w:val="center"/>
      </w:pPr>
      <w:r>
        <w:rPr>
          <w:b w:val="0"/>
          <w:i w:val="0"/>
          <w:sz w:val="28"/>
        </w:rPr>
        <w:t>Stride, Inc.</w:t>
      </w:r>
    </w:p>
    <w:p>
      <w:pPr>
        <w:jc w:val="center"/>
      </w:pPr>
      <w:r>
        <w:rPr>
          <w:b w:val="0"/>
          <w:i w:val="0"/>
          <w:color w:val="757575"/>
          <w:sz w:val="24"/>
        </w:rPr>
        <w:t>Information Security &amp; Governance</w:t>
      </w:r>
    </w:p>
    <w:p/>
    <w:p>
      <w:pPr>
        <w:jc w:val="center"/>
      </w:pPr>
      <w:r>
        <w:rPr>
          <w:b w:val="0"/>
          <w:i w:val="0"/>
          <w:color w:val="757575"/>
          <w:sz w:val="20"/>
        </w:rPr>
        <w:t>Discrete-choice questionnaire for application security risk assessment.</w:t>
      </w:r>
    </w:p>
    <w:p>
      <w:pPr>
        <w:jc w:val="center"/>
      </w:pPr>
      <w:r>
        <w:rPr>
          <w:b w:val="0"/>
          <w:i w:val="0"/>
          <w:color w:val="757575"/>
          <w:sz w:val="20"/>
        </w:rPr>
        <w:t>Organized by policy domain with regulatory cross-references.</w:t>
      </w:r>
    </w:p>
    <w:p>
      <w:pPr>
        <w:jc w:val="center"/>
      </w:pPr>
      <w:r>
        <w:rPr>
          <w:b w:val="0"/>
          <w:i w:val="0"/>
          <w:color w:val="757575"/>
          <w:sz w:val="20"/>
        </w:rPr>
        <w:t>Frameworks: NIST CSF 2.0 | FERPA (34 CFR Part 99) | SOX §404 ITGC</w:t>
      </w:r>
    </w:p>
    <w:p>
      <w:pPr>
        <w:jc w:val="center"/>
      </w:pPr>
      <w:r>
        <w:rPr>
          <w:b w:val="0"/>
          <w:i w:val="0"/>
          <w:color w:val="757575"/>
          <w:sz w:val="20"/>
        </w:rPr>
      </w:r>
    </w:p>
    <w:p>
      <w:pPr>
        <w:jc w:val="center"/>
      </w:pPr>
      <w:r>
        <w:rPr>
          <w:b w:val="0"/>
          <w:i w:val="0"/>
          <w:color w:val="757575"/>
          <w:sz w:val="20"/>
        </w:rPr>
        <w:t>Supersedes: ASR Checklist V2</w:t>
      </w:r>
    </w:p>
    <w:p/>
    <w:p>
      <w:pPr>
        <w:jc w:val="center"/>
      </w:pPr>
      <w:r>
        <w:rPr>
          <w:b w:val="0"/>
          <w:i w:val="0"/>
          <w:sz w:val="20"/>
        </w:rPr>
        <w:t>Document Date: March 3, 2026</w:t>
      </w:r>
    </w:p>
    <w:p>
      <w:pPr>
        <w:jc w:val="center"/>
      </w:pPr>
      <w:r>
        <w:rPr>
          <w:b w:val="0"/>
          <w:i w:val="0"/>
          <w:sz w:val="20"/>
        </w:rPr>
        <w:t>Classification: Confidential</w:t>
      </w:r>
    </w:p>
    <w:p>
      <w:r>
        <w:br w:type="page"/>
      </w:r>
    </w:p>
    <w:p>
      <w:pPr>
        <w:pStyle w:val="Heading1"/>
      </w:pPr>
      <w:r>
        <w:t>Instructions</w:t>
      </w:r>
    </w:p>
    <w:p>
      <w:pPr>
        <w:pStyle w:val="Heading2"/>
      </w:pPr>
      <w:r>
        <w:t>Purpose</w:t>
      </w:r>
    </w:p>
    <w:p>
      <w:r>
        <w:t>This questionnaire is used to assess the security posture of applications within the Stride technology portfolio. Each question maps to specific Stride ISP/IISP policies, NIST CSF 2.0 subcategories, and where applicable, FERPA and SOX §404 ITGC requirements.</w:t>
      </w:r>
    </w:p>
    <w:p>
      <w:pPr>
        <w:pStyle w:val="Heading2"/>
      </w:pPr>
      <w:r>
        <w:t>How to Complete</w:t>
      </w:r>
    </w:p>
    <w:p>
      <w:pPr>
        <w:pStyle w:val="ListNumber"/>
      </w:pPr>
      <w:r>
        <w:t>For each question, select exactly one response that best describes the current state.</w:t>
      </w:r>
    </w:p>
    <w:p>
      <w:pPr>
        <w:pStyle w:val="ListNumber"/>
      </w:pPr>
      <w:r>
        <w:t>Mark your selection with ✓ or X in the checkbox column.</w:t>
      </w:r>
    </w:p>
    <w:p>
      <w:pPr>
        <w:pStyle w:val="ListNumber"/>
      </w:pPr>
      <w:r>
        <w:t>Questions marked Critical require immediate attention if the response indicates a gap.</w:t>
      </w:r>
    </w:p>
    <w:p>
      <w:pPr>
        <w:pStyle w:val="ListNumber"/>
      </w:pPr>
      <w:r>
        <w:t>If a question is not applicable, select "N/A" and provide a brief justification.</w:t>
      </w:r>
    </w:p>
    <w:p>
      <w:pPr>
        <w:pStyle w:val="Heading2"/>
      </w:pPr>
      <w:r>
        <w:t>Scoring Model</w:t>
      </w:r>
    </w:p>
    <w:p>
      <w:r>
        <w:rPr>
          <w:b/>
          <w:i w:val="0"/>
        </w:rPr>
        <w:t>Weight Tiers:</w:t>
      </w:r>
    </w:p>
    <w:tbl>
      <w:tblPr>
        <w:tblW w:type="auto" w:w="0"/>
        <w:jc w:val="left"/>
        <w:tblLook w:firstColumn="1" w:firstRow="1" w:lastColumn="0" w:lastRow="0" w:noHBand="0" w:noVBand="1" w:val="04A0"/>
        <w:tblW w:type="pct" w:w="500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3420"/>
        <w:gridCol w:w="3420"/>
        <w:gridCol w:w="3420"/>
        <w:gridCol w:w="3420"/>
      </w:tblGrid>
      <w:tr>
        <w:trPr>
          <w:trHeight w:hRule="auto" w:val="0"/>
        </w:trPr>
        <w:tc>
          <w:tcPr>
            <w:tcW w:type="dxa" w:w="342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Weight Tier</w:t>
            </w:r>
          </w:p>
        </w:tc>
        <w:tc>
          <w:tcPr>
            <w:tcW w:type="dxa" w:w="342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342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342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Escalation</w:t>
            </w:r>
          </w:p>
        </w:tc>
      </w:tr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</w:p>
        </w:tc>
        <w:tc>
          <w:tcPr>
            <w:tcW w:type="dxa" w:w="3420"/>
          </w:tcPr>
          <w:p>
            <w:pPr>
              <w:jc w:val="left"/>
            </w:pPr>
          </w:p>
        </w:tc>
        <w:tc>
          <w:tcPr>
            <w:tcW w:type="dxa" w:w="3420"/>
          </w:tcPr>
          <w:p>
            <w:pPr>
              <w:jc w:val="left"/>
            </w:pPr>
          </w:p>
        </w:tc>
        <w:tc>
          <w:tcPr>
            <w:tcW w:type="dxa" w:w="3420"/>
          </w:tcPr>
          <w:p>
            <w:pPr>
              <w:jc w:val="left"/>
            </w:pPr>
          </w:p>
        </w:tc>
      </w:tr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</w:p>
        </w:tc>
        <w:tc>
          <w:tcPr>
            <w:tcW w:type="dxa" w:w="3420"/>
          </w:tcPr>
          <w:p>
            <w:pPr>
              <w:jc w:val="left"/>
            </w:pPr>
          </w:p>
        </w:tc>
        <w:tc>
          <w:tcPr>
            <w:tcW w:type="dxa" w:w="3420"/>
          </w:tcPr>
          <w:p>
            <w:pPr>
              <w:jc w:val="left"/>
            </w:pPr>
          </w:p>
        </w:tc>
        <w:tc>
          <w:tcPr>
            <w:tcW w:type="dxa" w:w="3420"/>
          </w:tcPr>
          <w:p>
            <w:pPr>
              <w:jc w:val="left"/>
            </w:pPr>
          </w:p>
        </w:tc>
      </w:tr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</w:p>
        </w:tc>
        <w:tc>
          <w:tcPr>
            <w:tcW w:type="dxa" w:w="3420"/>
          </w:tcPr>
          <w:p>
            <w:pPr>
              <w:jc w:val="left"/>
            </w:pPr>
          </w:p>
        </w:tc>
        <w:tc>
          <w:tcPr>
            <w:tcW w:type="dxa" w:w="3420"/>
          </w:tcPr>
          <w:p>
            <w:pPr>
              <w:jc w:val="left"/>
            </w:pPr>
          </w:p>
        </w:tc>
        <w:tc>
          <w:tcPr>
            <w:tcW w:type="dxa" w:w="3420"/>
          </w:tcPr>
          <w:p>
            <w:pPr>
              <w:jc w:val="left"/>
            </w:pPr>
          </w:p>
        </w:tc>
      </w:tr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</w:p>
        </w:tc>
        <w:tc>
          <w:tcPr>
            <w:tcW w:type="dxa" w:w="3420"/>
          </w:tcPr>
          <w:p>
            <w:pPr>
              <w:jc w:val="left"/>
            </w:pPr>
          </w:p>
        </w:tc>
        <w:tc>
          <w:tcPr>
            <w:tcW w:type="dxa" w:w="3420"/>
          </w:tcPr>
          <w:p>
            <w:pPr>
              <w:jc w:val="left"/>
            </w:pPr>
          </w:p>
        </w:tc>
        <w:tc>
          <w:tcPr>
            <w:tcW w:type="dxa" w:w="3420"/>
          </w:tcPr>
          <w:p>
            <w:pPr>
              <w:jc w:val="left"/>
            </w:pPr>
          </w:p>
        </w:tc>
      </w:tr>
      <w:tr>
        <w:trPr>
          <w:trHeight w:hRule="auto" w:val="0"/>
        </w:trPr>
        <w:tc>
          <w:tcPr>
            <w:tcW w:type="dxa" w:w="3420"/>
            <w:shd w:fill="FFEBEE"/>
          </w:tcPr>
          <w:p>
            <w:pPr>
              <w:jc w:val="left"/>
            </w:pPr>
            <w:r>
              <w:rPr>
                <w:sz w:val="18"/>
              </w:rPr>
              <w:t>Critical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Highest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Fundamental control — gap requires immediate remediation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CISO notification</w:t>
            </w:r>
          </w:p>
        </w:tc>
      </w:tr>
      <w:tr>
        <w:trPr>
          <w:trHeight w:hRule="auto" w:val="0"/>
        </w:trPr>
        <w:tc>
          <w:tcPr>
            <w:tcW w:type="dxa" w:w="3420"/>
            <w:shd w:fill="FFF3E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Important control — gap requires 30-day remediation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Security Architecture review</w:t>
            </w:r>
          </w:p>
        </w:tc>
      </w:tr>
      <w:tr>
        <w:trPr>
          <w:trHeight w:hRule="auto" w:val="0"/>
        </w:trPr>
        <w:tc>
          <w:tcPr>
            <w:tcW w:type="dxa" w:w="3420"/>
            <w:shd w:fill="E8F5E9"/>
          </w:tcPr>
          <w:p>
            <w:pPr>
              <w:jc w:val="left"/>
            </w:pPr>
            <w:r>
              <w:rPr>
                <w:sz w:val="18"/>
              </w:rPr>
              <w:t>Medium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Moderate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Supporting control — address in next planning cycle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Risk acceptance option</w:t>
            </w:r>
          </w:p>
        </w:tc>
      </w:tr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Info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Low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Contextual / informational only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None</w:t>
            </w:r>
          </w:p>
        </w:tc>
      </w:tr>
    </w:tbl>
    <w:p/>
    <w:p>
      <w:r>
        <w:rPr>
          <w:b/>
          <w:i w:val="0"/>
        </w:rPr>
        <w:t xml:space="preserve">Composite Scoring: </w:t>
      </w:r>
      <w:r>
        <w:t>Weighted measurements are combined using a proprietary composite function that emphasizes the most severe finding and progressively discounts lesser ones.</w:t>
      </w:r>
    </w:p>
    <w:p>
      <w:r>
        <w:rPr>
          <w:b/>
          <w:i w:val="0"/>
        </w:rPr>
        <w:t xml:space="preserve">Interpretation: </w:t>
      </w:r>
      <w:r>
        <w:t>0–25% = strong posture; 26–50% = adequate; 51–75% = elevated risk; 76–100% = critical gaps requiring immediate action.</w:t>
      </w:r>
    </w:p>
    <w:p>
      <w:pPr>
        <w:pStyle w:val="Heading2"/>
      </w:pPr>
      <w:r>
        <w:t>Application Information</w:t>
      </w:r>
    </w:p>
    <w:tbl>
      <w:tblPr>
        <w:tblW w:type="auto" w:w="0"/>
        <w:jc w:val="left"/>
        <w:tblLook w:firstColumn="1" w:firstRow="1" w:lastColumn="0" w:lastRow="0" w:noHBand="0" w:noVBand="1" w:val="04A0"/>
        <w:tblW w:type="pct" w:w="500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6840"/>
        <w:gridCol w:w="6840"/>
      </w:tblGrid>
      <w:tr>
        <w:trPr>
          <w:trHeight w:hRule="auto" w:val="0"/>
        </w:trPr>
        <w:tc>
          <w:tcPr>
            <w:tcW w:type="dxa" w:w="684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Field</w:t>
            </w:r>
          </w:p>
        </w:tc>
        <w:tc>
          <w:tcPr>
            <w:tcW w:type="dxa" w:w="684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Value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Application Name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Business Owner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Technical Owner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CMDB ID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Risk Classification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Assessment Date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Assessor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Governance and Program Management</w:t>
      </w:r>
    </w:p>
    <w:tbl>
      <w:tblPr>
        <w:tblW w:type="auto" w:w="0"/>
        <w:jc w:val="left"/>
        <w:tblLook w:firstColumn="1" w:firstRow="1" w:lastColumn="0" w:lastRow="0" w:noHBand="0" w:noVBand="1" w:val="04A0"/>
        <w:tblW w:type="pct" w:w="500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6840"/>
        <w:gridCol w:w="6840"/>
      </w:tblGrid>
      <w:tr>
        <w:trPr>
          <w:trHeight w:hRule="auto" w:val="0"/>
        </w:trPr>
        <w:tc>
          <w:tcPr>
            <w:tcW w:type="dxa" w:w="684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Reference Type</w:t>
            </w:r>
          </w:p>
        </w:tc>
        <w:tc>
          <w:tcPr>
            <w:tcW w:type="dxa" w:w="684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Applicable References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Stride Policies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STRIDE ISP 1.0, STRIDE ISP 2.1, STRIDE ISP 2.4, STRIDE ISP 2.5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NIST CSF 2.0 Subcategories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GV.OC, GV.PO, GV.OV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Policy Scope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ISP 1.0: Information Security Program Policy; ISP 2.1: Organizational Context (GV.OC); ISP 2.4: Policies, Processes, and Procedures (GV.PO); ISP 2.5: Oversight (GV.OV)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  <w:tblW w:type="pct" w:w="500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rPr>
          <w:trHeight w:hRule="auto" w:val="0"/>
        </w:trPr>
        <w:tc>
          <w:tcPr>
            <w:tcW w:type="dxa" w:w="228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228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Weight</w:t>
            </w:r>
          </w:p>
        </w:tc>
        <w:tc>
          <w:tcPr>
            <w:tcW w:type="dxa" w:w="228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Question</w:t>
            </w:r>
          </w:p>
        </w:tc>
        <w:tc>
          <w:tcPr>
            <w:tcW w:type="dxa" w:w="228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Answer Choices</w:t>
            </w:r>
          </w:p>
        </w:tc>
        <w:tc>
          <w:tcPr>
            <w:tcW w:type="dxa" w:w="228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✓</w:t>
            </w:r>
          </w:p>
        </w:tc>
        <w:tc>
          <w:tcPr>
            <w:tcW w:type="dxa" w:w="228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Notes</w:t>
            </w:r>
          </w:p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Q1</w:t>
            </w:r>
          </w:p>
        </w:tc>
        <w:tc>
          <w:tcPr>
            <w:tcW w:type="dxa" w:w="2280"/>
            <w:vMerge w:val="restart"/>
            <w:shd w:fill="FFF3E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Does the application have a designated security owner or steward?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Yes — named owner in CMDB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Yes — informal ownership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No — ownership not established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N/A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Q2</w:t>
            </w:r>
          </w:p>
        </w:tc>
        <w:tc>
          <w:tcPr>
            <w:tcW w:type="dxa" w:w="2280"/>
            <w:vMerge w:val="restart"/>
            <w:shd w:fill="FFF3E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Has a risk classification been assigned to this application?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Yes — High/Critical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Yes — Medium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Yes — Low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No classification assigned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Q3</w:t>
            </w:r>
          </w:p>
        </w:tc>
        <w:tc>
          <w:tcPr>
            <w:tcW w:type="dxa" w:w="2280"/>
            <w:vMerge w:val="restart"/>
            <w:shd w:fill="E8F5E9"/>
          </w:tcPr>
          <w:p>
            <w:pPr>
              <w:jc w:val="left"/>
            </w:pPr>
            <w:r>
              <w:rPr>
                <w:sz w:val="18"/>
              </w:rPr>
              <w:t>Medium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Is the application included in the organization's security policy scope?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Yes — explicitly referenced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Yes — covered by umbrella policy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No — not in scope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Unknown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Q4</w:t>
            </w:r>
          </w:p>
        </w:tc>
        <w:tc>
          <w:tcPr>
            <w:tcW w:type="dxa" w:w="2280"/>
            <w:vMerge w:val="restart"/>
            <w:shd w:fill="FFF3E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When was the last security review or assessment performed?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Within 6 months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6–12 months ago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More than 12 months ago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Never assessed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Q5</w:t>
            </w:r>
          </w:p>
        </w:tc>
        <w:tc>
          <w:tcPr>
            <w:tcW w:type="dxa" w:w="2280"/>
            <w:vMerge w:val="restart"/>
            <w:shd w:fill="E8F5E9"/>
          </w:tcPr>
          <w:p>
            <w:pPr>
              <w:jc w:val="left"/>
            </w:pPr>
            <w:r>
              <w:rPr>
                <w:sz w:val="18"/>
              </w:rPr>
              <w:t>Medium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Does the application have documented data flow diagrams?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Yes — current and reviewed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Yes — but outdated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No — not documented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N/A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Q6</w:t>
            </w:r>
          </w:p>
        </w:tc>
        <w:tc>
          <w:tcPr>
            <w:tcW w:type="dxa" w:w="2280"/>
            <w:vMerge w:val="restart"/>
            <w:shd w:fill="FFF3E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Has a RACI matrix been established for this application's security controls?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Yes — documented and current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Yes — but outdated or incomplete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No — roles informally understood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No — accountability not defined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Q7</w:t>
            </w:r>
          </w:p>
        </w:tc>
        <w:tc>
          <w:tcPr>
            <w:tcW w:type="dxa" w:w="2280"/>
            <w:vMerge w:val="restart"/>
            <w:shd w:fill="FFF3E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Are escalation paths and notification responsibilities documented for security incidents involving this application?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Yes — RACI-aligned runbook with named contacts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Yes — general escalation via IRP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Partial — ad-hoc escalation only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No — not documented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Q8</w:t>
            </w:r>
          </w:p>
        </w:tc>
        <w:tc>
          <w:tcPr>
            <w:tcW w:type="dxa" w:w="2280"/>
            <w:vMerge w:val="restart"/>
            <w:shd w:fill="E8F5E9"/>
          </w:tcPr>
          <w:p>
            <w:pPr>
              <w:jc w:val="left"/>
            </w:pPr>
            <w:r>
              <w:rPr>
                <w:sz w:val="18"/>
              </w:rPr>
              <w:t>Medium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What is the business necessity classification for this application?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KTLO — operationally required (MUST)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Business need — supports key objectives (SHOULD)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Nice to have — productivity enhancement (MAY)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Not classified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Q9</w:t>
            </w:r>
          </w:p>
        </w:tc>
        <w:tc>
          <w:tcPr>
            <w:tcW w:type="dxa" w:w="2280"/>
            <w:vMerge w:val="restart"/>
            <w:shd w:fill="E8F5E9"/>
          </w:tcPr>
          <w:p>
            <w:pPr>
              <w:jc w:val="left"/>
            </w:pPr>
            <w:r>
              <w:rPr>
                <w:sz w:val="18"/>
              </w:rPr>
              <w:t>Medium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Which teams and departments are authorized to use this application?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Enterprise-wide — all departments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Multiple departments — formally scoped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Single team or department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Not formally scoped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Q10</w:t>
            </w:r>
          </w:p>
        </w:tc>
        <w:tc>
          <w:tcPr>
            <w:tcW w:type="dxa" w:w="2280"/>
            <w:vMerge w:val="restart"/>
            <w:shd w:fill="E8F5E9"/>
          </w:tcPr>
          <w:p>
            <w:pPr>
              <w:jc w:val="left"/>
            </w:pPr>
            <w:r>
              <w:rPr>
                <w:sz w:val="18"/>
              </w:rPr>
              <w:t>Medium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Are productivity improvement estimates or benchmarks documented for this application?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Yes — quantified with baseline metrics and KPIs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Yes — qualitative estimates documented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Informal understanding only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No estimates or benchmarks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Q11</w:t>
            </w:r>
          </w:p>
        </w:tc>
        <w:tc>
          <w:tcPr>
            <w:tcW w:type="dxa" w:w="2280"/>
            <w:vMerge w:val="restart"/>
            <w:shd w:fill="FFF3E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Has legal counsel reviewed this application's terms of service, data handling, and intellectual property implications?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Yes — reviewed and approved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Yes — reviewed with conditions or caveats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Review requested but not completed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Not reviewed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Q12</w:t>
            </w:r>
          </w:p>
        </w:tc>
        <w:tc>
          <w:tcPr>
            <w:tcW w:type="dxa" w:w="2280"/>
            <w:vMerge w:val="restart"/>
            <w:shd w:fill="FFF3E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Has the application been reviewed and approved through the enterprise architecture governance process?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Yes — approved with defined boundaries and controls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Yes — approved for limited or pilot use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Under review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No — not submitted for architecture review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</w:tbl>
    <w:p>
      <w:r>
        <w:br w:type="page"/>
      </w:r>
    </w:p>
    <w:p>
      <w:pPr>
        <w:pStyle w:val="Heading1"/>
      </w:pPr>
      <w:r>
        <w:t>Identity and Access Management</w:t>
      </w:r>
    </w:p>
    <w:tbl>
      <w:tblPr>
        <w:tblW w:type="auto" w:w="0"/>
        <w:jc w:val="left"/>
        <w:tblLook w:firstColumn="1" w:firstRow="1" w:lastColumn="0" w:lastRow="0" w:noHBand="0" w:noVBand="1" w:val="04A0"/>
        <w:tblW w:type="pct" w:w="500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6840"/>
        <w:gridCol w:w="6840"/>
      </w:tblGrid>
      <w:tr>
        <w:trPr>
          <w:trHeight w:hRule="auto" w:val="0"/>
        </w:trPr>
        <w:tc>
          <w:tcPr>
            <w:tcW w:type="dxa" w:w="684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Reference Type</w:t>
            </w:r>
          </w:p>
        </w:tc>
        <w:tc>
          <w:tcPr>
            <w:tcW w:type="dxa" w:w="684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Applicable References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Stride Policies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STRIDE ISP 4.1, STRIDE ISP 2.3, STRIDE IISP 8.0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NIST CSF 2.0 Subcategories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PR.AA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Policy Scope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ISP 4.1: Identity Management, Authentication, and Access Control (PR.AA); ISP 2.3: Roles, Responsibilities, and Authorities (GV.RR); IISP 8.0: Non-Employee Acceptable Use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  <w:tblW w:type="pct" w:w="500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rPr>
          <w:trHeight w:hRule="auto" w:val="0"/>
        </w:trPr>
        <w:tc>
          <w:tcPr>
            <w:tcW w:type="dxa" w:w="228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228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Weight</w:t>
            </w:r>
          </w:p>
        </w:tc>
        <w:tc>
          <w:tcPr>
            <w:tcW w:type="dxa" w:w="228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Question</w:t>
            </w:r>
          </w:p>
        </w:tc>
        <w:tc>
          <w:tcPr>
            <w:tcW w:type="dxa" w:w="228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Answer Choices</w:t>
            </w:r>
          </w:p>
        </w:tc>
        <w:tc>
          <w:tcPr>
            <w:tcW w:type="dxa" w:w="228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✓</w:t>
            </w:r>
          </w:p>
        </w:tc>
        <w:tc>
          <w:tcPr>
            <w:tcW w:type="dxa" w:w="228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Notes</w:t>
            </w:r>
          </w:p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Q13</w:t>
            </w:r>
          </w:p>
        </w:tc>
        <w:tc>
          <w:tcPr>
            <w:tcW w:type="dxa" w:w="2280"/>
            <w:vMerge w:val="restart"/>
            <w:shd w:fill="FFEBEE"/>
          </w:tcPr>
          <w:p>
            <w:pPr>
              <w:jc w:val="left"/>
            </w:pPr>
            <w:r>
              <w:rPr>
                <w:sz w:val="18"/>
              </w:rPr>
              <w:t>Critical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What authentication mechanism does the application use?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SSO with MFA (Entra ID)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EBEE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SSO without MFA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EBEE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Local authentication with MFA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EBEE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Local authentication without MFA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Q14</w:t>
            </w:r>
          </w:p>
        </w:tc>
        <w:tc>
          <w:tcPr>
            <w:tcW w:type="dxa" w:w="2280"/>
            <w:vMerge w:val="restart"/>
            <w:shd w:fill="FFF3E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Are user roles and permissions based on the principle of least privilege?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Yes — RBAC/ABAC enforced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Partially — some roles over-privileged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No — broad access grants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Unknown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Q15</w:t>
            </w:r>
          </w:p>
        </w:tc>
        <w:tc>
          <w:tcPr>
            <w:tcW w:type="dxa" w:w="2280"/>
            <w:vMerge w:val="restart"/>
            <w:shd w:fill="FFEBEE"/>
          </w:tcPr>
          <w:p>
            <w:pPr>
              <w:jc w:val="left"/>
            </w:pPr>
            <w:r>
              <w:rPr>
                <w:sz w:val="18"/>
              </w:rPr>
              <w:t>Critical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How are service accounts and API keys managed?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Vault/managed identities with rotation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EBEE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Stored securely with manual rotation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EBEE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Hard-coded or shared credentials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EBEE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No service accounts used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Q16</w:t>
            </w:r>
          </w:p>
        </w:tc>
        <w:tc>
          <w:tcPr>
            <w:tcW w:type="dxa" w:w="2280"/>
            <w:vMerge w:val="restart"/>
            <w:shd w:fill="FFF3E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Is there automated provisioning/deprovisioning tied to HR events?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Yes — fully automated via SCIM/JIT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Partially automated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Manual process only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No process in place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Q17</w:t>
            </w:r>
          </w:p>
        </w:tc>
        <w:tc>
          <w:tcPr>
            <w:tcW w:type="dxa" w:w="2280"/>
            <w:vMerge w:val="restart"/>
            <w:shd w:fill="FFF3E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Are access reviews performed periodically?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Quarterly or more frequently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Semi-annually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Annually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No periodic reviews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</w:tbl>
    <w:p>
      <w:r>
        <w:br w:type="page"/>
      </w:r>
    </w:p>
    <w:p>
      <w:pPr>
        <w:pStyle w:val="Heading1"/>
      </w:pPr>
      <w:r>
        <w:t>Data Protection and Privacy</w:t>
      </w:r>
    </w:p>
    <w:tbl>
      <w:tblPr>
        <w:tblW w:type="auto" w:w="0"/>
        <w:jc w:val="left"/>
        <w:tblLook w:firstColumn="1" w:firstRow="1" w:lastColumn="0" w:lastRow="0" w:noHBand="0" w:noVBand="1" w:val="04A0"/>
        <w:tblW w:type="pct" w:w="500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6840"/>
        <w:gridCol w:w="6840"/>
      </w:tblGrid>
      <w:tr>
        <w:trPr>
          <w:trHeight w:hRule="auto" w:val="0"/>
        </w:trPr>
        <w:tc>
          <w:tcPr>
            <w:tcW w:type="dxa" w:w="684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Reference Type</w:t>
            </w:r>
          </w:p>
        </w:tc>
        <w:tc>
          <w:tcPr>
            <w:tcW w:type="dxa" w:w="684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Applicable References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Stride Policies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STRIDE ISP 4.3, STRIDE IISP 2.0, STRIDE IISP 3.0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NIST CSF 2.0 Subcategories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PR.DS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Policy Scope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ISP 4.3: Data Security (PR.DS); IISP 2.0: Data Classification; IISP 3.0: International Travel Policy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FERPA (34 CFR Part 99)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Applications processing student education records must comply with FERPA §99.30 (consent), §99.31 (exceptions), and §99.37 (directory information).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  <w:tblW w:type="pct" w:w="500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rPr>
          <w:trHeight w:hRule="auto" w:val="0"/>
        </w:trPr>
        <w:tc>
          <w:tcPr>
            <w:tcW w:type="dxa" w:w="228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228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Weight</w:t>
            </w:r>
          </w:p>
        </w:tc>
        <w:tc>
          <w:tcPr>
            <w:tcW w:type="dxa" w:w="228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Question</w:t>
            </w:r>
          </w:p>
        </w:tc>
        <w:tc>
          <w:tcPr>
            <w:tcW w:type="dxa" w:w="228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Answer Choices</w:t>
            </w:r>
          </w:p>
        </w:tc>
        <w:tc>
          <w:tcPr>
            <w:tcW w:type="dxa" w:w="228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✓</w:t>
            </w:r>
          </w:p>
        </w:tc>
        <w:tc>
          <w:tcPr>
            <w:tcW w:type="dxa" w:w="228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Notes</w:t>
            </w:r>
          </w:p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Q18</w:t>
            </w:r>
          </w:p>
        </w:tc>
        <w:tc>
          <w:tcPr>
            <w:tcW w:type="dxa" w:w="2280"/>
            <w:vMerge w:val="restart"/>
            <w:shd w:fill="FFEBEE"/>
          </w:tcPr>
          <w:p>
            <w:pPr>
              <w:jc w:val="left"/>
            </w:pPr>
            <w:r>
              <w:rPr>
                <w:sz w:val="18"/>
              </w:rPr>
              <w:t>Critical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Does the application process, store, or transmit student education records (FERPA-protected data)?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Yes — primary function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EBEE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Yes — incidental processing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EBEE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No — no education records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EBEE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Unknown / Not assessed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Q19</w:t>
            </w:r>
          </w:p>
        </w:tc>
        <w:tc>
          <w:tcPr>
            <w:tcW w:type="dxa" w:w="2280"/>
            <w:vMerge w:val="restart"/>
            <w:shd w:fill="FFF3E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Is data encrypted at rest?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Yes — AES-256 or equivalent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Yes — platform-managed encryption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Partial encryption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No encryption at rest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Q20</w:t>
            </w:r>
          </w:p>
        </w:tc>
        <w:tc>
          <w:tcPr>
            <w:tcW w:type="dxa" w:w="2280"/>
            <w:vMerge w:val="restart"/>
            <w:shd w:fill="FFEBEE"/>
          </w:tcPr>
          <w:p>
            <w:pPr>
              <w:jc w:val="left"/>
            </w:pPr>
            <w:r>
              <w:rPr>
                <w:sz w:val="18"/>
              </w:rPr>
              <w:t>Critical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Is data encrypted in transit?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Yes — TLS 1.2+ enforced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EBEE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Yes — TLS with older versions allowed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EBEE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Partial — some endpoints unencrypted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EBEE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No encryption in transit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Q21</w:t>
            </w:r>
          </w:p>
        </w:tc>
        <w:tc>
          <w:tcPr>
            <w:tcW w:type="dxa" w:w="2280"/>
            <w:vMerge w:val="restart"/>
            <w:shd w:fill="FFF3E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What is the data classification level of information processed?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Public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Internal / Confidential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Restricted / Highly Sensitive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Not classified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Q22</w:t>
            </w:r>
          </w:p>
        </w:tc>
        <w:tc>
          <w:tcPr>
            <w:tcW w:type="dxa" w:w="2280"/>
            <w:vMerge w:val="restart"/>
            <w:shd w:fill="E8F5E9"/>
          </w:tcPr>
          <w:p>
            <w:pPr>
              <w:jc w:val="left"/>
            </w:pPr>
            <w:r>
              <w:rPr>
                <w:sz w:val="18"/>
              </w:rPr>
              <w:t>Medium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Are data retention and disposal procedures implemented?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Yes — automated lifecycle management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Yes — manual procedures documented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Partial — some data managed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No retention/disposal procedures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Q23</w:t>
            </w:r>
          </w:p>
        </w:tc>
        <w:tc>
          <w:tcPr>
            <w:tcW w:type="dxa" w:w="2280"/>
            <w:vMerge w:val="restart"/>
            <w:shd w:fill="FFF3E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Does the application maintain disclosure records as required by FERPA §99.32?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Yes — automated logging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Yes — manual records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Not applicable (no education records)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No — not implemented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</w:tbl>
    <w:p>
      <w:r>
        <w:br w:type="page"/>
      </w:r>
    </w:p>
    <w:p>
      <w:pPr>
        <w:pStyle w:val="Heading1"/>
      </w:pPr>
      <w:r>
        <w:t>Secure Development and Change Management</w:t>
      </w:r>
    </w:p>
    <w:tbl>
      <w:tblPr>
        <w:tblW w:type="auto" w:w="0"/>
        <w:jc w:val="left"/>
        <w:tblLook w:firstColumn="1" w:firstRow="1" w:lastColumn="0" w:lastRow="0" w:noHBand="0" w:noVBand="1" w:val="04A0"/>
        <w:tblW w:type="pct" w:w="500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6840"/>
        <w:gridCol w:w="6840"/>
      </w:tblGrid>
      <w:tr>
        <w:trPr>
          <w:trHeight w:hRule="auto" w:val="0"/>
        </w:trPr>
        <w:tc>
          <w:tcPr>
            <w:tcW w:type="dxa" w:w="684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Reference Type</w:t>
            </w:r>
          </w:p>
        </w:tc>
        <w:tc>
          <w:tcPr>
            <w:tcW w:type="dxa" w:w="684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Applicable References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Stride Policies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STRIDE ISP 4.4, STRIDE IISP 9.0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NIST CSF 2.0 Subcategories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PR.PS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Policy Scope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ISP 4.4: Platform Security (PR.PS); IISP 9.0: Secure Software Development Policy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SOX §404 ITGC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SOX §404 ITGC domains CM-1 through CM-6 and PD-1 through PD-4 require documented change management and security testing controls.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  <w:tblW w:type="pct" w:w="500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rPr>
          <w:trHeight w:hRule="auto" w:val="0"/>
        </w:trPr>
        <w:tc>
          <w:tcPr>
            <w:tcW w:type="dxa" w:w="228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228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Weight</w:t>
            </w:r>
          </w:p>
        </w:tc>
        <w:tc>
          <w:tcPr>
            <w:tcW w:type="dxa" w:w="228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Question</w:t>
            </w:r>
          </w:p>
        </w:tc>
        <w:tc>
          <w:tcPr>
            <w:tcW w:type="dxa" w:w="228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Answer Choices</w:t>
            </w:r>
          </w:p>
        </w:tc>
        <w:tc>
          <w:tcPr>
            <w:tcW w:type="dxa" w:w="228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✓</w:t>
            </w:r>
          </w:p>
        </w:tc>
        <w:tc>
          <w:tcPr>
            <w:tcW w:type="dxa" w:w="228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Notes</w:t>
            </w:r>
          </w:p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Q24</w:t>
            </w:r>
          </w:p>
        </w:tc>
        <w:tc>
          <w:tcPr>
            <w:tcW w:type="dxa" w:w="2280"/>
            <w:vMerge w:val="restart"/>
            <w:shd w:fill="FFF3E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Is the application developed using a documented SDLC methodology?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Yes — with security gates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Yes — without explicit security gates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Informal development process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Third-party managed / SaaS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Q25</w:t>
            </w:r>
          </w:p>
        </w:tc>
        <w:tc>
          <w:tcPr>
            <w:tcW w:type="dxa" w:w="2280"/>
            <w:vMerge w:val="restart"/>
            <w:shd w:fill="FFEBEE"/>
          </w:tcPr>
          <w:p>
            <w:pPr>
              <w:jc w:val="left"/>
            </w:pPr>
            <w:r>
              <w:rPr>
                <w:sz w:val="18"/>
              </w:rPr>
              <w:t>Critical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Are SAST and/or SCA scans integrated into the CI/CD pipeline?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Yes — blocking on critical findings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EBEE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Yes — advisory only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EBEE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Manual scans only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EBEE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No security scanning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Q26</w:t>
            </w:r>
          </w:p>
        </w:tc>
        <w:tc>
          <w:tcPr>
            <w:tcW w:type="dxa" w:w="2280"/>
            <w:vMerge w:val="restart"/>
            <w:shd w:fill="FFF3E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Is DAST or penetration testing performed?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Yes — automated DAST in CI/CD + annual pentest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Annual penetration test only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Ad-hoc testing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No DAST or penetration testing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Q27</w:t>
            </w:r>
          </w:p>
        </w:tc>
        <w:tc>
          <w:tcPr>
            <w:tcW w:type="dxa" w:w="2280"/>
            <w:vMerge w:val="restart"/>
            <w:shd w:fill="FFF3E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Are development, test, and production environments segregated?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Yes — fully segregated with access controls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Partially segregated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Shared environments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N/A — SaaS application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Q28</w:t>
            </w:r>
          </w:p>
        </w:tc>
        <w:tc>
          <w:tcPr>
            <w:tcW w:type="dxa" w:w="2280"/>
            <w:vMerge w:val="restart"/>
            <w:shd w:fill="FFF3E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Is there a formal change approval process for production deployments?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Yes — CAB/change authority approval required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Yes — peer review only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No formal approval process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N/A — vendor managed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Q29</w:t>
            </w:r>
          </w:p>
        </w:tc>
        <w:tc>
          <w:tcPr>
            <w:tcW w:type="dxa" w:w="2280"/>
            <w:vMerge w:val="restart"/>
            <w:shd w:fill="FFF3E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Is the application managed through the enterprise endpoint or patch management system, or does it require an out-of-band update mechanism?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Fully managed via enterprise MDM/SCCM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Partially managed — some updates out-of-band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Entirely out-of-band (CLI, manual, or vendor-pushed)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N/A — SaaS / vendor-managed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Q30</w:t>
            </w:r>
          </w:p>
        </w:tc>
        <w:tc>
          <w:tcPr>
            <w:tcW w:type="dxa" w:w="2280"/>
            <w:vMerge w:val="restart"/>
            <w:shd w:fill="FFF3E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Are human review and approval required before application outputs are used in production or decision-making?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Yes — mandatory human review with sign-off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Yes — sampling-based or risk-tiered review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No — outputs used directly without review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N/A — application does not generate decision outputs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</w:tbl>
    <w:p>
      <w:r>
        <w:br w:type="page"/>
      </w:r>
    </w:p>
    <w:p>
      <w:pPr>
        <w:pStyle w:val="Heading1"/>
      </w:pPr>
      <w:r>
        <w:t>Vulnerability and Threat Management</w:t>
      </w:r>
    </w:p>
    <w:tbl>
      <w:tblPr>
        <w:tblW w:type="auto" w:w="0"/>
        <w:jc w:val="left"/>
        <w:tblLook w:firstColumn="1" w:firstRow="1" w:lastColumn="0" w:lastRow="0" w:noHBand="0" w:noVBand="1" w:val="04A0"/>
        <w:tblW w:type="pct" w:w="500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6840"/>
        <w:gridCol w:w="6840"/>
      </w:tblGrid>
      <w:tr>
        <w:trPr>
          <w:trHeight w:hRule="auto" w:val="0"/>
        </w:trPr>
        <w:tc>
          <w:tcPr>
            <w:tcW w:type="dxa" w:w="684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Reference Type</w:t>
            </w:r>
          </w:p>
        </w:tc>
        <w:tc>
          <w:tcPr>
            <w:tcW w:type="dxa" w:w="684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Applicable References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Stride Policies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STRIDE IISP 7.0, STRIDE ISP 3.2, STRIDE ISP 5.1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NIST CSF 2.0 Subcategories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ID.RA, DE.CM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Policy Scope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IISP 7.0: Vulnerability Management Policy; ISP 3.2: Risk Assessment (ID.RA); ISP 5.1: Continuous Monitoring (DE.CM)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  <w:tblW w:type="pct" w:w="500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rPr>
          <w:trHeight w:hRule="auto" w:val="0"/>
        </w:trPr>
        <w:tc>
          <w:tcPr>
            <w:tcW w:type="dxa" w:w="228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228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Weight</w:t>
            </w:r>
          </w:p>
        </w:tc>
        <w:tc>
          <w:tcPr>
            <w:tcW w:type="dxa" w:w="228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Question</w:t>
            </w:r>
          </w:p>
        </w:tc>
        <w:tc>
          <w:tcPr>
            <w:tcW w:type="dxa" w:w="228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Answer Choices</w:t>
            </w:r>
          </w:p>
        </w:tc>
        <w:tc>
          <w:tcPr>
            <w:tcW w:type="dxa" w:w="228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✓</w:t>
            </w:r>
          </w:p>
        </w:tc>
        <w:tc>
          <w:tcPr>
            <w:tcW w:type="dxa" w:w="228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Notes</w:t>
            </w:r>
          </w:p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Q31</w:t>
            </w:r>
          </w:p>
        </w:tc>
        <w:tc>
          <w:tcPr>
            <w:tcW w:type="dxa" w:w="2280"/>
            <w:vMerge w:val="restart"/>
            <w:shd w:fill="FFEBEE"/>
          </w:tcPr>
          <w:p>
            <w:pPr>
              <w:jc w:val="left"/>
            </w:pPr>
            <w:r>
              <w:rPr>
                <w:sz w:val="18"/>
              </w:rPr>
              <w:t>Critical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Is the application included in vulnerability scanning scope?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Yes — authenticated scans weekly+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EBEE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Yes — unauthenticated scans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EBEE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Ad-hoc scanning only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EBEE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Not in scanning scope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Q32</w:t>
            </w:r>
          </w:p>
        </w:tc>
        <w:tc>
          <w:tcPr>
            <w:tcW w:type="dxa" w:w="2280"/>
            <w:vMerge w:val="restart"/>
            <w:shd w:fill="FFF3E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What is the SLA for remediating critical vulnerabilities?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7 days or fewer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8–30 days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31–90 days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&gt; 90 days or no SLA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Q33</w:t>
            </w:r>
          </w:p>
        </w:tc>
        <w:tc>
          <w:tcPr>
            <w:tcW w:type="dxa" w:w="2280"/>
            <w:vMerge w:val="restart"/>
            <w:shd w:fill="FFF3E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Is the application monitored for security events?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Yes — SIEM integration with alerting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Yes — log collection without alerting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Partial monitoring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No security monitoring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Q34</w:t>
            </w:r>
          </w:p>
        </w:tc>
        <w:tc>
          <w:tcPr>
            <w:tcW w:type="dxa" w:w="2280"/>
            <w:vMerge w:val="restart"/>
            <w:shd w:fill="E8F5E9"/>
          </w:tcPr>
          <w:p>
            <w:pPr>
              <w:jc w:val="left"/>
            </w:pPr>
            <w:r>
              <w:rPr>
                <w:sz w:val="18"/>
              </w:rPr>
              <w:t>Medium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Does the application have a web application firewall (WAF)?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Yes — managed WAF with tuned rules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Yes — default WAF rules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No WAF — network firewall only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No protection layer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Q35</w:t>
            </w:r>
          </w:p>
        </w:tc>
        <w:tc>
          <w:tcPr>
            <w:tcW w:type="dxa" w:w="2280"/>
            <w:vMerge w:val="restart"/>
            <w:shd w:fill="FFF3E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Are detective controls implemented to identify unauthorized or anomalous use of this application?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Yes — automated detection with real-time alerting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Yes — log-based detection requiring manual review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Partial — some detection capabilities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No detective controls implemented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Q36</w:t>
            </w:r>
          </w:p>
        </w:tc>
        <w:tc>
          <w:tcPr>
            <w:tcW w:type="dxa" w:w="2280"/>
            <w:vMerge w:val="restart"/>
            <w:shd w:fill="FFF3E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Are corrective controls defined to remediate or contain issues detected during application use?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Yes — automated remediation and rollback capabilities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Yes — documented manual corrective procedures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Partial — ad-hoc correction only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No corrective controls defined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Q37</w:t>
            </w:r>
          </w:p>
        </w:tc>
        <w:tc>
          <w:tcPr>
            <w:tcW w:type="dxa" w:w="2280"/>
            <w:vMerge w:val="restart"/>
            <w:shd w:fill="E8F5E9"/>
          </w:tcPr>
          <w:p>
            <w:pPr>
              <w:jc w:val="left"/>
            </w:pPr>
            <w:r>
              <w:rPr>
                <w:sz w:val="18"/>
              </w:rPr>
              <w:t>Medium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Is application usage monitored with defined KPIs escalated to both team-level and enterprise-level analysis?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Yes — dashboards with KPIs at both levels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Yes — team-level metrics only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Partial — ad-hoc reporting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No usage monitoring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</w:tbl>
    <w:p>
      <w:r>
        <w:br w:type="page"/>
      </w:r>
    </w:p>
    <w:p>
      <w:pPr>
        <w:pStyle w:val="Heading1"/>
      </w:pPr>
      <w:r>
        <w:t>Incident Response and Business Continuity</w:t>
      </w:r>
    </w:p>
    <w:tbl>
      <w:tblPr>
        <w:tblW w:type="auto" w:w="0"/>
        <w:jc w:val="left"/>
        <w:tblLook w:firstColumn="1" w:firstRow="1" w:lastColumn="0" w:lastRow="0" w:noHBand="0" w:noVBand="1" w:val="04A0"/>
        <w:tblW w:type="pct" w:w="500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6840"/>
        <w:gridCol w:w="6840"/>
      </w:tblGrid>
      <w:tr>
        <w:trPr>
          <w:trHeight w:hRule="auto" w:val="0"/>
        </w:trPr>
        <w:tc>
          <w:tcPr>
            <w:tcW w:type="dxa" w:w="684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Reference Type</w:t>
            </w:r>
          </w:p>
        </w:tc>
        <w:tc>
          <w:tcPr>
            <w:tcW w:type="dxa" w:w="684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Applicable References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Stride Policies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STRIDE ISP 6.1, STRIDE ISP 6.2, STRIDE IISP 1.0, STRIDE IISP 10.0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NIST CSF 2.0 Subcategories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RS.MA, RS.AN, RC.RP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Policy Scope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ISP 6.1: Incident Management (RS.MA); ISP 6.2: Incident Analysis (RS.AN); IISP 1.0: Business Continuity Policy; IISP 10.0: Forensics Handling of Sensitive Matters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  <w:tblW w:type="pct" w:w="500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rPr>
          <w:trHeight w:hRule="auto" w:val="0"/>
        </w:trPr>
        <w:tc>
          <w:tcPr>
            <w:tcW w:type="dxa" w:w="228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228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Weight</w:t>
            </w:r>
          </w:p>
        </w:tc>
        <w:tc>
          <w:tcPr>
            <w:tcW w:type="dxa" w:w="228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Question</w:t>
            </w:r>
          </w:p>
        </w:tc>
        <w:tc>
          <w:tcPr>
            <w:tcW w:type="dxa" w:w="228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Answer Choices</w:t>
            </w:r>
          </w:p>
        </w:tc>
        <w:tc>
          <w:tcPr>
            <w:tcW w:type="dxa" w:w="228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✓</w:t>
            </w:r>
          </w:p>
        </w:tc>
        <w:tc>
          <w:tcPr>
            <w:tcW w:type="dxa" w:w="228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Notes</w:t>
            </w:r>
          </w:p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Q38</w:t>
            </w:r>
          </w:p>
        </w:tc>
        <w:tc>
          <w:tcPr>
            <w:tcW w:type="dxa" w:w="2280"/>
            <w:vMerge w:val="restart"/>
            <w:shd w:fill="FFF3E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Is the application covered by the incident response plan?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Yes — application-specific runbook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Yes — covered by general IRP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Partial coverage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Not covered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Q39</w:t>
            </w:r>
          </w:p>
        </w:tc>
        <w:tc>
          <w:tcPr>
            <w:tcW w:type="dxa" w:w="2280"/>
            <w:vMerge w:val="restart"/>
            <w:shd w:fill="FFF3E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What is the Recovery Time Objective (RTO)?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1 hour or less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1–4 hours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4–24 hours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&gt; 24 hours or undefined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Q40</w:t>
            </w:r>
          </w:p>
        </w:tc>
        <w:tc>
          <w:tcPr>
            <w:tcW w:type="dxa" w:w="2280"/>
            <w:vMerge w:val="restart"/>
            <w:shd w:fill="FFF3E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What is the Recovery Point Objective (RPO)?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1 hour or less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1–4 hours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4–24 hours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&gt; 24 hours or undefined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Q41</w:t>
            </w:r>
          </w:p>
        </w:tc>
        <w:tc>
          <w:tcPr>
            <w:tcW w:type="dxa" w:w="2280"/>
            <w:vMerge w:val="restart"/>
            <w:shd w:fill="FFF3E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When was the last backup restoration test performed?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Within 6 months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6–12 months ago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&gt; 12 months ago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Never tested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Q42</w:t>
            </w:r>
          </w:p>
        </w:tc>
        <w:tc>
          <w:tcPr>
            <w:tcW w:type="dxa" w:w="2280"/>
            <w:vMerge w:val="restart"/>
            <w:shd w:fill="E8F5E9"/>
          </w:tcPr>
          <w:p>
            <w:pPr>
              <w:jc w:val="left"/>
            </w:pPr>
            <w:r>
              <w:rPr>
                <w:sz w:val="18"/>
              </w:rPr>
              <w:t>Medium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Is forensic evidence preservation addressed for this application?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Yes — log retention and chain of custody documented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Partial — logs retained but no formal process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No forensic readiness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N/A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</w:tbl>
    <w:p>
      <w:r>
        <w:br w:type="page"/>
      </w:r>
    </w:p>
    <w:p>
      <w:pPr>
        <w:pStyle w:val="Heading1"/>
      </w:pPr>
      <w:r>
        <w:t>Third-Party and Supply Chain Risk</w:t>
      </w:r>
    </w:p>
    <w:tbl>
      <w:tblPr>
        <w:tblW w:type="auto" w:w="0"/>
        <w:jc w:val="left"/>
        <w:tblLook w:firstColumn="1" w:firstRow="1" w:lastColumn="0" w:lastRow="0" w:noHBand="0" w:noVBand="1" w:val="04A0"/>
        <w:tblW w:type="pct" w:w="500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6840"/>
        <w:gridCol w:w="6840"/>
      </w:tblGrid>
      <w:tr>
        <w:trPr>
          <w:trHeight w:hRule="auto" w:val="0"/>
        </w:trPr>
        <w:tc>
          <w:tcPr>
            <w:tcW w:type="dxa" w:w="684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Reference Type</w:t>
            </w:r>
          </w:p>
        </w:tc>
        <w:tc>
          <w:tcPr>
            <w:tcW w:type="dxa" w:w="684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Applicable References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Stride Policies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STRIDE ISP 2.6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NIST CSF 2.0 Subcategories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GV.SC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Policy Scope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ISP 2.6: Cybersecurity Supply Chain Risk Management (GV.SC)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  <w:tblW w:type="pct" w:w="500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rPr>
          <w:trHeight w:hRule="auto" w:val="0"/>
        </w:trPr>
        <w:tc>
          <w:tcPr>
            <w:tcW w:type="dxa" w:w="228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228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Weight</w:t>
            </w:r>
          </w:p>
        </w:tc>
        <w:tc>
          <w:tcPr>
            <w:tcW w:type="dxa" w:w="228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Question</w:t>
            </w:r>
          </w:p>
        </w:tc>
        <w:tc>
          <w:tcPr>
            <w:tcW w:type="dxa" w:w="228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Answer Choices</w:t>
            </w:r>
          </w:p>
        </w:tc>
        <w:tc>
          <w:tcPr>
            <w:tcW w:type="dxa" w:w="228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✓</w:t>
            </w:r>
          </w:p>
        </w:tc>
        <w:tc>
          <w:tcPr>
            <w:tcW w:type="dxa" w:w="228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Notes</w:t>
            </w:r>
          </w:p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Q43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Info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Is the application a third-party or SaaS product?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Yes — SaaS / cloud-hosted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Yes — on-premises third-party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No — internally developed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Hybrid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Q44</w:t>
            </w:r>
          </w:p>
        </w:tc>
        <w:tc>
          <w:tcPr>
            <w:tcW w:type="dxa" w:w="2280"/>
            <w:vMerge w:val="restart"/>
            <w:shd w:fill="FFF3E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Has a vendor security assessment been completed?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Yes — within 12 months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Yes — older than 12 months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No assessment performed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N/A — internal application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Q45</w:t>
            </w:r>
          </w:p>
        </w:tc>
        <w:tc>
          <w:tcPr>
            <w:tcW w:type="dxa" w:w="2280"/>
            <w:vMerge w:val="restart"/>
            <w:shd w:fill="FFF3E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Does the vendor contract include security requirements?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Yes — comprehensive security addendum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Yes — basic security clauses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No security requirements in contract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N/A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Q46</w:t>
            </w:r>
          </w:p>
        </w:tc>
        <w:tc>
          <w:tcPr>
            <w:tcW w:type="dxa" w:w="2280"/>
            <w:vMerge w:val="restart"/>
            <w:shd w:fill="E8F5E9"/>
          </w:tcPr>
          <w:p>
            <w:pPr>
              <w:jc w:val="left"/>
            </w:pPr>
            <w:r>
              <w:rPr>
                <w:sz w:val="18"/>
              </w:rPr>
              <w:t>Medium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Is there a defined exit strategy for vendor transition?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Yes — documented with data portability plan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Partial plan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No exit strategy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N/A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Q47</w:t>
            </w:r>
          </w:p>
        </w:tc>
        <w:tc>
          <w:tcPr>
            <w:tcW w:type="dxa" w:w="2280"/>
            <w:vMerge w:val="restart"/>
            <w:shd w:fill="FFF3E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Is there a phased deployment plan with maturity-gated control enhancements (e.g., crawl/walk/run)?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Yes — defined phases with control gates at each stage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Yes — informal phased approach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No — full deployment without phased controls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N/A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Q48</w:t>
            </w:r>
          </w:p>
        </w:tc>
        <w:tc>
          <w:tcPr>
            <w:tcW w:type="dxa" w:w="2280"/>
            <w:vMerge w:val="restart"/>
            <w:shd w:fill="FFF3E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Have AI-specific risks been formally assessed for this application (e.g., overreliance, output accuracy, prompt consistency, IP leakage)?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Yes — formal AI risk assessment completed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Yes — partial assessment of key risks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Not applicable — no AI/ML capabilities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No — AI risks not assessed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</w:tbl>
    <w:p>
      <w:r>
        <w:br w:type="page"/>
      </w:r>
    </w:p>
    <w:p>
      <w:pPr>
        <w:pStyle w:val="Heading1"/>
      </w:pPr>
      <w:r>
        <w:t>Assessment Summary</w:t>
      </w:r>
    </w:p>
    <w:p>
      <w:pPr>
        <w:pStyle w:val="Heading2"/>
      </w:pPr>
      <w:r>
        <w:t>Domain Summary</w:t>
      </w:r>
    </w:p>
    <w:tbl>
      <w:tblPr>
        <w:tblW w:type="auto" w:w="0"/>
        <w:jc w:val="left"/>
        <w:tblLook w:firstColumn="1" w:firstRow="1" w:lastColumn="0" w:lastRow="0" w:noHBand="0" w:noVBand="1" w:val="04A0"/>
        <w:tblW w:type="pct" w:w="500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2736"/>
        <w:gridCol w:w="2736"/>
        <w:gridCol w:w="2736"/>
        <w:gridCol w:w="2736"/>
        <w:gridCol w:w="2736"/>
      </w:tblGrid>
      <w:tr>
        <w:trPr>
          <w:trHeight w:hRule="auto" w:val="0"/>
        </w:trPr>
        <w:tc>
          <w:tcPr>
            <w:tcW w:type="dxa" w:w="2736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Domain</w:t>
            </w:r>
          </w:p>
        </w:tc>
        <w:tc>
          <w:tcPr>
            <w:tcW w:type="dxa" w:w="2736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# Questions</w:t>
            </w:r>
          </w:p>
        </w:tc>
        <w:tc>
          <w:tcPr>
            <w:tcW w:type="dxa" w:w="2736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Score %</w:t>
            </w:r>
          </w:p>
        </w:tc>
        <w:tc>
          <w:tcPr>
            <w:tcW w:type="dxa" w:w="2736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Rating</w:t>
            </w:r>
          </w:p>
        </w:tc>
        <w:tc>
          <w:tcPr>
            <w:tcW w:type="dxa" w:w="2736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Notes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Governance and Program Management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12</w:t>
            </w:r>
          </w:p>
        </w:tc>
        <w:tc>
          <w:tcPr>
            <w:tcW w:type="dxa" w:w="2736"/>
          </w:tcPr>
          <w:p>
            <w:pPr>
              <w:jc w:val="left"/>
            </w:pPr>
          </w:p>
        </w:tc>
        <w:tc>
          <w:tcPr>
            <w:tcW w:type="dxa" w:w="2736"/>
          </w:tcPr>
          <w:p>
            <w:pPr>
              <w:jc w:val="left"/>
            </w:pPr>
          </w:p>
        </w:tc>
        <w:tc>
          <w:tcPr>
            <w:tcW w:type="dxa" w:w="2736"/>
          </w:tcPr>
          <w:p>
            <w:pPr>
              <w:jc w:val="left"/>
            </w:pP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Identity and Access Management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5</w:t>
            </w:r>
          </w:p>
        </w:tc>
        <w:tc>
          <w:tcPr>
            <w:tcW w:type="dxa" w:w="2736"/>
          </w:tcPr>
          <w:p>
            <w:pPr>
              <w:jc w:val="left"/>
            </w:pPr>
          </w:p>
        </w:tc>
        <w:tc>
          <w:tcPr>
            <w:tcW w:type="dxa" w:w="2736"/>
          </w:tcPr>
          <w:p>
            <w:pPr>
              <w:jc w:val="left"/>
            </w:pPr>
          </w:p>
        </w:tc>
        <w:tc>
          <w:tcPr>
            <w:tcW w:type="dxa" w:w="2736"/>
          </w:tcPr>
          <w:p>
            <w:pPr>
              <w:jc w:val="left"/>
            </w:pP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Data Protection and Privacy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6</w:t>
            </w:r>
          </w:p>
        </w:tc>
        <w:tc>
          <w:tcPr>
            <w:tcW w:type="dxa" w:w="2736"/>
          </w:tcPr>
          <w:p>
            <w:pPr>
              <w:jc w:val="left"/>
            </w:pPr>
          </w:p>
        </w:tc>
        <w:tc>
          <w:tcPr>
            <w:tcW w:type="dxa" w:w="2736"/>
          </w:tcPr>
          <w:p>
            <w:pPr>
              <w:jc w:val="left"/>
            </w:pPr>
          </w:p>
        </w:tc>
        <w:tc>
          <w:tcPr>
            <w:tcW w:type="dxa" w:w="2736"/>
          </w:tcPr>
          <w:p>
            <w:pPr>
              <w:jc w:val="left"/>
            </w:pP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Secure Development and Change Management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7</w:t>
            </w:r>
          </w:p>
        </w:tc>
        <w:tc>
          <w:tcPr>
            <w:tcW w:type="dxa" w:w="2736"/>
          </w:tcPr>
          <w:p>
            <w:pPr>
              <w:jc w:val="left"/>
            </w:pPr>
          </w:p>
        </w:tc>
        <w:tc>
          <w:tcPr>
            <w:tcW w:type="dxa" w:w="2736"/>
          </w:tcPr>
          <w:p>
            <w:pPr>
              <w:jc w:val="left"/>
            </w:pPr>
          </w:p>
        </w:tc>
        <w:tc>
          <w:tcPr>
            <w:tcW w:type="dxa" w:w="2736"/>
          </w:tcPr>
          <w:p>
            <w:pPr>
              <w:jc w:val="left"/>
            </w:pP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Vulnerability and Threat Management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7</w:t>
            </w:r>
          </w:p>
        </w:tc>
        <w:tc>
          <w:tcPr>
            <w:tcW w:type="dxa" w:w="2736"/>
          </w:tcPr>
          <w:p>
            <w:pPr>
              <w:jc w:val="left"/>
            </w:pPr>
          </w:p>
        </w:tc>
        <w:tc>
          <w:tcPr>
            <w:tcW w:type="dxa" w:w="2736"/>
          </w:tcPr>
          <w:p>
            <w:pPr>
              <w:jc w:val="left"/>
            </w:pPr>
          </w:p>
        </w:tc>
        <w:tc>
          <w:tcPr>
            <w:tcW w:type="dxa" w:w="2736"/>
          </w:tcPr>
          <w:p>
            <w:pPr>
              <w:jc w:val="left"/>
            </w:pP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Incident Response and Business Continuity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5</w:t>
            </w:r>
          </w:p>
        </w:tc>
        <w:tc>
          <w:tcPr>
            <w:tcW w:type="dxa" w:w="2736"/>
          </w:tcPr>
          <w:p>
            <w:pPr>
              <w:jc w:val="left"/>
            </w:pPr>
          </w:p>
        </w:tc>
        <w:tc>
          <w:tcPr>
            <w:tcW w:type="dxa" w:w="2736"/>
          </w:tcPr>
          <w:p>
            <w:pPr>
              <w:jc w:val="left"/>
            </w:pPr>
          </w:p>
        </w:tc>
        <w:tc>
          <w:tcPr>
            <w:tcW w:type="dxa" w:w="2736"/>
          </w:tcPr>
          <w:p>
            <w:pPr>
              <w:jc w:val="left"/>
            </w:pP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Third-Party and Supply Chain Risk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6</w:t>
            </w:r>
          </w:p>
        </w:tc>
        <w:tc>
          <w:tcPr>
            <w:tcW w:type="dxa" w:w="2736"/>
          </w:tcPr>
          <w:p>
            <w:pPr>
              <w:jc w:val="left"/>
            </w:pPr>
          </w:p>
        </w:tc>
        <w:tc>
          <w:tcPr>
            <w:tcW w:type="dxa" w:w="2736"/>
          </w:tcPr>
          <w:p>
            <w:pPr>
              <w:jc w:val="left"/>
            </w:pPr>
          </w:p>
        </w:tc>
        <w:tc>
          <w:tcPr>
            <w:tcW w:type="dxa" w:w="2736"/>
          </w:tcPr>
          <w:p>
            <w:pPr>
              <w:jc w:val="left"/>
            </w:pP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OVERALL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48</w:t>
            </w:r>
          </w:p>
        </w:tc>
        <w:tc>
          <w:tcPr>
            <w:tcW w:type="dxa" w:w="2736"/>
          </w:tcPr>
          <w:p>
            <w:pPr>
              <w:jc w:val="left"/>
            </w:pPr>
          </w:p>
        </w:tc>
        <w:tc>
          <w:tcPr>
            <w:tcW w:type="dxa" w:w="2736"/>
          </w:tcPr>
          <w:p>
            <w:pPr>
              <w:jc w:val="left"/>
            </w:pPr>
          </w:p>
        </w:tc>
        <w:tc>
          <w:tcPr>
            <w:tcW w:type="dxa" w:w="2736"/>
          </w:tcPr>
          <w:p>
            <w:pPr>
              <w:jc w:val="left"/>
            </w:pPr>
          </w:p>
        </w:tc>
      </w:tr>
    </w:tbl>
    <w:p>
      <w:pPr>
        <w:pStyle w:val="Heading2"/>
      </w:pPr>
      <w:r>
        <w:t>Risk Rating Scale</w:t>
      </w:r>
    </w:p>
    <w:tbl>
      <w:tblPr>
        <w:tblW w:type="auto" w:w="0"/>
        <w:jc w:val="left"/>
        <w:tblLook w:firstColumn="1" w:firstRow="1" w:lastColumn="0" w:lastRow="0" w:noHBand="0" w:noVBand="1" w:val="04A0"/>
        <w:tblW w:type="pct" w:w="500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4560"/>
        <w:gridCol w:w="4560"/>
        <w:gridCol w:w="4560"/>
      </w:tblGrid>
      <w:tr>
        <w:trPr>
          <w:trHeight w:hRule="auto" w:val="0"/>
        </w:trPr>
        <w:tc>
          <w:tcPr>
            <w:tcW w:type="dxa" w:w="456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Norm %</w:t>
            </w:r>
          </w:p>
        </w:tc>
        <w:tc>
          <w:tcPr>
            <w:tcW w:type="dxa" w:w="456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456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Rating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</w:p>
        </w:tc>
        <w:tc>
          <w:tcPr>
            <w:tcW w:type="dxa" w:w="4560"/>
          </w:tcPr>
          <w:p>
            <w:pPr>
              <w:jc w:val="left"/>
            </w:pPr>
          </w:p>
        </w:tc>
        <w:tc>
          <w:tcPr>
            <w:tcW w:type="dxa" w:w="4560"/>
          </w:tcPr>
          <w:p>
            <w:pPr>
              <w:jc w:val="left"/>
            </w:pP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</w:p>
        </w:tc>
        <w:tc>
          <w:tcPr>
            <w:tcW w:type="dxa" w:w="4560"/>
          </w:tcPr>
          <w:p>
            <w:pPr>
              <w:jc w:val="left"/>
            </w:pPr>
          </w:p>
        </w:tc>
        <w:tc>
          <w:tcPr>
            <w:tcW w:type="dxa" w:w="4560"/>
          </w:tcPr>
          <w:p>
            <w:pPr>
              <w:jc w:val="left"/>
            </w:pP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</w:p>
        </w:tc>
        <w:tc>
          <w:tcPr>
            <w:tcW w:type="dxa" w:w="4560"/>
          </w:tcPr>
          <w:p>
            <w:pPr>
              <w:jc w:val="left"/>
            </w:pPr>
          </w:p>
        </w:tc>
        <w:tc>
          <w:tcPr>
            <w:tcW w:type="dxa" w:w="4560"/>
          </w:tcPr>
          <w:p>
            <w:pPr>
              <w:jc w:val="left"/>
            </w:pP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</w:p>
        </w:tc>
        <w:tc>
          <w:tcPr>
            <w:tcW w:type="dxa" w:w="4560"/>
          </w:tcPr>
          <w:p>
            <w:pPr>
              <w:jc w:val="left"/>
            </w:pPr>
          </w:p>
        </w:tc>
        <w:tc>
          <w:tcPr>
            <w:tcW w:type="dxa" w:w="4560"/>
          </w:tcPr>
          <w:p>
            <w:pPr>
              <w:jc w:val="left"/>
            </w:pPr>
          </w:p>
        </w:tc>
      </w:tr>
      <w:tr>
        <w:trPr>
          <w:trHeight w:hRule="auto" w:val="0"/>
        </w:trPr>
        <w:tc>
          <w:tcPr>
            <w:tcW w:type="dxa" w:w="4560"/>
            <w:shd w:fill="E8F5E9"/>
          </w:tcPr>
          <w:p>
            <w:pPr>
              <w:jc w:val="left"/>
            </w:pPr>
            <w:r>
              <w:rPr>
                <w:sz w:val="18"/>
              </w:rPr>
              <w:t>0–25%</w:t>
            </w:r>
          </w:p>
        </w:tc>
        <w:tc>
          <w:tcPr>
            <w:tcW w:type="dxa" w:w="4560"/>
            <w:shd w:fill="E8F5E9"/>
          </w:tcPr>
          <w:p>
            <w:pPr>
              <w:jc w:val="left"/>
            </w:pPr>
            <w:r>
              <w:rPr>
                <w:sz w:val="18"/>
              </w:rPr>
              <w:t>Strong posture — controls are mature and effective</w:t>
            </w:r>
          </w:p>
        </w:tc>
        <w:tc>
          <w:tcPr>
            <w:tcW w:type="dxa" w:w="4560"/>
            <w:shd w:fill="E8F5E9"/>
          </w:tcPr>
          <w:p>
            <w:pPr>
              <w:jc w:val="left"/>
            </w:pPr>
            <w:r>
              <w:rPr>
                <w:sz w:val="18"/>
              </w:rPr>
              <w:t>Low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26–50%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Adequate posture — minor gaps with compensating controls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Moderate</w:t>
            </w:r>
          </w:p>
        </w:tc>
      </w:tr>
      <w:tr>
        <w:trPr>
          <w:trHeight w:hRule="auto" w:val="0"/>
        </w:trPr>
        <w:tc>
          <w:tcPr>
            <w:tcW w:type="dxa" w:w="4560"/>
            <w:shd w:fill="FFF3E0"/>
          </w:tcPr>
          <w:p>
            <w:pPr>
              <w:jc w:val="left"/>
            </w:pPr>
            <w:r>
              <w:rPr>
                <w:sz w:val="18"/>
              </w:rPr>
              <w:t>51–75%</w:t>
            </w:r>
          </w:p>
        </w:tc>
        <w:tc>
          <w:tcPr>
            <w:tcW w:type="dxa" w:w="4560"/>
            <w:shd w:fill="FFF3E0"/>
          </w:tcPr>
          <w:p>
            <w:pPr>
              <w:jc w:val="left"/>
            </w:pPr>
            <w:r>
              <w:rPr>
                <w:sz w:val="18"/>
              </w:rPr>
              <w:t>Elevated risk — material gaps requiring remediation plans</w:t>
            </w:r>
          </w:p>
        </w:tc>
        <w:tc>
          <w:tcPr>
            <w:tcW w:type="dxa" w:w="4560"/>
            <w:shd w:fill="FFF3E0"/>
          </w:tcPr>
          <w:p>
            <w:pPr>
              <w:jc w:val="left"/>
            </w:pPr>
            <w:r>
              <w:rPr>
                <w:sz w:val="18"/>
              </w:rPr>
              <w:t>Elevated</w:t>
            </w:r>
          </w:p>
        </w:tc>
      </w:tr>
      <w:tr>
        <w:trPr>
          <w:trHeight w:hRule="auto" w:val="0"/>
        </w:trPr>
        <w:tc>
          <w:tcPr>
            <w:tcW w:type="dxa" w:w="4560"/>
            <w:shd w:fill="FFEBEE"/>
          </w:tcPr>
          <w:p>
            <w:pPr>
              <w:jc w:val="left"/>
            </w:pPr>
            <w:r>
              <w:rPr>
                <w:sz w:val="18"/>
              </w:rPr>
              <w:t>76–100%</w:t>
            </w:r>
          </w:p>
        </w:tc>
        <w:tc>
          <w:tcPr>
            <w:tcW w:type="dxa" w:w="4560"/>
            <w:shd w:fill="FFEBEE"/>
          </w:tcPr>
          <w:p>
            <w:pPr>
              <w:jc w:val="left"/>
            </w:pPr>
            <w:r>
              <w:rPr>
                <w:sz w:val="18"/>
              </w:rPr>
              <w:t>Critical risk — fundamental controls missing or ineffective</w:t>
            </w:r>
          </w:p>
        </w:tc>
        <w:tc>
          <w:tcPr>
            <w:tcW w:type="dxa" w:w="4560"/>
            <w:shd w:fill="FFEBEE"/>
          </w:tcPr>
          <w:p>
            <w:pPr>
              <w:jc w:val="left"/>
            </w:pPr>
            <w:r>
              <w:rPr>
                <w:sz w:val="18"/>
              </w:rPr>
              <w:t>Critical</w:t>
            </w:r>
          </w:p>
        </w:tc>
      </w:tr>
    </w:tbl>
    <w:p>
      <w:pPr>
        <w:pStyle w:val="Heading2"/>
      </w:pPr>
      <w:r>
        <w:t>Assessor Certification</w:t>
      </w:r>
    </w:p>
    <w:tbl>
      <w:tblPr>
        <w:tblW w:type="auto" w:w="0"/>
        <w:jc w:val="left"/>
        <w:tblLook w:firstColumn="1" w:firstRow="1" w:lastColumn="0" w:lastRow="0" w:noHBand="0" w:noVBand="1" w:val="04A0"/>
        <w:tblW w:type="pct" w:w="500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6840"/>
        <w:gridCol w:w="6840"/>
      </w:tblGrid>
      <w:tr>
        <w:trPr>
          <w:trHeight w:hRule="auto" w:val="0"/>
        </w:trPr>
        <w:tc>
          <w:tcPr>
            <w:tcW w:type="dxa" w:w="6840"/>
            <w:shd w:fill="FFFFFF"/>
          </w:tcPr>
          <w:p>
            <w:pPr>
              <w:jc w:val="left"/>
            </w:pPr>
            <w:r>
              <w:rPr>
                <w:b/>
                <w:sz w:val="18"/>
              </w:rPr>
              <w:t>Assessor Signature:</w:t>
            </w:r>
          </w:p>
        </w:tc>
        <w:tc>
          <w:tcPr>
            <w:tcW w:type="dxa" w:w="6840"/>
            <w:shd w:fill="FFFFFF"/>
          </w:tcPr>
          <w:p>
            <w:pPr>
              <w:jc w:val="left"/>
            </w:pPr>
            <w:r>
              <w:rPr>
                <w:b/>
                <w:sz w:val="18"/>
              </w:rPr>
              <w:t>________________________________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Date: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________________________________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Reviewer Signature: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________________________________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Date: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________________________________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5840" w:h="12240" w:orient="landscape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57575"/>
        <w:sz w:val="16"/>
      </w:rPr>
      <w:t>March 3,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757575"/>
        <w:sz w:val="16"/>
      </w:rPr>
      <w:t>Stride ASR Questionnaire V3</w:t>
    </w:r>
    <w:r>
      <w:rPr>
        <w:color w:val="757575"/>
        <w:sz w:val="16"/>
      </w:rPr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print"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