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cstheme="majorHAnsi"/>
        </w:rPr>
        <w:id w:val="-1680423954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7583E5A1" w14:textId="563C8328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7274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Targets at a Glance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_Toc221872744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0D4254" w14:textId="603F9303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4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Policy Summaries (Main Body)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_Toc221872745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7B67F7B" w14:textId="1A6A78D9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4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1.0 – Business Continuity Policy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_Toc221872746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F459243" w14:textId="103A388F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4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2.0 – Data Classification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_Toc221872747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B08E27E" w14:textId="0AA4DA30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4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3.0 – International Travel Policy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_Toc221872748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EE5C08F" w14:textId="1B218680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49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4.0 – Acceptable Use Policy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_Toc221872749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F18FE0D" w14:textId="3D2A44EB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0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5.0 – Artificial Intelligence – Acceptable Use Policy (AI-AUP)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_Toc221872750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CD6F2DE" w14:textId="127A910E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1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7.0 – Vulnerability Management Policy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_Toc221872751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D3006B0" w14:textId="4F7821F8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2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8.0 – Non-Employee Acceptable Use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_Toc221872752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67D782F" w14:textId="1C464778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3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9.0 – Secure Software Development Policy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_Toc221872753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67892A4" w14:textId="13D01ECE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STRIDE IISP 10.0 – Forensic Handling of Sensitive Matters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A9E892E" w14:textId="0B4862A8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APPENDIX A – NIST CSF 2.0 Control → STRIDE IISP Cross-Reference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F0156E4" w14:textId="016B7DBD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APPENDIX B – FERPA Requirements / Guidance → STRIDE IISP Cross-Reference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6F56F8" w14:textId="4BADE1D6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APPENDIX C – SOX 404 Requirements / Guidance → STRIDE IISP Cross-Reference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13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76868BF" w14:textId="4EF7BDE7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APPENDIX D – SOC-Style Control Narratives (Audit-Ready)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B873C94" w14:textId="71E1FB5A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59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D.1 NIST CSF 2.0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_Toc221872759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E2BE7C2" w14:textId="6621BD40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0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DE.CM-09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_Toc221872760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566F032" w14:textId="664DF022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1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GV.PO-01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_Toc221872761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919653C" w14:textId="0ADA8177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2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GV.RR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_Toc221872762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E4D9C0A" w14:textId="11B793E3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3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GV.SC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_Toc221872763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682564" w14:textId="0AD134A3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GV.SC-02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06F4D89" w14:textId="37911168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ID.AM-02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8FE634D" w14:textId="1386728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ID.AM-07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2345558" w14:textId="17F24ECD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ID.BE-04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CBAD8AD" w14:textId="4F71D028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ID.BE-05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717382B" w14:textId="521E2B22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69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ID.RA-01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_Toc221872769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D2A2DC" w14:textId="7132BC9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0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ID.RA-08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_Toc221872770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BBEB894" w14:textId="6EAD022F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1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PR.AA-03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_Toc221872771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EBBB366" w14:textId="06300A8D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2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PR.AA-05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_Toc221872772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DE1B48" w14:textId="44CA0549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3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PR.AT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_Toc221872773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0C98114" w14:textId="5ED3210A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PR.AT-01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D69DA11" w14:textId="055F1298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PR.DS-01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DFBD7A" w14:textId="1246A4A1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PR.DS-02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274E28B" w14:textId="4EE49892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PR.DS-05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9238D37" w14:textId="3B8BB9E1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PR.DS-07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3ED62F4" w14:textId="502E17D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79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PR.IR-01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_Toc221872779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4FA11AC" w14:textId="6787F9F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0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PR.PS-02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_Toc221872780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8849D99" w14:textId="71E8C2B4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1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PR.PS-04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_Toc221872781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9EAD34" w14:textId="6D9094D7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2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PR.PS-05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_Toc221872782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C678DB0" w14:textId="603998E5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3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PR.PS-06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_Toc221872783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BB38510" w14:textId="7A4FEA0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RS.AN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1046E7D" w14:textId="39A8686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RS.AN-06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20F6350" w14:textId="6D2E9C93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RS.AN-07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361CCDA" w14:textId="30027A9D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RS.MA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9FCAA67" w14:textId="65C959AA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Control Target: RS.MA-05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21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D21F7C7" w14:textId="2175A406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89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D.2 FERPA (security/tech-risk topics)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_Toc221872789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B2B5647" w14:textId="70FEC387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0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§99.7 Annual notification of rights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_Toc221872790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8999220" w14:textId="2B7C3F97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1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§99.10 Inspect and review education records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_Toc221872791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6878F2B" w14:textId="1851A8B4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2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§99.20–§99.22 Amendment &amp; hearing processes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_Toc221872792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8C51A5" w14:textId="194F4BC4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3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§99.30 Consent required for disclosure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_Toc221872793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22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724E56F" w14:textId="188DFCEF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§99.31 Consent exceptions governance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D829989" w14:textId="513584D9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§99.32 Recordkeeping of requests/disclosures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48D7D1" w14:textId="76AFB1EE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§99.33 Redisclosure limitations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38C257F" w14:textId="2A39004C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§99.36 Health/safety emergency disclosures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87584C" w14:textId="47CF558B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FERPA Topic: §99.37 Directory information controls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D53294F" w14:textId="56107844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799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D.3 SOX 404 (security/tech-risk topics)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_Toc221872799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A64A367" w14:textId="217700B0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0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SOX Topic: SOX §404(a) ICFR internal control report &amp; management assessment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_Toc221872800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1DD68E1" w14:textId="68F6BF80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1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SOX Topic: SOX §404(b) Auditor attestation/reporting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_Toc221872801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24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60D5DFF" w14:textId="526B7810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2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SOX Topic: ITGC Access Management (least privilege/MFA/segregation)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_Toc221872802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DBECCF" w14:textId="48F1B41E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3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SOX Topic: ITGC Change Management (testing, approvals, release gates)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_Toc221872803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5188DA0" w14:textId="051408A6" w:rsidR="006F7576" w:rsidRPr="006F7576" w:rsidRDefault="006F7576">
          <w:pPr>
            <w:pStyle w:val="TOC3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4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SOX Topic: ITGC Operations (logging, monitoring, evidence handling)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_Toc221872804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25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9FE1774" w14:textId="4B53AD2C" w:rsidR="006F7576" w:rsidRPr="006F7576" w:rsidRDefault="006F7576">
          <w:pPr>
            <w:pStyle w:val="TOC1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5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APPENDIX E – Control Target Gap Analysis (Inserted)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_Toc221872805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3D69F5F" w14:textId="51CD5991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6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E.1 NIST CSF 2.0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_Toc221872806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BACDE5F" w14:textId="549DFE5E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7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E.2 FERPA (34 CFR Part 99) – gaps vs IISP subset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_Toc221872807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1DBBAB4" w14:textId="08BA8B96" w:rsidR="006F7576" w:rsidRPr="006F7576" w:rsidRDefault="006F7576">
          <w:pPr>
            <w:pStyle w:val="TOC2"/>
            <w:tabs>
              <w:tab w:val="right" w:leader="dot" w:pos="14390"/>
            </w:tabs>
            <w:rPr>
              <w:rFonts w:asciiTheme="majorHAnsi" w:hAnsiTheme="majorHAnsi" w:cstheme="majorHAnsi"/>
              <w:noProof/>
            </w:rPr>
          </w:pPr>
          <w:hyperlink w:anchor="_Toc221872808" w:history="1">
            <w:r w:rsidRPr="006F7576">
              <w:rPr>
                <w:rStyle w:val="Hyperlink"/>
                <w:rFonts w:asciiTheme="majorHAnsi" w:hAnsiTheme="majorHAnsi" w:cstheme="majorHAnsi"/>
                <w:noProof/>
              </w:rPr>
              <w:t>E.3 SOX 404 – gaps vs IISP subset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instrText xml:space="preserve"> PAGEREF _Toc221872808 \h </w:instrTex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t>27</w:t>
            </w:r>
            <w:r w:rsidRPr="006F757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6D2BA72" w14:textId="7789BE33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72744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</w:t>
              </w:r>
              <w:r w:rsidRPr="006F7576">
                <w:rPr>
                  <w:rFonts w:asciiTheme="majorHAnsi" w:hAnsiTheme="majorHAnsi" w:cstheme="majorHAnsi"/>
                </w:rPr>
                <w:t>S</w:t>
              </w:r>
              <w:r w:rsidRPr="006F7576">
                <w:rPr>
                  <w:rFonts w:asciiTheme="majorHAnsi" w:hAnsiTheme="majorHAnsi" w:cstheme="majorHAnsi"/>
                </w:rPr>
                <w:t>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72745"/>
      <w:r w:rsidRPr="006F7576">
        <w:rPr>
          <w:rFonts w:cstheme="majorHAnsi"/>
        </w:rPr>
        <w:lastRenderedPageBreak/>
        <w:t>Policy Summaries (Main Body)</w:t>
      </w:r>
      <w:bookmarkEnd w:id="1"/>
    </w:p>
    <w:p w14:paraId="5FCB4CF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Quick links: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 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  <w:r w:rsidRPr="006F7576">
        <w:rPr>
          <w:rFonts w:asciiTheme="majorHAnsi" w:hAnsiTheme="majorHAnsi" w:cstheme="majorHAnsi"/>
        </w:rPr>
        <w:t xml:space="preserve">  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2" w:name="IISP_1_0"/>
      <w:bookmarkStart w:id="3" w:name="_Toc221872746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72747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72748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72749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72750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72751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 xml:space="preserve">Supports ITGC expectations (vuln/patch/change discipline) for systems in SOX scope (scoping </w:t>
            </w:r>
            <w:r w:rsidRPr="006F7576">
              <w:rPr>
                <w:rFonts w:asciiTheme="majorHAnsi" w:hAnsiTheme="majorHAnsi" w:cstheme="majorHAnsi"/>
              </w:rPr>
              <w:lastRenderedPageBreak/>
              <w:t>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72752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72753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72754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lastRenderedPageBreak/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3347A93" w14:textId="77777777" w:rsidR="000B3BBF" w:rsidRPr="006F7576" w:rsidRDefault="00000000">
      <w:pPr>
        <w:pStyle w:val="Heading1"/>
        <w:rPr>
          <w:rFonts w:cstheme="majorHAnsi"/>
        </w:rPr>
      </w:pPr>
      <w:bookmarkStart w:id="20" w:name="_Toc221872755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3BBF" w:rsidRPr="006F7576" w14:paraId="26C8AF3B" w14:textId="77777777">
        <w:tc>
          <w:tcPr>
            <w:tcW w:w="4320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4320" w:type="dxa"/>
          </w:tcPr>
          <w:p w14:paraId="084053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>
        <w:tc>
          <w:tcPr>
            <w:tcW w:w="4320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4320" w:type="dxa"/>
          </w:tcPr>
          <w:p w14:paraId="52A2210C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>
        <w:tc>
          <w:tcPr>
            <w:tcW w:w="4320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4320" w:type="dxa"/>
          </w:tcPr>
          <w:p w14:paraId="14BEA5FE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>
        <w:tc>
          <w:tcPr>
            <w:tcW w:w="4320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4320" w:type="dxa"/>
          </w:tcPr>
          <w:p w14:paraId="025C15F8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>
        <w:tc>
          <w:tcPr>
            <w:tcW w:w="4320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4320" w:type="dxa"/>
          </w:tcPr>
          <w:p w14:paraId="4102809C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>
        <w:tc>
          <w:tcPr>
            <w:tcW w:w="4320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4320" w:type="dxa"/>
          </w:tcPr>
          <w:p w14:paraId="0F625D77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>
        <w:tc>
          <w:tcPr>
            <w:tcW w:w="4320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4320" w:type="dxa"/>
          </w:tcPr>
          <w:p w14:paraId="702A4B9E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>
        <w:tc>
          <w:tcPr>
            <w:tcW w:w="4320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4320" w:type="dxa"/>
          </w:tcPr>
          <w:p w14:paraId="1EE327DE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>
        <w:tc>
          <w:tcPr>
            <w:tcW w:w="4320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4320" w:type="dxa"/>
          </w:tcPr>
          <w:p w14:paraId="6EF4205A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>
        <w:tc>
          <w:tcPr>
            <w:tcW w:w="4320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4320" w:type="dxa"/>
          </w:tcPr>
          <w:p w14:paraId="7E69731D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>
        <w:tc>
          <w:tcPr>
            <w:tcW w:w="4320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4320" w:type="dxa"/>
          </w:tcPr>
          <w:p w14:paraId="4296EA74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>
        <w:tc>
          <w:tcPr>
            <w:tcW w:w="4320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4320" w:type="dxa"/>
          </w:tcPr>
          <w:p w14:paraId="5D9DD778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>
        <w:tc>
          <w:tcPr>
            <w:tcW w:w="4320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4320" w:type="dxa"/>
          </w:tcPr>
          <w:p w14:paraId="010219A4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>
        <w:tc>
          <w:tcPr>
            <w:tcW w:w="4320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4320" w:type="dxa"/>
          </w:tcPr>
          <w:p w14:paraId="38933555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>
        <w:tc>
          <w:tcPr>
            <w:tcW w:w="4320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4320" w:type="dxa"/>
          </w:tcPr>
          <w:p w14:paraId="7BB164FD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>
        <w:tc>
          <w:tcPr>
            <w:tcW w:w="4320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4320" w:type="dxa"/>
          </w:tcPr>
          <w:p w14:paraId="38072D2A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>
        <w:tc>
          <w:tcPr>
            <w:tcW w:w="4320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4320" w:type="dxa"/>
          </w:tcPr>
          <w:p w14:paraId="36CE93C2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>
        <w:tc>
          <w:tcPr>
            <w:tcW w:w="4320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4320" w:type="dxa"/>
          </w:tcPr>
          <w:p w14:paraId="751AB0AC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>
        <w:tc>
          <w:tcPr>
            <w:tcW w:w="4320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4320" w:type="dxa"/>
          </w:tcPr>
          <w:p w14:paraId="0A904CE9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>
        <w:tc>
          <w:tcPr>
            <w:tcW w:w="4320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4320" w:type="dxa"/>
          </w:tcPr>
          <w:p w14:paraId="66F7ED04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>
        <w:tc>
          <w:tcPr>
            <w:tcW w:w="4320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4320" w:type="dxa"/>
          </w:tcPr>
          <w:p w14:paraId="75C493CB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>
        <w:tc>
          <w:tcPr>
            <w:tcW w:w="4320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4320" w:type="dxa"/>
          </w:tcPr>
          <w:p w14:paraId="295BF491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>
        <w:tc>
          <w:tcPr>
            <w:tcW w:w="4320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4320" w:type="dxa"/>
          </w:tcPr>
          <w:p w14:paraId="7B51CBA0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>
        <w:tc>
          <w:tcPr>
            <w:tcW w:w="4320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4320" w:type="dxa"/>
          </w:tcPr>
          <w:p w14:paraId="269BB02C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>
        <w:tc>
          <w:tcPr>
            <w:tcW w:w="4320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4320" w:type="dxa"/>
          </w:tcPr>
          <w:p w14:paraId="45CC2BDB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>
        <w:tc>
          <w:tcPr>
            <w:tcW w:w="4320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4320" w:type="dxa"/>
          </w:tcPr>
          <w:p w14:paraId="75C65677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>
        <w:tc>
          <w:tcPr>
            <w:tcW w:w="4320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4320" w:type="dxa"/>
          </w:tcPr>
          <w:p w14:paraId="32D76C6C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>
        <w:tc>
          <w:tcPr>
            <w:tcW w:w="4320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4320" w:type="dxa"/>
          </w:tcPr>
          <w:p w14:paraId="76AC7768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>
        <w:tc>
          <w:tcPr>
            <w:tcW w:w="4320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4320" w:type="dxa"/>
          </w:tcPr>
          <w:p w14:paraId="4C5267CE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>
        <w:tc>
          <w:tcPr>
            <w:tcW w:w="4320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4320" w:type="dxa"/>
          </w:tcPr>
          <w:p w14:paraId="407E590B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72756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3BBF" w:rsidRPr="006F7576" w14:paraId="3A6635D4" w14:textId="77777777">
        <w:tc>
          <w:tcPr>
            <w:tcW w:w="4320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4320" w:type="dxa"/>
          </w:tcPr>
          <w:p w14:paraId="6A5AD9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>
        <w:tc>
          <w:tcPr>
            <w:tcW w:w="4320" w:type="dxa"/>
          </w:tcPr>
          <w:p w14:paraId="7E2BE7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§99.7 Annual notification of rights</w:t>
            </w:r>
          </w:p>
        </w:tc>
        <w:tc>
          <w:tcPr>
            <w:tcW w:w="4320" w:type="dxa"/>
          </w:tcPr>
          <w:p w14:paraId="756578A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49BD3205" w14:textId="77777777">
        <w:tc>
          <w:tcPr>
            <w:tcW w:w="4320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4320" w:type="dxa"/>
          </w:tcPr>
          <w:p w14:paraId="6058CCFF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>
        <w:tc>
          <w:tcPr>
            <w:tcW w:w="4320" w:type="dxa"/>
          </w:tcPr>
          <w:p w14:paraId="7A34CC6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§99.20–§99.22 Amendment &amp; hearing processes</w:t>
            </w:r>
          </w:p>
        </w:tc>
        <w:tc>
          <w:tcPr>
            <w:tcW w:w="4320" w:type="dxa"/>
          </w:tcPr>
          <w:p w14:paraId="5693269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7E1D5BCA" w14:textId="77777777">
        <w:tc>
          <w:tcPr>
            <w:tcW w:w="4320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4320" w:type="dxa"/>
          </w:tcPr>
          <w:p w14:paraId="1EE97AEB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>
        <w:tc>
          <w:tcPr>
            <w:tcW w:w="4320" w:type="dxa"/>
          </w:tcPr>
          <w:p w14:paraId="47574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§99.31 Consent exceptions governance</w:t>
            </w:r>
          </w:p>
        </w:tc>
        <w:tc>
          <w:tcPr>
            <w:tcW w:w="4320" w:type="dxa"/>
          </w:tcPr>
          <w:p w14:paraId="7B355D2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5DF62098" w14:textId="77777777">
        <w:tc>
          <w:tcPr>
            <w:tcW w:w="4320" w:type="dxa"/>
          </w:tcPr>
          <w:p w14:paraId="5910282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§99.32 Recordkeeping of requests/disclosures</w:t>
            </w:r>
          </w:p>
        </w:tc>
        <w:tc>
          <w:tcPr>
            <w:tcW w:w="4320" w:type="dxa"/>
          </w:tcPr>
          <w:p w14:paraId="5BE0E6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54416FE6" w14:textId="77777777">
        <w:tc>
          <w:tcPr>
            <w:tcW w:w="4320" w:type="dxa"/>
          </w:tcPr>
          <w:p w14:paraId="464D5E5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§99.33 Redisclosure limitations</w:t>
            </w:r>
          </w:p>
        </w:tc>
        <w:tc>
          <w:tcPr>
            <w:tcW w:w="4320" w:type="dxa"/>
          </w:tcPr>
          <w:p w14:paraId="21299B8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4A0A644F" w14:textId="77777777">
        <w:tc>
          <w:tcPr>
            <w:tcW w:w="4320" w:type="dxa"/>
          </w:tcPr>
          <w:p w14:paraId="6D6EB82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§99.36 Health/safety emergency disclosures</w:t>
            </w:r>
          </w:p>
        </w:tc>
        <w:tc>
          <w:tcPr>
            <w:tcW w:w="4320" w:type="dxa"/>
          </w:tcPr>
          <w:p w14:paraId="4B9C663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789F51CE" w14:textId="77777777">
        <w:tc>
          <w:tcPr>
            <w:tcW w:w="4320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4320" w:type="dxa"/>
          </w:tcPr>
          <w:p w14:paraId="08CB4193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72757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3BBF" w:rsidRPr="006F7576" w14:paraId="0448B117" w14:textId="77777777">
        <w:tc>
          <w:tcPr>
            <w:tcW w:w="4320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4320" w:type="dxa"/>
          </w:tcPr>
          <w:p w14:paraId="10C8D96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>
        <w:tc>
          <w:tcPr>
            <w:tcW w:w="4320" w:type="dxa"/>
          </w:tcPr>
          <w:p w14:paraId="73BE78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§404(a) ICFR internal control report &amp; management assessment</w:t>
            </w:r>
          </w:p>
        </w:tc>
        <w:tc>
          <w:tcPr>
            <w:tcW w:w="4320" w:type="dxa"/>
          </w:tcPr>
          <w:p w14:paraId="6D115DF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3D03658A" w14:textId="77777777">
        <w:tc>
          <w:tcPr>
            <w:tcW w:w="4320" w:type="dxa"/>
          </w:tcPr>
          <w:p w14:paraId="6B08D00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§404(b) Auditor attestation/reporting</w:t>
            </w:r>
          </w:p>
        </w:tc>
        <w:tc>
          <w:tcPr>
            <w:tcW w:w="4320" w:type="dxa"/>
          </w:tcPr>
          <w:p w14:paraId="4C21854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(No explicit touchpoint found in IISP policies)</w:t>
            </w:r>
          </w:p>
        </w:tc>
      </w:tr>
      <w:tr w:rsidR="000B3BBF" w:rsidRPr="006F7576" w14:paraId="128ECD24" w14:textId="77777777">
        <w:tc>
          <w:tcPr>
            <w:tcW w:w="4320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4320" w:type="dxa"/>
          </w:tcPr>
          <w:p w14:paraId="326973DE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>
        <w:tc>
          <w:tcPr>
            <w:tcW w:w="4320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4320" w:type="dxa"/>
          </w:tcPr>
          <w:p w14:paraId="1152968E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>
        <w:tc>
          <w:tcPr>
            <w:tcW w:w="4320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4320" w:type="dxa"/>
          </w:tcPr>
          <w:p w14:paraId="4A514522" w14:textId="77777777" w:rsidR="000B3BBF" w:rsidRPr="006F7576" w:rsidRDefault="000B3BBF">
            <w:pPr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72758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72759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72760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72761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72762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72763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72764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72765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72766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72767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72768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72769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72770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72771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72772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72773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72774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72775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72776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72777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72778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72779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72780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72781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72782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72783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72784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72785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72786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72787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72788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72789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72790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72791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72792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72793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72794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72795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72796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72797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72798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72799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72800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72801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72802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72803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72804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72805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72806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77777777" w:rsidR="000B3BBF" w:rsidRPr="006F7576" w:rsidRDefault="00000000">
      <w:pPr>
        <w:pStyle w:val="Heading2"/>
        <w:rPr>
          <w:rFonts w:cstheme="majorHAnsi"/>
        </w:rPr>
      </w:pPr>
      <w:bookmarkStart w:id="72" w:name="_Toc221872807"/>
      <w:r w:rsidRPr="006F7576">
        <w:rPr>
          <w:rFonts w:cstheme="majorHAnsi"/>
        </w:rPr>
        <w:t>E.2 FERPA (34 CFR Part 99) – gaps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72808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sectPr w:rsidR="000B3BBF" w:rsidRPr="006F7576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A2"/>
    <w:rsid w:val="00034616"/>
    <w:rsid w:val="0006063C"/>
    <w:rsid w:val="000B3BBF"/>
    <w:rsid w:val="0015074B"/>
    <w:rsid w:val="00190419"/>
    <w:rsid w:val="00280FD7"/>
    <w:rsid w:val="0029639D"/>
    <w:rsid w:val="002E3A41"/>
    <w:rsid w:val="00326F90"/>
    <w:rsid w:val="00406405"/>
    <w:rsid w:val="004D7FE0"/>
    <w:rsid w:val="006043BC"/>
    <w:rsid w:val="006F7576"/>
    <w:rsid w:val="00764FDD"/>
    <w:rsid w:val="00822AEC"/>
    <w:rsid w:val="0083597D"/>
    <w:rsid w:val="00885FA5"/>
    <w:rsid w:val="00AA1D8D"/>
    <w:rsid w:val="00B47730"/>
    <w:rsid w:val="00BA54F5"/>
    <w:rsid w:val="00CB0664"/>
    <w:rsid w:val="00DE06DC"/>
    <w:rsid w:val="00DF6486"/>
    <w:rsid w:val="00E0337F"/>
    <w:rsid w:val="00E22584"/>
    <w:rsid w:val="00E663D0"/>
    <w:rsid w:val="00EC69C0"/>
    <w:rsid w:val="00ED3F42"/>
    <w:rsid w:val="00F1000D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7298</Words>
  <Characters>47875</Characters>
  <Application>Microsoft Office Word</Application>
  <DocSecurity>0</DocSecurity>
  <Lines>1650</Lines>
  <Paragraphs>1345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21</cp:revision>
  <dcterms:created xsi:type="dcterms:W3CDTF">2013-12-23T23:15:00Z</dcterms:created>
  <dcterms:modified xsi:type="dcterms:W3CDTF">2026-02-13T16:14:00Z</dcterms:modified>
  <cp:category/>
</cp:coreProperties>
</file>