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i w:val="0"/>
          <w:color w:val="2E7D32"/>
          <w:sz w:val="56"/>
        </w:rPr>
        <w:t>Stride Policy Cross Reference</w:t>
      </w:r>
    </w:p>
    <w:p>
      <w:pPr>
        <w:jc w:val="center"/>
      </w:pPr>
      <w:r>
        <w:rPr>
          <w:b w:val="0"/>
          <w:i w:val="0"/>
          <w:color w:val="757575"/>
          <w:sz w:val="36"/>
        </w:rPr>
        <w:t>Version 6.0</w:t>
      </w:r>
    </w:p>
    <w:p>
      <w:pPr>
        <w:jc w:val="center"/>
      </w:pPr>
      <w:r>
        <w:rPr>
          <w:b w:val="0"/>
          <w:i w:val="0"/>
          <w:sz w:val="28"/>
        </w:rPr>
        <w:t>Stride, Inc.</w:t>
      </w:r>
    </w:p>
    <w:p>
      <w:pPr>
        <w:jc w:val="center"/>
      </w:pPr>
      <w:r>
        <w:rPr>
          <w:b w:val="0"/>
          <w:i w:val="0"/>
          <w:color w:val="757575"/>
          <w:sz w:val="24"/>
        </w:rPr>
        <w:t>Information Security &amp; Governance</w:t>
      </w:r>
    </w:p>
    <w:p/>
    <w:p>
      <w:pPr>
        <w:jc w:val="center"/>
      </w:pPr>
      <w:r>
        <w:rPr>
          <w:b w:val="0"/>
          <w:i w:val="0"/>
          <w:color w:val="757575"/>
          <w:sz w:val="20"/>
        </w:rPr>
        <w:t>Regulatory Cross-Reference Frameworks:</w:t>
      </w:r>
    </w:p>
    <w:p>
      <w:pPr>
        <w:jc w:val="center"/>
      </w:pPr>
      <w:r>
        <w:rPr>
          <w:b w:val="0"/>
          <w:i w:val="0"/>
          <w:color w:val="757575"/>
          <w:sz w:val="20"/>
        </w:rPr>
        <w:t>NIST Cybersecurity Framework 2.0</w:t>
      </w:r>
    </w:p>
    <w:p>
      <w:pPr>
        <w:jc w:val="center"/>
      </w:pPr>
      <w:r>
        <w:rPr>
          <w:b w:val="0"/>
          <w:i w:val="0"/>
          <w:color w:val="757575"/>
          <w:sz w:val="20"/>
        </w:rPr>
        <w:t>FERPA (34 CFR Part 99)</w:t>
      </w:r>
    </w:p>
    <w:p>
      <w:pPr>
        <w:jc w:val="center"/>
      </w:pPr>
      <w:r>
        <w:rPr>
          <w:b w:val="0"/>
          <w:i w:val="0"/>
          <w:color w:val="757575"/>
          <w:sz w:val="20"/>
        </w:rPr>
        <w:t>SOX Section 404 — IT General Controls</w:t>
      </w:r>
    </w:p>
    <w:p>
      <w:pPr>
        <w:jc w:val="center"/>
      </w:pPr>
      <w:r>
        <w:rPr>
          <w:b w:val="0"/>
          <w:i w:val="0"/>
          <w:color w:val="757575"/>
          <w:sz w:val="20"/>
        </w:rPr>
      </w:r>
    </w:p>
    <w:p>
      <w:pPr>
        <w:jc w:val="center"/>
      </w:pPr>
      <w:r>
        <w:rPr>
          <w:b w:val="0"/>
          <w:i w:val="0"/>
          <w:color w:val="757575"/>
          <w:sz w:val="20"/>
        </w:rPr>
        <w:t>Note: IISP 6.0 is reserved and not yet published.</w:t>
      </w:r>
    </w:p>
    <w:p/>
    <w:p>
      <w:pPr>
        <w:jc w:val="center"/>
      </w:pPr>
      <w:r>
        <w:rPr>
          <w:b w:val="0"/>
          <w:i w:val="0"/>
          <w:sz w:val="20"/>
        </w:rPr>
        <w:t>Document Date: March 3, 2026</w:t>
      </w:r>
    </w:p>
    <w:p>
      <w:pPr>
        <w:jc w:val="center"/>
      </w:pPr>
      <w:r>
        <w:rPr>
          <w:b w:val="0"/>
          <w:i w:val="0"/>
          <w:sz w:val="20"/>
        </w:rPr>
        <w:t>Classification: Confidential</w:t>
      </w:r>
    </w:p>
    <w:p>
      <w:r>
        <w:br w:type="page"/>
      </w:r>
    </w:p>
    <w:p>
      <w:pPr>
        <w:pStyle w:val="Heading1"/>
      </w:pPr>
      <w:r>
        <w:t>1. Policy Inventory Overview</w:t>
      </w:r>
    </w:p>
    <w:p>
      <w:r>
        <w:t>The Stride information security program comprises 21 Information Security Policies (ISPs) aligned to NIST CSF 2.0 functions and 10 Integrated Information Security Policies (IISPs) addressing cross-cutting operational domains. Together, these 31 policy documents (30 published + 1 reserved) establish the governance foundation for cybersecurity risk management.</w:t>
      </w:r>
    </w:p>
    <w:p>
      <w:pPr>
        <w:pStyle w:val="ListBullet"/>
      </w:pPr>
      <w:r>
        <w:rPr>
          <w:b/>
          <w:i w:val="0"/>
        </w:rPr>
        <w:t>GOVERN (GV):</w:t>
      </w:r>
      <w:r>
        <w:t xml:space="preserve"> ISP 1.0–1.2, ISP 2.1–2.6, IISP 4.0, 5.0, 8.0</w:t>
      </w:r>
    </w:p>
    <w:p>
      <w:pPr>
        <w:pStyle w:val="ListBullet"/>
      </w:pPr>
      <w:r>
        <w:rPr>
          <w:b/>
          <w:i w:val="0"/>
        </w:rPr>
        <w:t>IDENTIFY (ID):</w:t>
      </w:r>
      <w:r>
        <w:t xml:space="preserve"> ISP 3.1–3.3, IISP 7.0</w:t>
      </w:r>
    </w:p>
    <w:p>
      <w:pPr>
        <w:pStyle w:val="ListBullet"/>
      </w:pPr>
      <w:r>
        <w:rPr>
          <w:b/>
          <w:i w:val="0"/>
        </w:rPr>
        <w:t>PROTECT (PR):</w:t>
      </w:r>
      <w:r>
        <w:t xml:space="preserve"> ISP 4.1–4.5, IISP 2.0, 3.0, 9.0</w:t>
      </w:r>
    </w:p>
    <w:p>
      <w:pPr>
        <w:pStyle w:val="ListBullet"/>
      </w:pPr>
      <w:r>
        <w:rPr>
          <w:b/>
          <w:i w:val="0"/>
        </w:rPr>
        <w:t>DETECT (DE):</w:t>
      </w:r>
      <w:r>
        <w:t xml:space="preserve"> ISP 5.1–5.2</w:t>
      </w:r>
    </w:p>
    <w:p>
      <w:pPr>
        <w:pStyle w:val="ListBullet"/>
      </w:pPr>
      <w:r>
        <w:rPr>
          <w:b/>
          <w:i w:val="0"/>
        </w:rPr>
        <w:t>RESPOND (RS):</w:t>
      </w:r>
      <w:r>
        <w:t xml:space="preserve"> ISP 6.1–6.2, IISP 10.0</w:t>
      </w:r>
    </w:p>
    <w:p>
      <w:pPr>
        <w:pStyle w:val="ListBullet"/>
      </w:pPr>
      <w:r>
        <w:rPr>
          <w:b/>
          <w:i w:val="0"/>
        </w:rPr>
        <w:t>RECOVER (RC):</w:t>
      </w:r>
      <w:r>
        <w:t xml:space="preserve"> IISP 1.0</w:t>
      </w:r>
    </w:p>
    <w:p>
      <w:r>
        <w:rPr>
          <w:b/>
          <w:i w:val="0"/>
          <w:color w:val="C62828"/>
        </w:rPr>
        <w:t xml:space="preserve">Gap: </w:t>
      </w:r>
      <w:r>
        <w:rPr>
          <w:b w:val="0"/>
          <w:i w:val="0"/>
          <w:color w:val="C62828"/>
        </w:rPr>
        <w:t>IISP 6.0 is reserved and not yet published.</w:t>
      </w:r>
    </w:p>
    <w:p>
      <w:r>
        <w:br w:type="page"/>
      </w:r>
    </w:p>
    <w:p>
      <w:pPr>
        <w:pStyle w:val="Heading1"/>
      </w:pPr>
      <w:r>
        <w:t>2. Per-Policy Cross-Reference Detail</w:t>
      </w:r>
    </w:p>
    <w:p>
      <w:pPr>
        <w:pStyle w:val="Heading2"/>
      </w:pPr>
      <w:r>
        <w:t>STRIDE ISP 1.0 — Information Security Program Policy</w:t>
      </w:r>
    </w:p>
    <w:p>
      <w:r>
        <w:rPr>
          <w:b/>
          <w:i w:val="0"/>
        </w:rPr>
        <w:t>Summary:</w:t>
      </w:r>
    </w:p>
    <w:p>
      <w:pPr>
        <w:pStyle w:val="ListBullet"/>
      </w:pPr>
      <w:r>
        <w:t>Establishes Stride's enterprise information security program under executive authority.</w:t>
      </w:r>
    </w:p>
    <w:p>
      <w:pPr>
        <w:pStyle w:val="ListBullet"/>
      </w:pPr>
      <w:r>
        <w:t>All business units must comply; the CISO is the designated accountable officer.</w:t>
      </w:r>
    </w:p>
    <w:p>
      <w:pPr>
        <w:pStyle w:val="ListBullet"/>
      </w:pPr>
      <w:r>
        <w:t>Defines the governance structure, risk management approach, and policy hierarchy.</w:t>
      </w:r>
    </w:p>
    <w:p>
      <w:pPr>
        <w:pStyle w:val="ListBullet"/>
      </w:pPr>
      <w:r>
        <w:t>Requires annual review and board-level reporting on cybersecurity posture.</w:t>
      </w:r>
    </w:p>
    <w:p>
      <w:pPr>
        <w:pStyle w:val="ListBullet"/>
      </w:pPr>
      <w:r>
        <w:t>Mandates alignment with NIST CSF 2.0, FERPA, and SOX §404 requirements.</w:t>
      </w:r>
    </w:p>
    <w:p/>
    <w:tbl>
      <w:tblPr>
        <w:tblStyle w:val="GridTable4-Accent1"/>
        <w:jc w:val="left"/>
        <w:tblLook w:firstColumn="1" w:firstRow="1" w:lastColumn="0" w:lastRow="0" w:noHBand="0" w:noVBand="1" w:val="04A0"/>
        <w:tblW w:type="pct" w:w="5000"/>
      </w:tblPr>
      <w:tblGrid>
        <w:gridCol w:w="6840"/>
        <w:gridCol w:w="6840"/>
      </w:tblGrid>
      <w:tr>
        <w:trPr>
          <w:trHeight w:hRule="auto" w:val="0"/>
        </w:trPr>
        <w:tc>
          <w:tcPr>
            <w:tcW w:type="dxa" w:w="6840"/>
          </w:tcPr>
          <w:p>
            <w:pPr>
              <w:jc w:val="left"/>
            </w:pPr>
            <w:r>
              <w:rPr>
                <w:b/>
                <w:sz w:val="18"/>
              </w:rPr>
              <w:t>Framework</w:t>
            </w:r>
          </w:p>
        </w:tc>
        <w:tc>
          <w:tcPr>
            <w:tcW w:type="dxa" w:w="684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GV — GOVERN</w:t>
            </w:r>
          </w:p>
        </w:tc>
      </w:tr>
      <w:tr>
        <w:trPr>
          <w:trHeight w:hRule="auto" w:val="0"/>
        </w:trPr>
        <w:tc>
          <w:tcPr>
            <w:tcW w:type="dxa" w:w="6840"/>
          </w:tcPr>
          <w:p>
            <w:pPr>
              <w:jc w:val="left"/>
            </w:pPr>
            <w:r>
              <w:rPr>
                <w:sz w:val="18"/>
              </w:rPr>
              <w:t>NIST CSF 2.0 Categories</w:t>
            </w:r>
          </w:p>
        </w:tc>
        <w:tc>
          <w:tcPr>
            <w:tcW w:type="dxa" w:w="6840"/>
          </w:tcPr>
          <w:p>
            <w:pPr>
              <w:jc w:val="left"/>
            </w:pPr>
            <w:r>
              <w:rPr>
                <w:sz w:val="18"/>
              </w:rPr>
              <w:t>GV.OC, GV.RM, GV.PO</w:t>
            </w:r>
          </w:p>
        </w:tc>
      </w:tr>
      <w:tr>
        <w:trPr>
          <w:trHeight w:hRule="auto" w:val="0"/>
        </w:trPr>
        <w:tc>
          <w:tcPr>
            <w:tcW w:type="dxa" w:w="6840"/>
          </w:tcPr>
          <w:p>
            <w:pPr>
              <w:jc w:val="left"/>
            </w:pPr>
            <w:r>
              <w:rPr>
                <w:sz w:val="18"/>
              </w:rPr>
              <w:t>FERPA (34 CFR Part 99)</w:t>
            </w:r>
          </w:p>
        </w:tc>
        <w:tc>
          <w:tcPr>
            <w:tcW w:type="dxa" w:w="6840"/>
          </w:tcPr>
          <w:p>
            <w:pPr>
              <w:jc w:val="left"/>
            </w:pPr>
            <w:r>
              <w:rPr>
                <w:sz w:val="18"/>
              </w:rPr>
              <w:t>§99.1, §99.2</w:t>
            </w:r>
          </w:p>
        </w:tc>
      </w:tr>
      <w:tr>
        <w:trPr>
          <w:trHeight w:hRule="auto" w:val="0"/>
        </w:trPr>
        <w:tc>
          <w:tcPr>
            <w:tcW w:type="dxa" w:w="6840"/>
          </w:tcPr>
          <w:p>
            <w:pPr>
              <w:jc w:val="left"/>
            </w:pPr>
            <w:r>
              <w:rPr>
                <w:sz w:val="18"/>
              </w:rPr>
              <w:t>SOX §404 ITGC Domains</w:t>
            </w:r>
          </w:p>
        </w:tc>
        <w:tc>
          <w:tcPr>
            <w:tcW w:type="dxa" w:w="6840"/>
          </w:tcPr>
          <w:p>
            <w:pPr>
              <w:jc w:val="left"/>
            </w:pPr>
            <w:r>
              <w:rPr>
                <w:sz w:val="18"/>
              </w:rPr>
              <w:t>—</w:t>
            </w:r>
          </w:p>
        </w:tc>
      </w:tr>
    </w:tbl>
    <w:p>
      <w:pPr>
        <w:pStyle w:val="Heading2"/>
      </w:pPr>
      <w:r>
        <w:t>STRIDE ISP 1.1 — IT Security Policy Index</w:t>
      </w:r>
    </w:p>
    <w:p>
      <w:r>
        <w:rPr>
          <w:b/>
          <w:i w:val="0"/>
        </w:rPr>
        <w:t>Summary:</w:t>
      </w:r>
    </w:p>
    <w:p>
      <w:pPr>
        <w:pStyle w:val="ListBullet"/>
      </w:pPr>
      <w:r>
        <w:t>Serves as the master index for all Stride IT Security Policies and Standards.</w:t>
      </w:r>
    </w:p>
    <w:p>
      <w:pPr>
        <w:pStyle w:val="ListBullet"/>
      </w:pPr>
      <w:r>
        <w:t>Enumerates ISP 1.0 through ISP 6.2 and IISP 1.0 through IISP 10.0.</w:t>
      </w:r>
    </w:p>
    <w:p>
      <w:pPr>
        <w:pStyle w:val="ListBullet"/>
      </w:pPr>
      <w:r>
        <w:t>Establishes the policy numbering convention and document hierarchy.</w:t>
      </w:r>
    </w:p>
    <w:p>
      <w:pPr>
        <w:pStyle w:val="ListBullet"/>
      </w:pPr>
      <w:r>
        <w:t>Applies to all Stride-owned technology and business operations.</w:t>
      </w:r>
    </w:p>
    <w:p/>
    <w:tbl>
      <w:tblPr>
        <w:tblStyle w:val="GridTable4-Accent1"/>
        <w:jc w:val="left"/>
        <w:tblLook w:firstColumn="1" w:firstRow="1" w:lastColumn="0" w:lastRow="0" w:noHBand="0" w:noVBand="1" w:val="04A0"/>
        <w:tblW w:type="pct" w:w="5000"/>
      </w:tblPr>
      <w:tblGrid>
        <w:gridCol w:w="6840"/>
        <w:gridCol w:w="6840"/>
      </w:tblGrid>
      <w:tr>
        <w:trPr>
          <w:trHeight w:hRule="auto" w:val="0"/>
        </w:trPr>
        <w:tc>
          <w:tcPr>
            <w:tcW w:type="dxa" w:w="6840"/>
          </w:tcPr>
          <w:p>
            <w:pPr>
              <w:jc w:val="left"/>
            </w:pPr>
            <w:r>
              <w:rPr>
                <w:b/>
                <w:sz w:val="18"/>
              </w:rPr>
              <w:t>Framework</w:t>
            </w:r>
          </w:p>
        </w:tc>
        <w:tc>
          <w:tcPr>
            <w:tcW w:type="dxa" w:w="684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GV — GOVERN</w:t>
            </w:r>
          </w:p>
        </w:tc>
      </w:tr>
      <w:tr>
        <w:trPr>
          <w:trHeight w:hRule="auto" w:val="0"/>
        </w:trPr>
        <w:tc>
          <w:tcPr>
            <w:tcW w:type="dxa" w:w="6840"/>
          </w:tcPr>
          <w:p>
            <w:pPr>
              <w:jc w:val="left"/>
            </w:pPr>
            <w:r>
              <w:rPr>
                <w:sz w:val="18"/>
              </w:rPr>
              <w:t>NIST CSF 2.0 Categories</w:t>
            </w:r>
          </w:p>
        </w:tc>
        <w:tc>
          <w:tcPr>
            <w:tcW w:type="dxa" w:w="6840"/>
          </w:tcPr>
          <w:p>
            <w:pPr>
              <w:jc w:val="left"/>
            </w:pPr>
            <w:r>
              <w:rPr>
                <w:sz w:val="18"/>
              </w:rPr>
              <w:t>GV.PO</w:t>
            </w:r>
          </w:p>
        </w:tc>
      </w:tr>
      <w:tr>
        <w:trPr>
          <w:trHeight w:hRule="auto" w:val="0"/>
        </w:trPr>
        <w:tc>
          <w:tcPr>
            <w:tcW w:type="dxa" w:w="6840"/>
          </w:tcPr>
          <w:p>
            <w:pPr>
              <w:jc w:val="left"/>
            </w:pPr>
            <w:r>
              <w:rPr>
                <w:sz w:val="18"/>
              </w:rPr>
              <w:t>FERPA (34 CFR Part 99)</w:t>
            </w:r>
          </w:p>
        </w:tc>
        <w:tc>
          <w:tcPr>
            <w:tcW w:type="dxa" w:w="6840"/>
          </w:tcPr>
          <w:p>
            <w:pPr>
              <w:jc w:val="left"/>
            </w:pPr>
            <w:r>
              <w:rPr>
                <w:sz w:val="18"/>
              </w:rPr>
              <w:t>—</w:t>
            </w:r>
          </w:p>
        </w:tc>
      </w:tr>
      <w:tr>
        <w:trPr>
          <w:trHeight w:hRule="auto" w:val="0"/>
        </w:trPr>
        <w:tc>
          <w:tcPr>
            <w:tcW w:type="dxa" w:w="6840"/>
          </w:tcPr>
          <w:p>
            <w:pPr>
              <w:jc w:val="left"/>
            </w:pPr>
            <w:r>
              <w:rPr>
                <w:sz w:val="18"/>
              </w:rPr>
              <w:t>SOX §404 ITGC Domains</w:t>
            </w:r>
          </w:p>
        </w:tc>
        <w:tc>
          <w:tcPr>
            <w:tcW w:type="dxa" w:w="6840"/>
          </w:tcPr>
          <w:p>
            <w:pPr>
              <w:jc w:val="left"/>
            </w:pPr>
            <w:r>
              <w:rPr>
                <w:sz w:val="18"/>
              </w:rPr>
              <w:t>—</w:t>
            </w:r>
          </w:p>
        </w:tc>
      </w:tr>
    </w:tbl>
    <w:p>
      <w:pPr>
        <w:pStyle w:val="Heading2"/>
      </w:pPr>
      <w:r>
        <w:t>STRIDE ISP 1.2 — IT Security Policy Definitions</w:t>
      </w:r>
    </w:p>
    <w:p>
      <w:r>
        <w:rPr>
          <w:b/>
          <w:i w:val="0"/>
        </w:rPr>
        <w:t>Summary:</w:t>
      </w:r>
    </w:p>
    <w:p>
      <w:pPr>
        <w:pStyle w:val="ListBullet"/>
      </w:pPr>
      <w:r>
        <w:t>Defines key terms used across the Stride information security policy framework.</w:t>
      </w:r>
    </w:p>
    <w:p>
      <w:pPr>
        <w:pStyle w:val="ListBullet"/>
      </w:pPr>
      <w:r>
        <w:t>Covers access, controls, encryption, risk, privileged users, and policy types.</w:t>
      </w:r>
    </w:p>
    <w:p>
      <w:pPr>
        <w:pStyle w:val="ListBullet"/>
      </w:pPr>
      <w:r>
        <w:t>Distinguishes Policies (management intent), Standards (mandatory), and Guidelines (recommended).</w:t>
      </w:r>
    </w:p>
    <w:p>
      <w:pPr>
        <w:pStyle w:val="ListBullet"/>
      </w:pPr>
      <w:r>
        <w:t>Includes AI-specific terminology: Agentic AI and Artificial Intelligence.</w:t>
      </w:r>
    </w:p>
    <w:p>
      <w:pPr>
        <w:pStyle w:val="ListBullet"/>
      </w:pPr>
      <w:r>
        <w:t>Defines account types: service, system, non-human, and break-glass accounts.</w:t>
      </w:r>
    </w:p>
    <w:p/>
    <w:p>
      <w:r>
        <w:rPr>
          <w:b/>
          <w:i w:val="0"/>
        </w:rPr>
        <w:t>Key Definitions and Cross-Reference:</w:t>
      </w:r>
    </w:p>
    <w:tbl>
      <w:tblPr>
        <w:tblStyle w:val="GridTable4-Accent1"/>
        <w:jc w:val="left"/>
        <w:tblLook w:firstColumn="1" w:firstRow="1" w:lastColumn="0" w:lastRow="0" w:noHBand="0" w:noVBand="1" w:val="04A0"/>
        <w:tblW w:type="pct" w:w="5000"/>
      </w:tblPr>
      <w:tblGrid>
        <w:gridCol w:w="4560"/>
        <w:gridCol w:w="4560"/>
        <w:gridCol w:w="4560"/>
      </w:tblGrid>
      <w:tr>
        <w:trPr>
          <w:trHeight w:hRule="auto" w:val="0"/>
        </w:trPr>
        <w:tc>
          <w:tcPr>
            <w:tcW w:type="dxa" w:w="4560"/>
          </w:tcPr>
          <w:p>
            <w:pPr>
              <w:jc w:val="left"/>
            </w:pPr>
            <w:r>
              <w:rPr>
                <w:b/>
                <w:sz w:val="18"/>
              </w:rPr>
              <w:t>Term</w:t>
            </w:r>
          </w:p>
        </w:tc>
        <w:tc>
          <w:tcPr>
            <w:tcW w:type="dxa" w:w="4560"/>
          </w:tcPr>
          <w:p>
            <w:pPr>
              <w:jc w:val="left"/>
            </w:pPr>
            <w:r>
              <w:rPr>
                <w:b/>
                <w:sz w:val="18"/>
              </w:rPr>
              <w:t>Definition</w:t>
            </w:r>
          </w:p>
        </w:tc>
        <w:tc>
          <w:tcPr>
            <w:tcW w:type="dxa" w:w="4560"/>
          </w:tcPr>
          <w:p>
            <w:pPr>
              <w:jc w:val="left"/>
            </w:pPr>
            <w:r>
              <w:rPr>
                <w:b/>
                <w:sz w:val="18"/>
              </w:rPr>
              <w:t>Regulatory Alignment</w:t>
            </w:r>
          </w:p>
        </w:tc>
      </w:tr>
      <w:tr>
        <w:trPr>
          <w:trHeight w:hRule="auto" w:val="0"/>
        </w:trPr>
        <w:tc>
          <w:tcPr>
            <w:tcW w:type="dxa" w:w="4560"/>
          </w:tcPr>
          <w:p>
            <w:pPr>
              <w:jc w:val="left"/>
            </w:pPr>
            <w:r>
              <w:rPr>
                <w:sz w:val="18"/>
              </w:rPr>
              <w:t>AAR</w:t>
            </w:r>
          </w:p>
        </w:tc>
        <w:tc>
          <w:tcPr>
            <w:tcW w:type="dxa" w:w="4560"/>
          </w:tcPr>
          <w:p>
            <w:pPr>
              <w:jc w:val="left"/>
            </w:pPr>
            <w:r>
              <w:rPr>
                <w:sz w:val="18"/>
              </w:rPr>
              <w:t>After Action Review — postmortem review of timeline, results, and required actions on failed or partially successful changes</w:t>
            </w:r>
          </w:p>
        </w:tc>
        <w:tc>
          <w:tcPr>
            <w:tcW w:type="dxa" w:w="4560"/>
          </w:tcPr>
          <w:p>
            <w:pPr>
              <w:jc w:val="left"/>
            </w:pPr>
            <w:r>
              <w:rPr>
                <w:sz w:val="18"/>
              </w:rPr>
            </w:r>
          </w:p>
        </w:tc>
      </w:tr>
      <w:tr>
        <w:trPr>
          <w:trHeight w:hRule="auto" w:val="0"/>
        </w:trPr>
        <w:tc>
          <w:tcPr>
            <w:tcW w:type="dxa" w:w="4560"/>
          </w:tcPr>
          <w:p>
            <w:pPr>
              <w:jc w:val="left"/>
            </w:pPr>
            <w:r>
              <w:rPr>
                <w:sz w:val="18"/>
              </w:rPr>
              <w:t>Access</w:t>
            </w:r>
          </w:p>
        </w:tc>
        <w:tc>
          <w:tcPr>
            <w:tcW w:type="dxa" w:w="4560"/>
          </w:tcPr>
          <w:p>
            <w:pPr>
              <w:jc w:val="left"/>
            </w:pPr>
            <w:r>
              <w:rPr>
                <w:sz w:val="18"/>
              </w:rPr>
              <w:t>The ability to use, modify, or manipulate an information resource or gain entry to a physical area</w:t>
            </w:r>
          </w:p>
        </w:tc>
        <w:tc>
          <w:tcPr>
            <w:tcW w:type="dxa" w:w="4560"/>
          </w:tcPr>
          <w:p>
            <w:pPr>
              <w:jc w:val="left"/>
            </w:pPr>
            <w:r>
              <w:rPr>
                <w:sz w:val="18"/>
              </w:rPr>
            </w:r>
          </w:p>
        </w:tc>
      </w:tr>
      <w:tr>
        <w:trPr>
          <w:trHeight w:hRule="auto" w:val="0"/>
        </w:trPr>
        <w:tc>
          <w:tcPr>
            <w:tcW w:type="dxa" w:w="4560"/>
          </w:tcPr>
          <w:p>
            <w:pPr>
              <w:jc w:val="left"/>
            </w:pPr>
            <w:r>
              <w:rPr>
                <w:sz w:val="18"/>
              </w:rPr>
              <w:t>Agentic AI</w:t>
            </w:r>
          </w:p>
        </w:tc>
        <w:tc>
          <w:tcPr>
            <w:tcW w:type="dxa" w:w="4560"/>
          </w:tcPr>
          <w:p>
            <w:pPr>
              <w:jc w:val="left"/>
            </w:pPr>
            <w:r>
              <w:rPr>
                <w:sz w:val="18"/>
              </w:rPr>
              <w:t>AI that takes initiative, understands goals, makes decisions, and carries out tasks with minimal supervision</w:t>
            </w:r>
          </w:p>
        </w:tc>
        <w:tc>
          <w:tcPr>
            <w:tcW w:type="dxa" w:w="4560"/>
          </w:tcPr>
          <w:p>
            <w:pPr>
              <w:jc w:val="left"/>
            </w:pPr>
            <w:r>
              <w:rPr>
                <w:sz w:val="18"/>
              </w:rPr>
            </w:r>
          </w:p>
        </w:tc>
      </w:tr>
      <w:tr>
        <w:trPr>
          <w:trHeight w:hRule="auto" w:val="0"/>
        </w:trPr>
        <w:tc>
          <w:tcPr>
            <w:tcW w:type="dxa" w:w="4560"/>
          </w:tcPr>
          <w:p>
            <w:pPr>
              <w:jc w:val="left"/>
            </w:pPr>
            <w:r>
              <w:rPr>
                <w:sz w:val="18"/>
              </w:rPr>
              <w:t>Artificial Intelligence</w:t>
            </w:r>
          </w:p>
        </w:tc>
        <w:tc>
          <w:tcPr>
            <w:tcW w:type="dxa" w:w="4560"/>
          </w:tcPr>
          <w:p>
            <w:pPr>
              <w:jc w:val="left"/>
            </w:pPr>
            <w:r>
              <w:rPr>
                <w:sz w:val="18"/>
              </w:rPr>
              <w:t>A machine-based system that infers from input how to generate outputs such as predictions, content, recommendations, or decisions</w:t>
            </w:r>
          </w:p>
        </w:tc>
        <w:tc>
          <w:tcPr>
            <w:tcW w:type="dxa" w:w="4560"/>
          </w:tcPr>
          <w:p>
            <w:pPr>
              <w:jc w:val="left"/>
            </w:pPr>
            <w:r>
              <w:rPr>
                <w:sz w:val="18"/>
              </w:rPr>
            </w:r>
          </w:p>
        </w:tc>
      </w:tr>
      <w:tr>
        <w:trPr>
          <w:trHeight w:hRule="auto" w:val="0"/>
        </w:trPr>
        <w:tc>
          <w:tcPr>
            <w:tcW w:type="dxa" w:w="4560"/>
          </w:tcPr>
          <w:p>
            <w:pPr>
              <w:jc w:val="left"/>
            </w:pPr>
            <w:r>
              <w:rPr>
                <w:sz w:val="18"/>
              </w:rPr>
              <w:t>Break Glass Account</w:t>
            </w:r>
          </w:p>
        </w:tc>
        <w:tc>
          <w:tcPr>
            <w:tcW w:type="dxa" w:w="4560"/>
          </w:tcPr>
          <w:p>
            <w:pPr>
              <w:jc w:val="left"/>
            </w:pPr>
            <w:r>
              <w:rPr>
                <w:sz w:val="18"/>
              </w:rPr>
              <w:t>Emergency account providing immediate access to critical systems when standard methods are unavailable</w:t>
            </w:r>
          </w:p>
        </w:tc>
        <w:tc>
          <w:tcPr>
            <w:tcW w:type="dxa" w:w="4560"/>
          </w:tcPr>
          <w:p>
            <w:pPr>
              <w:jc w:val="left"/>
            </w:pPr>
            <w:r>
              <w:rPr>
                <w:sz w:val="18"/>
              </w:rPr>
            </w:r>
          </w:p>
        </w:tc>
      </w:tr>
      <w:tr>
        <w:trPr>
          <w:trHeight w:hRule="auto" w:val="0"/>
        </w:trPr>
        <w:tc>
          <w:tcPr>
            <w:tcW w:type="dxa" w:w="4560"/>
          </w:tcPr>
          <w:p>
            <w:pPr>
              <w:jc w:val="left"/>
            </w:pPr>
            <w:r>
              <w:rPr>
                <w:sz w:val="18"/>
              </w:rPr>
              <w:t>Business Continuity</w:t>
            </w:r>
          </w:p>
        </w:tc>
        <w:tc>
          <w:tcPr>
            <w:tcW w:type="dxa" w:w="4560"/>
          </w:tcPr>
          <w:p>
            <w:pPr>
              <w:jc w:val="left"/>
            </w:pPr>
            <w:r>
              <w:rPr>
                <w:sz w:val="18"/>
              </w:rPr>
              <w:t>Activity to ensure critical business functions remain available; encompasses Disaster Recovery</w:t>
            </w:r>
          </w:p>
        </w:tc>
        <w:tc>
          <w:tcPr>
            <w:tcW w:type="dxa" w:w="4560"/>
          </w:tcPr>
          <w:p>
            <w:pPr>
              <w:jc w:val="left"/>
            </w:pPr>
            <w:r>
              <w:rPr>
                <w:sz w:val="18"/>
              </w:rPr>
            </w:r>
          </w:p>
        </w:tc>
      </w:tr>
      <w:tr>
        <w:trPr>
          <w:trHeight w:hRule="auto" w:val="0"/>
        </w:trPr>
        <w:tc>
          <w:tcPr>
            <w:tcW w:type="dxa" w:w="4560"/>
          </w:tcPr>
          <w:p>
            <w:pPr>
              <w:jc w:val="left"/>
            </w:pPr>
            <w:r>
              <w:rPr>
                <w:sz w:val="18"/>
              </w:rPr>
              <w:t>Business Critical Applications</w:t>
            </w:r>
          </w:p>
        </w:tc>
        <w:tc>
          <w:tcPr>
            <w:tcW w:type="dxa" w:w="4560"/>
          </w:tcPr>
          <w:p>
            <w:pPr>
              <w:jc w:val="left"/>
            </w:pPr>
            <w:r>
              <w:rPr>
                <w:sz w:val="18"/>
              </w:rPr>
              <w:t>Financially Significant Applications (FSAs) identified based on SOX materiality scoping</w:t>
            </w:r>
          </w:p>
        </w:tc>
        <w:tc>
          <w:tcPr>
            <w:tcW w:type="dxa" w:w="4560"/>
          </w:tcPr>
          <w:p>
            <w:pPr>
              <w:jc w:val="left"/>
            </w:pPr>
            <w:r>
              <w:rPr>
                <w:sz w:val="18"/>
              </w:rPr>
            </w:r>
          </w:p>
        </w:tc>
      </w:tr>
      <w:tr>
        <w:trPr>
          <w:trHeight w:hRule="auto" w:val="0"/>
        </w:trPr>
        <w:tc>
          <w:tcPr>
            <w:tcW w:type="dxa" w:w="4560"/>
          </w:tcPr>
          <w:p>
            <w:pPr>
              <w:jc w:val="left"/>
            </w:pPr>
            <w:r>
              <w:rPr>
                <w:sz w:val="18"/>
              </w:rPr>
              <w:t>Change</w:t>
            </w:r>
          </w:p>
        </w:tc>
        <w:tc>
          <w:tcPr>
            <w:tcW w:type="dxa" w:w="4560"/>
          </w:tcPr>
          <w:p>
            <w:pPr>
              <w:jc w:val="left"/>
            </w:pPr>
            <w:r>
              <w:rPr>
                <w:sz w:val="18"/>
              </w:rPr>
              <w:t>Any alteration to state or configuration of production software or hardware under Enterprise &amp; Learning Technologies management</w:t>
            </w:r>
          </w:p>
        </w:tc>
        <w:tc>
          <w:tcPr>
            <w:tcW w:type="dxa" w:w="4560"/>
          </w:tcPr>
          <w:p>
            <w:pPr>
              <w:jc w:val="left"/>
            </w:pPr>
            <w:r>
              <w:rPr>
                <w:sz w:val="18"/>
              </w:rPr>
            </w:r>
          </w:p>
        </w:tc>
      </w:tr>
      <w:tr>
        <w:trPr>
          <w:trHeight w:hRule="auto" w:val="0"/>
        </w:trPr>
        <w:tc>
          <w:tcPr>
            <w:tcW w:type="dxa" w:w="4560"/>
          </w:tcPr>
          <w:p>
            <w:pPr>
              <w:jc w:val="left"/>
            </w:pPr>
            <w:r>
              <w:rPr>
                <w:sz w:val="18"/>
              </w:rPr>
              <w:t>Cloud Computing</w:t>
            </w:r>
          </w:p>
        </w:tc>
        <w:tc>
          <w:tcPr>
            <w:tcW w:type="dxa" w:w="4560"/>
          </w:tcPr>
          <w:p>
            <w:pPr>
              <w:jc w:val="left"/>
            </w:pPr>
            <w:r>
              <w:rPr>
                <w:sz w:val="18"/>
              </w:rPr>
              <w:t>Model for ubiquitous, on-demand network access to shared configurable computing resources</w:t>
            </w:r>
          </w:p>
        </w:tc>
        <w:tc>
          <w:tcPr>
            <w:tcW w:type="dxa" w:w="4560"/>
          </w:tcPr>
          <w:p>
            <w:pPr>
              <w:jc w:val="left"/>
            </w:pPr>
            <w:r>
              <w:rPr>
                <w:sz w:val="18"/>
              </w:rPr>
            </w:r>
          </w:p>
        </w:tc>
      </w:tr>
      <w:tr>
        <w:trPr>
          <w:trHeight w:hRule="auto" w:val="0"/>
        </w:trPr>
        <w:tc>
          <w:tcPr>
            <w:tcW w:type="dxa" w:w="4560"/>
          </w:tcPr>
          <w:p>
            <w:pPr>
              <w:jc w:val="left"/>
            </w:pPr>
            <w:r>
              <w:rPr>
                <w:sz w:val="18"/>
              </w:rPr>
              <w:t>Control</w:t>
            </w:r>
          </w:p>
        </w:tc>
        <w:tc>
          <w:tcPr>
            <w:tcW w:type="dxa" w:w="4560"/>
          </w:tcPr>
          <w:p>
            <w:pPr>
              <w:jc w:val="left"/>
            </w:pPr>
            <w:r>
              <w:rPr>
                <w:sz w:val="18"/>
              </w:rPr>
              <w:t>Technical, administrative, or physical safeguard used to manage risk through preventing, detecting, or lessening threats</w:t>
            </w:r>
          </w:p>
        </w:tc>
        <w:tc>
          <w:tcPr>
            <w:tcW w:type="dxa" w:w="4560"/>
          </w:tcPr>
          <w:p>
            <w:pPr>
              <w:jc w:val="left"/>
            </w:pPr>
            <w:r>
              <w:rPr>
                <w:sz w:val="18"/>
              </w:rPr>
            </w:r>
          </w:p>
        </w:tc>
      </w:tr>
      <w:tr>
        <w:trPr>
          <w:trHeight w:hRule="auto" w:val="0"/>
        </w:trPr>
        <w:tc>
          <w:tcPr>
            <w:tcW w:type="dxa" w:w="4560"/>
          </w:tcPr>
          <w:p>
            <w:pPr>
              <w:jc w:val="left"/>
            </w:pPr>
            <w:r>
              <w:rPr>
                <w:sz w:val="18"/>
              </w:rPr>
              <w:t>Control Objective</w:t>
            </w:r>
          </w:p>
        </w:tc>
        <w:tc>
          <w:tcPr>
            <w:tcW w:type="dxa" w:w="4560"/>
          </w:tcPr>
          <w:p>
            <w:pPr>
              <w:jc w:val="left"/>
            </w:pPr>
            <w:r>
              <w:rPr>
                <w:sz w:val="18"/>
              </w:rPr>
              <w:t>Target or desired condition; statement describing what is to be achieved as a result of implementing a control</w:t>
            </w:r>
          </w:p>
        </w:tc>
        <w:tc>
          <w:tcPr>
            <w:tcW w:type="dxa" w:w="4560"/>
          </w:tcPr>
          <w:p>
            <w:pPr>
              <w:jc w:val="left"/>
            </w:pPr>
            <w:r>
              <w:rPr>
                <w:sz w:val="18"/>
              </w:rPr>
            </w:r>
          </w:p>
        </w:tc>
      </w:tr>
      <w:tr>
        <w:trPr>
          <w:trHeight w:hRule="auto" w:val="0"/>
        </w:trPr>
        <w:tc>
          <w:tcPr>
            <w:tcW w:type="dxa" w:w="4560"/>
          </w:tcPr>
          <w:p>
            <w:pPr>
              <w:jc w:val="left"/>
            </w:pPr>
            <w:r>
              <w:rPr>
                <w:sz w:val="18"/>
              </w:rPr>
              <w:t>Customers</w:t>
            </w:r>
          </w:p>
        </w:tc>
        <w:tc>
          <w:tcPr>
            <w:tcW w:type="dxa" w:w="4560"/>
          </w:tcPr>
          <w:p>
            <w:pPr>
              <w:jc w:val="left"/>
            </w:pPr>
            <w:r>
              <w:rPr>
                <w:sz w:val="18"/>
              </w:rPr>
              <w:t>Consumers of products without the ability to modify data identified as in the purview of privacy, financial impact, or IP</w:t>
            </w:r>
          </w:p>
        </w:tc>
        <w:tc>
          <w:tcPr>
            <w:tcW w:type="dxa" w:w="4560"/>
          </w:tcPr>
          <w:p>
            <w:pPr>
              <w:jc w:val="left"/>
            </w:pPr>
            <w:r>
              <w:rPr>
                <w:sz w:val="18"/>
              </w:rPr>
            </w:r>
          </w:p>
        </w:tc>
      </w:tr>
      <w:tr>
        <w:trPr>
          <w:trHeight w:hRule="auto" w:val="0"/>
        </w:trPr>
        <w:tc>
          <w:tcPr>
            <w:tcW w:type="dxa" w:w="4560"/>
          </w:tcPr>
          <w:p>
            <w:pPr>
              <w:jc w:val="left"/>
            </w:pPr>
            <w:r>
              <w:rPr>
                <w:sz w:val="18"/>
              </w:rPr>
              <w:t>Encryption</w:t>
            </w:r>
          </w:p>
        </w:tc>
        <w:tc>
          <w:tcPr>
            <w:tcW w:type="dxa" w:w="4560"/>
          </w:tcPr>
          <w:p>
            <w:pPr>
              <w:jc w:val="left"/>
            </w:pPr>
            <w:r>
              <w:rPr>
                <w:sz w:val="18"/>
              </w:rPr>
              <w:t>Conversion of data into a form that cannot be easily understood by unauthorized people or systems</w:t>
            </w:r>
          </w:p>
        </w:tc>
        <w:tc>
          <w:tcPr>
            <w:tcW w:type="dxa" w:w="4560"/>
          </w:tcPr>
          <w:p>
            <w:pPr>
              <w:jc w:val="left"/>
            </w:pPr>
            <w:r>
              <w:rPr>
                <w:sz w:val="18"/>
              </w:rPr>
            </w:r>
          </w:p>
        </w:tc>
      </w:tr>
      <w:tr>
        <w:trPr>
          <w:trHeight w:hRule="auto" w:val="0"/>
        </w:trPr>
        <w:tc>
          <w:tcPr>
            <w:tcW w:type="dxa" w:w="4560"/>
          </w:tcPr>
          <w:p>
            <w:pPr>
              <w:jc w:val="left"/>
            </w:pPr>
            <w:r>
              <w:rPr>
                <w:sz w:val="18"/>
              </w:rPr>
              <w:t>Guideline</w:t>
            </w:r>
          </w:p>
        </w:tc>
        <w:tc>
          <w:tcPr>
            <w:tcW w:type="dxa" w:w="4560"/>
          </w:tcPr>
          <w:p>
            <w:pPr>
              <w:jc w:val="left"/>
            </w:pPr>
            <w:r>
              <w:rPr>
                <w:sz w:val="18"/>
              </w:rPr>
              <w:t>Recommended practices based on industry-recognized secure practices; allows discretion unlike Standards</w:t>
            </w:r>
          </w:p>
        </w:tc>
        <w:tc>
          <w:tcPr>
            <w:tcW w:type="dxa" w:w="4560"/>
          </w:tcPr>
          <w:p>
            <w:pPr>
              <w:jc w:val="left"/>
            </w:pPr>
            <w:r>
              <w:rPr>
                <w:sz w:val="18"/>
              </w:rPr>
            </w:r>
          </w:p>
        </w:tc>
      </w:tr>
      <w:tr>
        <w:trPr>
          <w:trHeight w:hRule="auto" w:val="0"/>
        </w:trPr>
        <w:tc>
          <w:tcPr>
            <w:tcW w:type="dxa" w:w="4560"/>
          </w:tcPr>
          <w:p>
            <w:pPr>
              <w:jc w:val="left"/>
            </w:pPr>
            <w:r>
              <w:rPr>
                <w:sz w:val="18"/>
              </w:rPr>
              <w:t>Non-Human Accounts</w:t>
            </w:r>
          </w:p>
        </w:tc>
        <w:tc>
          <w:tcPr>
            <w:tcW w:type="dxa" w:w="4560"/>
          </w:tcPr>
          <w:p>
            <w:pPr>
              <w:jc w:val="left"/>
            </w:pPr>
            <w:r>
              <w:rPr>
                <w:sz w:val="18"/>
              </w:rPr>
              <w:t>Accounts used for scripts, bots, APIs, or other automated processes</w:t>
            </w:r>
          </w:p>
        </w:tc>
        <w:tc>
          <w:tcPr>
            <w:tcW w:type="dxa" w:w="4560"/>
          </w:tcPr>
          <w:p>
            <w:pPr>
              <w:jc w:val="left"/>
            </w:pPr>
            <w:r>
              <w:rPr>
                <w:sz w:val="18"/>
              </w:rPr>
            </w:r>
          </w:p>
        </w:tc>
      </w:tr>
      <w:tr>
        <w:trPr>
          <w:trHeight w:hRule="auto" w:val="0"/>
        </w:trPr>
        <w:tc>
          <w:tcPr>
            <w:tcW w:type="dxa" w:w="4560"/>
          </w:tcPr>
          <w:p>
            <w:pPr>
              <w:jc w:val="left"/>
            </w:pPr>
            <w:r>
              <w:rPr>
                <w:sz w:val="18"/>
              </w:rPr>
              <w:t>Policy</w:t>
            </w:r>
          </w:p>
        </w:tc>
        <w:tc>
          <w:tcPr>
            <w:tcW w:type="dxa" w:w="4560"/>
          </w:tcPr>
          <w:p>
            <w:pPr>
              <w:jc w:val="left"/>
            </w:pPr>
            <w:r>
              <w:rPr>
                <w:sz w:val="18"/>
              </w:rPr>
              <w:t>High-level statements of management intent designed to influence decisions and guide desired outcomes</w:t>
            </w:r>
          </w:p>
        </w:tc>
        <w:tc>
          <w:tcPr>
            <w:tcW w:type="dxa" w:w="4560"/>
          </w:tcPr>
          <w:p>
            <w:pPr>
              <w:jc w:val="left"/>
            </w:pPr>
            <w:r>
              <w:rPr>
                <w:sz w:val="18"/>
              </w:rPr>
            </w:r>
          </w:p>
        </w:tc>
      </w:tr>
      <w:tr>
        <w:trPr>
          <w:trHeight w:hRule="auto" w:val="0"/>
        </w:trPr>
        <w:tc>
          <w:tcPr>
            <w:tcW w:type="dxa" w:w="4560"/>
          </w:tcPr>
          <w:p>
            <w:pPr>
              <w:jc w:val="left"/>
            </w:pPr>
            <w:r>
              <w:rPr>
                <w:sz w:val="18"/>
              </w:rPr>
              <w:t>Principle of Least Privilege</w:t>
            </w:r>
          </w:p>
        </w:tc>
        <w:tc>
          <w:tcPr>
            <w:tcW w:type="dxa" w:w="4560"/>
          </w:tcPr>
          <w:p>
            <w:pPr>
              <w:jc w:val="left"/>
            </w:pPr>
            <w:r>
              <w:rPr>
                <w:sz w:val="18"/>
              </w:rPr>
              <w:t>Limit access privileges for any user to those essential for assigned duties and nothing more</w:t>
            </w:r>
          </w:p>
        </w:tc>
        <w:tc>
          <w:tcPr>
            <w:tcW w:type="dxa" w:w="4560"/>
          </w:tcPr>
          <w:p>
            <w:pPr>
              <w:jc w:val="left"/>
            </w:pPr>
            <w:r>
              <w:rPr>
                <w:sz w:val="18"/>
              </w:rPr>
            </w:r>
          </w:p>
        </w:tc>
      </w:tr>
      <w:tr>
        <w:trPr>
          <w:trHeight w:hRule="auto" w:val="0"/>
        </w:trPr>
        <w:tc>
          <w:tcPr>
            <w:tcW w:type="dxa" w:w="4560"/>
          </w:tcPr>
          <w:p>
            <w:pPr>
              <w:jc w:val="left"/>
            </w:pPr>
            <w:r>
              <w:rPr>
                <w:sz w:val="18"/>
              </w:rPr>
              <w:t>Principle of Separation of Duties</w:t>
            </w:r>
          </w:p>
        </w:tc>
        <w:tc>
          <w:tcPr>
            <w:tcW w:type="dxa" w:w="4560"/>
          </w:tcPr>
          <w:p>
            <w:pPr>
              <w:jc w:val="left"/>
            </w:pPr>
            <w:r>
              <w:rPr>
                <w:sz w:val="18"/>
              </w:rPr>
              <w:t>Ensure duties that can lead to fraud, abuse, or harm are separated or controlled</w:t>
            </w:r>
          </w:p>
        </w:tc>
        <w:tc>
          <w:tcPr>
            <w:tcW w:type="dxa" w:w="4560"/>
          </w:tcPr>
          <w:p>
            <w:pPr>
              <w:jc w:val="left"/>
            </w:pPr>
            <w:r>
              <w:rPr>
                <w:sz w:val="18"/>
              </w:rPr>
            </w:r>
          </w:p>
        </w:tc>
      </w:tr>
      <w:tr>
        <w:trPr>
          <w:trHeight w:hRule="auto" w:val="0"/>
        </w:trPr>
        <w:tc>
          <w:tcPr>
            <w:tcW w:type="dxa" w:w="4560"/>
          </w:tcPr>
          <w:p>
            <w:pPr>
              <w:jc w:val="left"/>
            </w:pPr>
            <w:r>
              <w:rPr>
                <w:sz w:val="18"/>
              </w:rPr>
              <w:t>Privileged User</w:t>
            </w:r>
          </w:p>
        </w:tc>
        <w:tc>
          <w:tcPr>
            <w:tcW w:type="dxa" w:w="4560"/>
          </w:tcPr>
          <w:p>
            <w:pPr>
              <w:jc w:val="left"/>
            </w:pPr>
            <w:r>
              <w:rPr>
                <w:sz w:val="18"/>
              </w:rPr>
              <w:t>Someone with administrative or higher-level access beyond a typical user, performing critical system tasks</w:t>
            </w:r>
          </w:p>
        </w:tc>
        <w:tc>
          <w:tcPr>
            <w:tcW w:type="dxa" w:w="4560"/>
          </w:tcPr>
          <w:p>
            <w:pPr>
              <w:jc w:val="left"/>
            </w:pPr>
            <w:r>
              <w:rPr>
                <w:sz w:val="18"/>
              </w:rPr>
            </w:r>
          </w:p>
        </w:tc>
      </w:tr>
      <w:tr>
        <w:trPr>
          <w:trHeight w:hRule="auto" w:val="0"/>
        </w:trPr>
        <w:tc>
          <w:tcPr>
            <w:tcW w:type="dxa" w:w="4560"/>
          </w:tcPr>
          <w:p>
            <w:pPr>
              <w:jc w:val="left"/>
            </w:pPr>
            <w:r>
              <w:rPr>
                <w:sz w:val="18"/>
              </w:rPr>
              <w:t>Procedure</w:t>
            </w:r>
          </w:p>
        </w:tc>
        <w:tc>
          <w:tcPr>
            <w:tcW w:type="dxa" w:w="4560"/>
          </w:tcPr>
          <w:p>
            <w:pPr>
              <w:jc w:val="left"/>
            </w:pPr>
            <w:r>
              <w:rPr>
                <w:sz w:val="18"/>
              </w:rPr>
              <w:t>Documented set of steps to perform a specific task in conformance with an applicable standard</w:t>
            </w:r>
          </w:p>
        </w:tc>
        <w:tc>
          <w:tcPr>
            <w:tcW w:type="dxa" w:w="4560"/>
          </w:tcPr>
          <w:p>
            <w:pPr>
              <w:jc w:val="left"/>
            </w:pPr>
            <w:r>
              <w:rPr>
                <w:sz w:val="18"/>
              </w:rPr>
            </w:r>
          </w:p>
        </w:tc>
      </w:tr>
      <w:tr>
        <w:trPr>
          <w:trHeight w:hRule="auto" w:val="0"/>
        </w:trPr>
        <w:tc>
          <w:tcPr>
            <w:tcW w:type="dxa" w:w="4560"/>
          </w:tcPr>
          <w:p>
            <w:pPr>
              <w:jc w:val="left"/>
            </w:pPr>
            <w:r>
              <w:rPr>
                <w:sz w:val="18"/>
              </w:rPr>
              <w:t>Risk</w:t>
            </w:r>
          </w:p>
        </w:tc>
        <w:tc>
          <w:tcPr>
            <w:tcW w:type="dxa" w:w="4560"/>
          </w:tcPr>
          <w:p>
            <w:pPr>
              <w:jc w:val="left"/>
            </w:pPr>
            <w:r>
              <w:rPr>
                <w:sz w:val="18"/>
              </w:rPr>
              <w:t>Potential exposure to harm or loss, often calculated as Threat × Vulnerability × Consequence</w:t>
            </w:r>
          </w:p>
        </w:tc>
        <w:tc>
          <w:tcPr>
            <w:tcW w:type="dxa" w:w="4560"/>
          </w:tcPr>
          <w:p>
            <w:pPr>
              <w:jc w:val="left"/>
            </w:pPr>
            <w:r>
              <w:rPr>
                <w:sz w:val="18"/>
              </w:rPr>
            </w:r>
          </w:p>
        </w:tc>
      </w:tr>
      <w:tr>
        <w:trPr>
          <w:trHeight w:hRule="auto" w:val="0"/>
        </w:trPr>
        <w:tc>
          <w:tcPr>
            <w:tcW w:type="dxa" w:w="4560"/>
          </w:tcPr>
          <w:p>
            <w:pPr>
              <w:jc w:val="left"/>
            </w:pPr>
            <w:r>
              <w:rPr>
                <w:sz w:val="18"/>
              </w:rPr>
              <w:t>Service Accounts</w:t>
            </w:r>
          </w:p>
        </w:tc>
        <w:tc>
          <w:tcPr>
            <w:tcW w:type="dxa" w:w="4560"/>
          </w:tcPr>
          <w:p>
            <w:pPr>
              <w:jc w:val="left"/>
            </w:pPr>
            <w:r>
              <w:rPr>
                <w:sz w:val="18"/>
              </w:rPr>
              <w:t>Accounts used by multiple people; pose security risks since tracking individual activity is difficult</w:t>
            </w:r>
          </w:p>
        </w:tc>
        <w:tc>
          <w:tcPr>
            <w:tcW w:type="dxa" w:w="4560"/>
          </w:tcPr>
          <w:p>
            <w:pPr>
              <w:jc w:val="left"/>
            </w:pPr>
            <w:r>
              <w:rPr>
                <w:sz w:val="18"/>
              </w:rPr>
            </w:r>
          </w:p>
        </w:tc>
      </w:tr>
      <w:tr>
        <w:trPr>
          <w:trHeight w:hRule="auto" w:val="0"/>
        </w:trPr>
        <w:tc>
          <w:tcPr>
            <w:tcW w:type="dxa" w:w="4560"/>
          </w:tcPr>
          <w:p>
            <w:pPr>
              <w:jc w:val="left"/>
            </w:pPr>
            <w:r>
              <w:rPr>
                <w:sz w:val="18"/>
              </w:rPr>
              <w:t>SOX</w:t>
            </w:r>
          </w:p>
        </w:tc>
        <w:tc>
          <w:tcPr>
            <w:tcW w:type="dxa" w:w="4560"/>
          </w:tcPr>
          <w:p>
            <w:pPr>
              <w:jc w:val="left"/>
            </w:pPr>
            <w:r>
              <w:rPr>
                <w:sz w:val="18"/>
              </w:rPr>
              <w:t>Sarbanes-Oxley Act — US federal law setting enhanced standards for public company boards, management, and accounting</w:t>
            </w:r>
          </w:p>
        </w:tc>
        <w:tc>
          <w:tcPr>
            <w:tcW w:type="dxa" w:w="4560"/>
          </w:tcPr>
          <w:p>
            <w:pPr>
              <w:jc w:val="left"/>
            </w:pPr>
            <w:r>
              <w:rPr>
                <w:sz w:val="18"/>
              </w:rPr>
            </w:r>
          </w:p>
        </w:tc>
      </w:tr>
      <w:tr>
        <w:trPr>
          <w:trHeight w:hRule="auto" w:val="0"/>
        </w:trPr>
        <w:tc>
          <w:tcPr>
            <w:tcW w:type="dxa" w:w="4560"/>
          </w:tcPr>
          <w:p>
            <w:pPr>
              <w:jc w:val="left"/>
            </w:pPr>
            <w:r>
              <w:rPr>
                <w:sz w:val="18"/>
              </w:rPr>
              <w:t>Standard</w:t>
            </w:r>
          </w:p>
        </w:tc>
        <w:tc>
          <w:tcPr>
            <w:tcW w:type="dxa" w:w="4560"/>
          </w:tcPr>
          <w:p>
            <w:pPr>
              <w:jc w:val="left"/>
            </w:pPr>
            <w:r>
              <w:rPr>
                <w:sz w:val="18"/>
              </w:rPr>
              <w:t>Mandatory requirements regarding processes, actions, and configurations designed to satisfy Control Objectives</w:t>
            </w:r>
          </w:p>
        </w:tc>
        <w:tc>
          <w:tcPr>
            <w:tcW w:type="dxa" w:w="4560"/>
          </w:tcPr>
          <w:p>
            <w:pPr>
              <w:jc w:val="left"/>
            </w:pPr>
            <w:r>
              <w:rPr>
                <w:sz w:val="18"/>
              </w:rPr>
            </w:r>
          </w:p>
        </w:tc>
      </w:tr>
      <w:tr>
        <w:trPr>
          <w:trHeight w:hRule="auto" w:val="0"/>
        </w:trPr>
        <w:tc>
          <w:tcPr>
            <w:tcW w:type="dxa" w:w="4560"/>
          </w:tcPr>
          <w:p>
            <w:pPr>
              <w:jc w:val="left"/>
            </w:pPr>
            <w:r>
              <w:rPr>
                <w:sz w:val="18"/>
              </w:rPr>
              <w:t>System Accounts</w:t>
            </w:r>
          </w:p>
        </w:tc>
        <w:tc>
          <w:tcPr>
            <w:tcW w:type="dxa" w:w="4560"/>
          </w:tcPr>
          <w:p>
            <w:pPr>
              <w:jc w:val="left"/>
            </w:pPr>
            <w:r>
              <w:rPr>
                <w:sz w:val="18"/>
              </w:rPr>
              <w:t>Accounts used by operating systems or applications to perform background tasks</w:t>
            </w:r>
          </w:p>
        </w:tc>
        <w:tc>
          <w:tcPr>
            <w:tcW w:type="dxa" w:w="4560"/>
          </w:tcPr>
          <w:p>
            <w:pPr>
              <w:jc w:val="left"/>
            </w:pPr>
            <w:r>
              <w:rPr>
                <w:sz w:val="18"/>
              </w:rPr>
            </w:r>
          </w:p>
        </w:tc>
      </w:tr>
    </w:tbl>
    <w:p/>
    <w:tbl>
      <w:tblPr>
        <w:tblStyle w:val="GridTable4-Accent1"/>
        <w:jc w:val="left"/>
        <w:tblLook w:firstColumn="1" w:firstRow="1" w:lastColumn="0" w:lastRow="0" w:noHBand="0" w:noVBand="1" w:val="04A0"/>
        <w:tblW w:type="pct" w:w="5000"/>
      </w:tblPr>
      <w:tblGrid>
        <w:gridCol w:w="6840"/>
        <w:gridCol w:w="6840"/>
      </w:tblGrid>
      <w:tr>
        <w:trPr>
          <w:trHeight w:hRule="auto" w:val="0"/>
        </w:trPr>
        <w:tc>
          <w:tcPr>
            <w:tcW w:type="dxa" w:w="6840"/>
          </w:tcPr>
          <w:p>
            <w:pPr>
              <w:jc w:val="left"/>
            </w:pPr>
            <w:r>
              <w:rPr>
                <w:b/>
                <w:sz w:val="18"/>
              </w:rPr>
              <w:t>Framework</w:t>
            </w:r>
          </w:p>
        </w:tc>
        <w:tc>
          <w:tcPr>
            <w:tcW w:type="dxa" w:w="684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GV — GOVERN</w:t>
            </w:r>
          </w:p>
        </w:tc>
      </w:tr>
      <w:tr>
        <w:trPr>
          <w:trHeight w:hRule="auto" w:val="0"/>
        </w:trPr>
        <w:tc>
          <w:tcPr>
            <w:tcW w:type="dxa" w:w="6840"/>
          </w:tcPr>
          <w:p>
            <w:pPr>
              <w:jc w:val="left"/>
            </w:pPr>
            <w:r>
              <w:rPr>
                <w:sz w:val="18"/>
              </w:rPr>
              <w:t>NIST CSF 2.0 Categories</w:t>
            </w:r>
          </w:p>
        </w:tc>
        <w:tc>
          <w:tcPr>
            <w:tcW w:type="dxa" w:w="6840"/>
          </w:tcPr>
          <w:p>
            <w:pPr>
              <w:jc w:val="left"/>
            </w:pPr>
            <w:r>
              <w:rPr>
                <w:sz w:val="18"/>
              </w:rPr>
              <w:t>GV.PO, GV.OC</w:t>
            </w:r>
          </w:p>
        </w:tc>
      </w:tr>
      <w:tr>
        <w:trPr>
          <w:trHeight w:hRule="auto" w:val="0"/>
        </w:trPr>
        <w:tc>
          <w:tcPr>
            <w:tcW w:type="dxa" w:w="6840"/>
          </w:tcPr>
          <w:p>
            <w:pPr>
              <w:jc w:val="left"/>
            </w:pPr>
            <w:r>
              <w:rPr>
                <w:sz w:val="18"/>
              </w:rPr>
              <w:t>FERPA (34 CFR Part 99)</w:t>
            </w:r>
          </w:p>
        </w:tc>
        <w:tc>
          <w:tcPr>
            <w:tcW w:type="dxa" w:w="6840"/>
          </w:tcPr>
          <w:p>
            <w:pPr>
              <w:jc w:val="left"/>
            </w:pPr>
            <w:r>
              <w:rPr>
                <w:sz w:val="18"/>
              </w:rPr>
              <w:t>§99.3</w:t>
            </w:r>
          </w:p>
        </w:tc>
      </w:tr>
      <w:tr>
        <w:trPr>
          <w:trHeight w:hRule="auto" w:val="0"/>
        </w:trPr>
        <w:tc>
          <w:tcPr>
            <w:tcW w:type="dxa" w:w="6840"/>
          </w:tcPr>
          <w:p>
            <w:pPr>
              <w:jc w:val="left"/>
            </w:pPr>
            <w:r>
              <w:rPr>
                <w:sz w:val="18"/>
              </w:rPr>
              <w:t>SOX §404 ITGC Domains</w:t>
            </w:r>
          </w:p>
        </w:tc>
        <w:tc>
          <w:tcPr>
            <w:tcW w:type="dxa" w:w="6840"/>
          </w:tcPr>
          <w:p>
            <w:pPr>
              <w:jc w:val="left"/>
            </w:pPr>
            <w:r>
              <w:rPr>
                <w:sz w:val="18"/>
              </w:rPr>
              <w:t>—</w:t>
            </w:r>
          </w:p>
        </w:tc>
      </w:tr>
    </w:tbl>
    <w:p>
      <w:pPr>
        <w:pStyle w:val="Heading2"/>
      </w:pPr>
      <w:r>
        <w:t>STRIDE ISP 2.1 — Organizational Context (GV.OC)</w:t>
      </w:r>
    </w:p>
    <w:p>
      <w:r>
        <w:rPr>
          <w:b/>
          <w:i w:val="0"/>
        </w:rPr>
        <w:t>Summary:</w:t>
      </w:r>
    </w:p>
    <w:p>
      <w:pPr>
        <w:pStyle w:val="ListBullet"/>
      </w:pPr>
      <w:r>
        <w:t>Establishes the organizational context for cybersecurity risk management decisions.</w:t>
      </w:r>
    </w:p>
    <w:p>
      <w:pPr>
        <w:pStyle w:val="ListBullet"/>
      </w:pPr>
      <w:r>
        <w:t>Aligns cybersecurity strategies with Stride's educational mission and business objectives.</w:t>
      </w:r>
    </w:p>
    <w:p>
      <w:pPr>
        <w:pStyle w:val="ListBullet"/>
      </w:pPr>
      <w:r>
        <w:t>Requires documentation of internal and external factors shaping security priorities.</w:t>
      </w:r>
    </w:p>
    <w:p>
      <w:pPr>
        <w:pStyle w:val="ListBullet"/>
      </w:pPr>
      <w:r>
        <w:t>Mandates understanding of stakeholder expectations, legal obligations, and the risk environment.</w:t>
      </w:r>
    </w:p>
    <w:p/>
    <w:tbl>
      <w:tblPr>
        <w:tblStyle w:val="GridTable4-Accent1"/>
        <w:jc w:val="left"/>
        <w:tblLook w:firstColumn="1" w:firstRow="1" w:lastColumn="0" w:lastRow="0" w:noHBand="0" w:noVBand="1" w:val="04A0"/>
        <w:tblW w:type="pct" w:w="5000"/>
      </w:tblPr>
      <w:tblGrid>
        <w:gridCol w:w="6840"/>
        <w:gridCol w:w="6840"/>
      </w:tblGrid>
      <w:tr>
        <w:trPr>
          <w:trHeight w:hRule="auto" w:val="0"/>
        </w:trPr>
        <w:tc>
          <w:tcPr>
            <w:tcW w:type="dxa" w:w="6840"/>
          </w:tcPr>
          <w:p>
            <w:pPr>
              <w:jc w:val="left"/>
            </w:pPr>
            <w:r>
              <w:rPr>
                <w:b/>
                <w:sz w:val="18"/>
              </w:rPr>
              <w:t>Framework</w:t>
            </w:r>
          </w:p>
        </w:tc>
        <w:tc>
          <w:tcPr>
            <w:tcW w:type="dxa" w:w="684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GV — GOVERN</w:t>
            </w:r>
          </w:p>
        </w:tc>
      </w:tr>
      <w:tr>
        <w:trPr>
          <w:trHeight w:hRule="auto" w:val="0"/>
        </w:trPr>
        <w:tc>
          <w:tcPr>
            <w:tcW w:type="dxa" w:w="6840"/>
          </w:tcPr>
          <w:p>
            <w:pPr>
              <w:jc w:val="left"/>
            </w:pPr>
            <w:r>
              <w:rPr>
                <w:sz w:val="18"/>
              </w:rPr>
              <w:t>NIST CSF 2.0 Categories</w:t>
            </w:r>
          </w:p>
        </w:tc>
        <w:tc>
          <w:tcPr>
            <w:tcW w:type="dxa" w:w="6840"/>
          </w:tcPr>
          <w:p>
            <w:pPr>
              <w:jc w:val="left"/>
            </w:pPr>
            <w:r>
              <w:rPr>
                <w:sz w:val="18"/>
              </w:rPr>
              <w:t>GV.OC</w:t>
            </w:r>
          </w:p>
        </w:tc>
      </w:tr>
      <w:tr>
        <w:trPr>
          <w:trHeight w:hRule="auto" w:val="0"/>
        </w:trPr>
        <w:tc>
          <w:tcPr>
            <w:tcW w:type="dxa" w:w="6840"/>
          </w:tcPr>
          <w:p>
            <w:pPr>
              <w:jc w:val="left"/>
            </w:pPr>
            <w:r>
              <w:rPr>
                <w:sz w:val="18"/>
              </w:rPr>
              <w:t>FERPA (34 CFR Part 99)</w:t>
            </w:r>
          </w:p>
        </w:tc>
        <w:tc>
          <w:tcPr>
            <w:tcW w:type="dxa" w:w="6840"/>
          </w:tcPr>
          <w:p>
            <w:pPr>
              <w:jc w:val="left"/>
            </w:pPr>
            <w:r>
              <w:rPr>
                <w:sz w:val="18"/>
              </w:rPr>
              <w:t>§99.2</w:t>
            </w:r>
          </w:p>
        </w:tc>
      </w:tr>
      <w:tr>
        <w:trPr>
          <w:trHeight w:hRule="auto" w:val="0"/>
        </w:trPr>
        <w:tc>
          <w:tcPr>
            <w:tcW w:type="dxa" w:w="6840"/>
          </w:tcPr>
          <w:p>
            <w:pPr>
              <w:jc w:val="left"/>
            </w:pPr>
            <w:r>
              <w:rPr>
                <w:sz w:val="18"/>
              </w:rPr>
              <w:t>SOX §404 ITGC Domains</w:t>
            </w:r>
          </w:p>
        </w:tc>
        <w:tc>
          <w:tcPr>
            <w:tcW w:type="dxa" w:w="6840"/>
          </w:tcPr>
          <w:p>
            <w:pPr>
              <w:jc w:val="left"/>
            </w:pPr>
            <w:r>
              <w:rPr>
                <w:sz w:val="18"/>
              </w:rPr>
              <w:t>—</w:t>
            </w:r>
          </w:p>
        </w:tc>
      </w:tr>
    </w:tbl>
    <w:p>
      <w:pPr>
        <w:pStyle w:val="Heading2"/>
      </w:pPr>
      <w:r>
        <w:t>STRIDE ISP 2.2 — Risk Management Strategy (GV.RM)</w:t>
      </w:r>
    </w:p>
    <w:p>
      <w:r>
        <w:rPr>
          <w:b/>
          <w:i w:val="0"/>
        </w:rPr>
        <w:t>Summary:</w:t>
      </w:r>
    </w:p>
    <w:p>
      <w:pPr>
        <w:pStyle w:val="ListBullet"/>
      </w:pPr>
      <w:r>
        <w:t>Defines Stride's risk management strategy, including risk appetite and tolerance levels.</w:t>
      </w:r>
    </w:p>
    <w:p>
      <w:pPr>
        <w:pStyle w:val="ListBullet"/>
      </w:pPr>
      <w:r>
        <w:t>Establishes a structured approach to identifying, assessing, and treating cybersecurity risks.</w:t>
      </w:r>
    </w:p>
    <w:p>
      <w:pPr>
        <w:pStyle w:val="ListBullet"/>
      </w:pPr>
      <w:r>
        <w:t>Requires risk management to be integrated across all enterprise processes.</w:t>
      </w:r>
    </w:p>
    <w:p>
      <w:pPr>
        <w:pStyle w:val="ListBullet"/>
      </w:pPr>
      <w:r>
        <w:t>Mandates periodic review of risk tolerance statements and alignment with business goals.</w:t>
      </w:r>
    </w:p>
    <w:p/>
    <w:tbl>
      <w:tblPr>
        <w:tblStyle w:val="GridTable4-Accent1"/>
        <w:jc w:val="left"/>
        <w:tblLook w:firstColumn="1" w:firstRow="1" w:lastColumn="0" w:lastRow="0" w:noHBand="0" w:noVBand="1" w:val="04A0"/>
        <w:tblW w:type="pct" w:w="5000"/>
      </w:tblPr>
      <w:tblGrid>
        <w:gridCol w:w="6840"/>
        <w:gridCol w:w="6840"/>
      </w:tblGrid>
      <w:tr>
        <w:trPr>
          <w:trHeight w:hRule="auto" w:val="0"/>
        </w:trPr>
        <w:tc>
          <w:tcPr>
            <w:tcW w:type="dxa" w:w="6840"/>
          </w:tcPr>
          <w:p>
            <w:pPr>
              <w:jc w:val="left"/>
            </w:pPr>
            <w:r>
              <w:rPr>
                <w:b/>
                <w:sz w:val="18"/>
              </w:rPr>
              <w:t>Framework</w:t>
            </w:r>
          </w:p>
        </w:tc>
        <w:tc>
          <w:tcPr>
            <w:tcW w:type="dxa" w:w="684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GV — GOVERN</w:t>
            </w:r>
          </w:p>
        </w:tc>
      </w:tr>
      <w:tr>
        <w:trPr>
          <w:trHeight w:hRule="auto" w:val="0"/>
        </w:trPr>
        <w:tc>
          <w:tcPr>
            <w:tcW w:type="dxa" w:w="6840"/>
          </w:tcPr>
          <w:p>
            <w:pPr>
              <w:jc w:val="left"/>
            </w:pPr>
            <w:r>
              <w:rPr>
                <w:sz w:val="18"/>
              </w:rPr>
              <w:t>NIST CSF 2.0 Categories</w:t>
            </w:r>
          </w:p>
        </w:tc>
        <w:tc>
          <w:tcPr>
            <w:tcW w:type="dxa" w:w="6840"/>
          </w:tcPr>
          <w:p>
            <w:pPr>
              <w:jc w:val="left"/>
            </w:pPr>
            <w:r>
              <w:rPr>
                <w:sz w:val="18"/>
              </w:rPr>
              <w:t>GV.RM</w:t>
            </w:r>
          </w:p>
        </w:tc>
      </w:tr>
      <w:tr>
        <w:trPr>
          <w:trHeight w:hRule="auto" w:val="0"/>
        </w:trPr>
        <w:tc>
          <w:tcPr>
            <w:tcW w:type="dxa" w:w="6840"/>
          </w:tcPr>
          <w:p>
            <w:pPr>
              <w:jc w:val="left"/>
            </w:pPr>
            <w:r>
              <w:rPr>
                <w:sz w:val="18"/>
              </w:rPr>
              <w:t>FERPA (34 CFR Part 99)</w:t>
            </w:r>
          </w:p>
        </w:tc>
        <w:tc>
          <w:tcPr>
            <w:tcW w:type="dxa" w:w="6840"/>
          </w:tcPr>
          <w:p>
            <w:pPr>
              <w:jc w:val="left"/>
            </w:pPr>
            <w:r>
              <w:rPr>
                <w:sz w:val="18"/>
              </w:rPr>
              <w:t>—</w:t>
            </w:r>
          </w:p>
        </w:tc>
      </w:tr>
      <w:tr>
        <w:trPr>
          <w:trHeight w:hRule="auto" w:val="0"/>
        </w:trPr>
        <w:tc>
          <w:tcPr>
            <w:tcW w:type="dxa" w:w="6840"/>
          </w:tcPr>
          <w:p>
            <w:pPr>
              <w:jc w:val="left"/>
            </w:pPr>
            <w:r>
              <w:rPr>
                <w:sz w:val="18"/>
              </w:rPr>
              <w:t>SOX §404 ITGC Domains</w:t>
            </w:r>
          </w:p>
        </w:tc>
        <w:tc>
          <w:tcPr>
            <w:tcW w:type="dxa" w:w="6840"/>
          </w:tcPr>
          <w:p>
            <w:pPr>
              <w:jc w:val="left"/>
            </w:pPr>
            <w:r>
              <w:rPr>
                <w:sz w:val="18"/>
              </w:rPr>
              <w:t>—</w:t>
            </w:r>
          </w:p>
        </w:tc>
      </w:tr>
    </w:tbl>
    <w:p>
      <w:pPr>
        <w:pStyle w:val="Heading2"/>
      </w:pPr>
      <w:r>
        <w:t>STRIDE ISP 2.3 — Roles, Responsibilities, and Authorities (GV.RR)</w:t>
      </w:r>
    </w:p>
    <w:p>
      <w:r>
        <w:rPr>
          <w:b/>
          <w:i w:val="0"/>
        </w:rPr>
        <w:t>Summary:</w:t>
      </w:r>
    </w:p>
    <w:p>
      <w:pPr>
        <w:pStyle w:val="ListBullet"/>
      </w:pPr>
      <w:r>
        <w:t>Defines roles, responsibilities, and authorities for cybersecurity governance.</w:t>
      </w:r>
    </w:p>
    <w:p>
      <w:pPr>
        <w:pStyle w:val="ListBullet"/>
      </w:pPr>
      <w:r>
        <w:t>Assigns security functions to the CISO, IT leadership, and business unit owners.</w:t>
      </w:r>
    </w:p>
    <w:p>
      <w:pPr>
        <w:pStyle w:val="ListBullet"/>
      </w:pPr>
      <w:r>
        <w:t>Requires separation of duties and least privilege for high-risk operations.</w:t>
      </w:r>
    </w:p>
    <w:p>
      <w:pPr>
        <w:pStyle w:val="ListBullet"/>
      </w:pPr>
      <w:r>
        <w:t>Mandates RACI matrices for key security processes and incident response.</w:t>
      </w:r>
    </w:p>
    <w:p>
      <w:pPr>
        <w:pStyle w:val="ListBullet"/>
      </w:pPr>
      <w:r>
        <w:t>Establishes accountability for policy compliance at all organizational levels.</w:t>
      </w:r>
    </w:p>
    <w:p/>
    <w:tbl>
      <w:tblPr>
        <w:tblStyle w:val="GridTable4-Accent1"/>
        <w:jc w:val="left"/>
        <w:tblLook w:firstColumn="1" w:firstRow="1" w:lastColumn="0" w:lastRow="0" w:noHBand="0" w:noVBand="1" w:val="04A0"/>
        <w:tblW w:type="pct" w:w="5000"/>
      </w:tblPr>
      <w:tblGrid>
        <w:gridCol w:w="6840"/>
        <w:gridCol w:w="6840"/>
      </w:tblGrid>
      <w:tr>
        <w:trPr>
          <w:trHeight w:hRule="auto" w:val="0"/>
        </w:trPr>
        <w:tc>
          <w:tcPr>
            <w:tcW w:type="dxa" w:w="6840"/>
          </w:tcPr>
          <w:p>
            <w:pPr>
              <w:jc w:val="left"/>
            </w:pPr>
            <w:r>
              <w:rPr>
                <w:b/>
                <w:sz w:val="18"/>
              </w:rPr>
              <w:t>Framework</w:t>
            </w:r>
          </w:p>
        </w:tc>
        <w:tc>
          <w:tcPr>
            <w:tcW w:type="dxa" w:w="684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GV — GOVERN</w:t>
            </w:r>
          </w:p>
        </w:tc>
      </w:tr>
      <w:tr>
        <w:trPr>
          <w:trHeight w:hRule="auto" w:val="0"/>
        </w:trPr>
        <w:tc>
          <w:tcPr>
            <w:tcW w:type="dxa" w:w="6840"/>
          </w:tcPr>
          <w:p>
            <w:pPr>
              <w:jc w:val="left"/>
            </w:pPr>
            <w:r>
              <w:rPr>
                <w:sz w:val="18"/>
              </w:rPr>
              <w:t>NIST CSF 2.0 Categories</w:t>
            </w:r>
          </w:p>
        </w:tc>
        <w:tc>
          <w:tcPr>
            <w:tcW w:type="dxa" w:w="6840"/>
          </w:tcPr>
          <w:p>
            <w:pPr>
              <w:jc w:val="left"/>
            </w:pPr>
            <w:r>
              <w:rPr>
                <w:sz w:val="18"/>
              </w:rPr>
              <w:t>GV.RR</w:t>
            </w:r>
          </w:p>
        </w:tc>
      </w:tr>
      <w:tr>
        <w:trPr>
          <w:trHeight w:hRule="auto" w:val="0"/>
        </w:trPr>
        <w:tc>
          <w:tcPr>
            <w:tcW w:type="dxa" w:w="6840"/>
          </w:tcPr>
          <w:p>
            <w:pPr>
              <w:jc w:val="left"/>
            </w:pPr>
            <w:r>
              <w:rPr>
                <w:sz w:val="18"/>
              </w:rPr>
              <w:t>FERPA (34 CFR Part 99)</w:t>
            </w:r>
          </w:p>
        </w:tc>
        <w:tc>
          <w:tcPr>
            <w:tcW w:type="dxa" w:w="6840"/>
          </w:tcPr>
          <w:p>
            <w:pPr>
              <w:jc w:val="left"/>
            </w:pPr>
            <w:r>
              <w:rPr>
                <w:sz w:val="18"/>
              </w:rPr>
              <w:t>—</w:t>
            </w:r>
          </w:p>
        </w:tc>
      </w:tr>
      <w:tr>
        <w:trPr>
          <w:trHeight w:hRule="auto" w:val="0"/>
        </w:trPr>
        <w:tc>
          <w:tcPr>
            <w:tcW w:type="dxa" w:w="6840"/>
          </w:tcPr>
          <w:p>
            <w:pPr>
              <w:jc w:val="left"/>
            </w:pPr>
            <w:r>
              <w:rPr>
                <w:sz w:val="18"/>
              </w:rPr>
              <w:t>SOX §404 ITGC Domains</w:t>
            </w:r>
          </w:p>
        </w:tc>
        <w:tc>
          <w:tcPr>
            <w:tcW w:type="dxa" w:w="6840"/>
          </w:tcPr>
          <w:p>
            <w:pPr>
              <w:jc w:val="left"/>
            </w:pPr>
            <w:r>
              <w:rPr>
                <w:sz w:val="18"/>
              </w:rPr>
              <w:t>Access Controls</w:t>
            </w:r>
          </w:p>
        </w:tc>
      </w:tr>
    </w:tbl>
    <w:p>
      <w:pPr>
        <w:pStyle w:val="Heading2"/>
      </w:pPr>
      <w:r>
        <w:t>STRIDE ISP 2.4 — Policies, Processes, and Procedures (GV.PO)</w:t>
      </w:r>
    </w:p>
    <w:p>
      <w:r>
        <w:rPr>
          <w:b/>
          <w:i w:val="0"/>
        </w:rPr>
        <w:t>Summary:</w:t>
      </w:r>
    </w:p>
    <w:p>
      <w:pPr>
        <w:pStyle w:val="ListBullet"/>
      </w:pPr>
      <w:r>
        <w:t>Establishes the framework for creating, communicating, and enforcing security policies.</w:t>
      </w:r>
    </w:p>
    <w:p>
      <w:pPr>
        <w:pStyle w:val="ListBullet"/>
      </w:pPr>
      <w:r>
        <w:t>Requires documented processes and procedures for all security-relevant operations.</w:t>
      </w:r>
    </w:p>
    <w:p>
      <w:pPr>
        <w:pStyle w:val="ListBullet"/>
      </w:pPr>
      <w:r>
        <w:t>Mandates annual notification of FERPA rights to parents and eligible students.</w:t>
      </w:r>
    </w:p>
    <w:p>
      <w:pPr>
        <w:pStyle w:val="ListBullet"/>
      </w:pPr>
      <w:r>
        <w:t>Defines the policy lifecycle: development, review, approval, distribution, and retirement.</w:t>
      </w:r>
    </w:p>
    <w:p/>
    <w:tbl>
      <w:tblPr>
        <w:tblStyle w:val="GridTable4-Accent1"/>
        <w:jc w:val="left"/>
        <w:tblLook w:firstColumn="1" w:firstRow="1" w:lastColumn="0" w:lastRow="0" w:noHBand="0" w:noVBand="1" w:val="04A0"/>
        <w:tblW w:type="pct" w:w="5000"/>
      </w:tblPr>
      <w:tblGrid>
        <w:gridCol w:w="6840"/>
        <w:gridCol w:w="6840"/>
      </w:tblGrid>
      <w:tr>
        <w:trPr>
          <w:trHeight w:hRule="auto" w:val="0"/>
        </w:trPr>
        <w:tc>
          <w:tcPr>
            <w:tcW w:type="dxa" w:w="6840"/>
          </w:tcPr>
          <w:p>
            <w:pPr>
              <w:jc w:val="left"/>
            </w:pPr>
            <w:r>
              <w:rPr>
                <w:b/>
                <w:sz w:val="18"/>
              </w:rPr>
              <w:t>Framework</w:t>
            </w:r>
          </w:p>
        </w:tc>
        <w:tc>
          <w:tcPr>
            <w:tcW w:type="dxa" w:w="684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GV — GOVERN</w:t>
            </w:r>
          </w:p>
        </w:tc>
      </w:tr>
      <w:tr>
        <w:trPr>
          <w:trHeight w:hRule="auto" w:val="0"/>
        </w:trPr>
        <w:tc>
          <w:tcPr>
            <w:tcW w:type="dxa" w:w="6840"/>
          </w:tcPr>
          <w:p>
            <w:pPr>
              <w:jc w:val="left"/>
            </w:pPr>
            <w:r>
              <w:rPr>
                <w:sz w:val="18"/>
              </w:rPr>
              <w:t>NIST CSF 2.0 Categories</w:t>
            </w:r>
          </w:p>
        </w:tc>
        <w:tc>
          <w:tcPr>
            <w:tcW w:type="dxa" w:w="6840"/>
          </w:tcPr>
          <w:p>
            <w:pPr>
              <w:jc w:val="left"/>
            </w:pPr>
            <w:r>
              <w:rPr>
                <w:sz w:val="18"/>
              </w:rPr>
              <w:t>GV.PO</w:t>
            </w:r>
          </w:p>
        </w:tc>
      </w:tr>
      <w:tr>
        <w:trPr>
          <w:trHeight w:hRule="auto" w:val="0"/>
        </w:trPr>
        <w:tc>
          <w:tcPr>
            <w:tcW w:type="dxa" w:w="6840"/>
          </w:tcPr>
          <w:p>
            <w:pPr>
              <w:jc w:val="left"/>
            </w:pPr>
            <w:r>
              <w:rPr>
                <w:sz w:val="18"/>
              </w:rPr>
              <w:t>FERPA (34 CFR Part 99)</w:t>
            </w:r>
          </w:p>
        </w:tc>
        <w:tc>
          <w:tcPr>
            <w:tcW w:type="dxa" w:w="6840"/>
          </w:tcPr>
          <w:p>
            <w:pPr>
              <w:jc w:val="left"/>
            </w:pPr>
            <w:r>
              <w:rPr>
                <w:sz w:val="18"/>
              </w:rPr>
              <w:t>§99.7</w:t>
            </w:r>
          </w:p>
        </w:tc>
      </w:tr>
      <w:tr>
        <w:trPr>
          <w:trHeight w:hRule="auto" w:val="0"/>
        </w:trPr>
        <w:tc>
          <w:tcPr>
            <w:tcW w:type="dxa" w:w="6840"/>
          </w:tcPr>
          <w:p>
            <w:pPr>
              <w:jc w:val="left"/>
            </w:pPr>
            <w:r>
              <w:rPr>
                <w:sz w:val="18"/>
              </w:rPr>
              <w:t>SOX §404 ITGC Domains</w:t>
            </w:r>
          </w:p>
        </w:tc>
        <w:tc>
          <w:tcPr>
            <w:tcW w:type="dxa" w:w="6840"/>
          </w:tcPr>
          <w:p>
            <w:pPr>
              <w:jc w:val="left"/>
            </w:pPr>
            <w:r>
              <w:rPr>
                <w:sz w:val="18"/>
              </w:rPr>
              <w:t>Change Management</w:t>
            </w:r>
          </w:p>
        </w:tc>
      </w:tr>
    </w:tbl>
    <w:p>
      <w:pPr>
        <w:pStyle w:val="Heading2"/>
      </w:pPr>
      <w:r>
        <w:t>STRIDE ISP 2.5 — Oversight (GV.OV)</w:t>
      </w:r>
    </w:p>
    <w:p>
      <w:r>
        <w:rPr>
          <w:b/>
          <w:i w:val="0"/>
        </w:rPr>
        <w:t>Summary:</w:t>
      </w:r>
    </w:p>
    <w:p>
      <w:pPr>
        <w:pStyle w:val="ListBullet"/>
      </w:pPr>
      <w:r>
        <w:t>Defines oversight mechanisms for risk management effectiveness.</w:t>
      </w:r>
    </w:p>
    <w:p>
      <w:pPr>
        <w:pStyle w:val="ListBullet"/>
      </w:pPr>
      <w:r>
        <w:t>Requires periodic assessment of cybersecurity strategy outcomes.</w:t>
      </w:r>
    </w:p>
    <w:p>
      <w:pPr>
        <w:pStyle w:val="ListBullet"/>
      </w:pPr>
      <w:r>
        <w:t>Establishes executive and board-level security posture reporting requirements.</w:t>
      </w:r>
    </w:p>
    <w:p>
      <w:pPr>
        <w:pStyle w:val="ListBullet"/>
      </w:pPr>
      <w:r>
        <w:t>Mandates coordination with regulatory enforcement bodies (Family Policy Compliance Office).</w:t>
      </w:r>
    </w:p>
    <w:p/>
    <w:tbl>
      <w:tblPr>
        <w:tblStyle w:val="GridTable4-Accent1"/>
        <w:jc w:val="left"/>
        <w:tblLook w:firstColumn="1" w:firstRow="1" w:lastColumn="0" w:lastRow="0" w:noHBand="0" w:noVBand="1" w:val="04A0"/>
        <w:tblW w:type="pct" w:w="5000"/>
      </w:tblPr>
      <w:tblGrid>
        <w:gridCol w:w="6840"/>
        <w:gridCol w:w="6840"/>
      </w:tblGrid>
      <w:tr>
        <w:trPr>
          <w:trHeight w:hRule="auto" w:val="0"/>
        </w:trPr>
        <w:tc>
          <w:tcPr>
            <w:tcW w:type="dxa" w:w="6840"/>
          </w:tcPr>
          <w:p>
            <w:pPr>
              <w:jc w:val="left"/>
            </w:pPr>
            <w:r>
              <w:rPr>
                <w:b/>
                <w:sz w:val="18"/>
              </w:rPr>
              <w:t>Framework</w:t>
            </w:r>
          </w:p>
        </w:tc>
        <w:tc>
          <w:tcPr>
            <w:tcW w:type="dxa" w:w="684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GV — GOVERN</w:t>
            </w:r>
          </w:p>
        </w:tc>
      </w:tr>
      <w:tr>
        <w:trPr>
          <w:trHeight w:hRule="auto" w:val="0"/>
        </w:trPr>
        <w:tc>
          <w:tcPr>
            <w:tcW w:type="dxa" w:w="6840"/>
          </w:tcPr>
          <w:p>
            <w:pPr>
              <w:jc w:val="left"/>
            </w:pPr>
            <w:r>
              <w:rPr>
                <w:sz w:val="18"/>
              </w:rPr>
              <w:t>NIST CSF 2.0 Categories</w:t>
            </w:r>
          </w:p>
        </w:tc>
        <w:tc>
          <w:tcPr>
            <w:tcW w:type="dxa" w:w="6840"/>
          </w:tcPr>
          <w:p>
            <w:pPr>
              <w:jc w:val="left"/>
            </w:pPr>
            <w:r>
              <w:rPr>
                <w:sz w:val="18"/>
              </w:rPr>
              <w:t>GV.OV</w:t>
            </w:r>
          </w:p>
        </w:tc>
      </w:tr>
      <w:tr>
        <w:trPr>
          <w:trHeight w:hRule="auto" w:val="0"/>
        </w:trPr>
        <w:tc>
          <w:tcPr>
            <w:tcW w:type="dxa" w:w="6840"/>
          </w:tcPr>
          <w:p>
            <w:pPr>
              <w:jc w:val="left"/>
            </w:pPr>
            <w:r>
              <w:rPr>
                <w:sz w:val="18"/>
              </w:rPr>
              <w:t>FERPA (34 CFR Part 99)</w:t>
            </w:r>
          </w:p>
        </w:tc>
        <w:tc>
          <w:tcPr>
            <w:tcW w:type="dxa" w:w="6840"/>
          </w:tcPr>
          <w:p>
            <w:pPr>
              <w:jc w:val="left"/>
            </w:pPr>
            <w:r>
              <w:rPr>
                <w:sz w:val="18"/>
              </w:rPr>
              <w:t>§99.60-67</w:t>
            </w:r>
          </w:p>
        </w:tc>
      </w:tr>
      <w:tr>
        <w:trPr>
          <w:trHeight w:hRule="auto" w:val="0"/>
        </w:trPr>
        <w:tc>
          <w:tcPr>
            <w:tcW w:type="dxa" w:w="6840"/>
          </w:tcPr>
          <w:p>
            <w:pPr>
              <w:jc w:val="left"/>
            </w:pPr>
            <w:r>
              <w:rPr>
                <w:sz w:val="18"/>
              </w:rPr>
              <w:t>SOX §404 ITGC Domains</w:t>
            </w:r>
          </w:p>
        </w:tc>
        <w:tc>
          <w:tcPr>
            <w:tcW w:type="dxa" w:w="6840"/>
          </w:tcPr>
          <w:p>
            <w:pPr>
              <w:jc w:val="left"/>
            </w:pPr>
            <w:r>
              <w:rPr>
                <w:sz w:val="18"/>
              </w:rPr>
              <w:t>—</w:t>
            </w:r>
          </w:p>
        </w:tc>
      </w:tr>
    </w:tbl>
    <w:p>
      <w:pPr>
        <w:pStyle w:val="Heading2"/>
      </w:pPr>
      <w:r>
        <w:t>STRIDE ISP 2.6 — Cybersecurity Supply Chain Risk Management (GV.SC)</w:t>
      </w:r>
    </w:p>
    <w:p>
      <w:r>
        <w:rPr>
          <w:b/>
          <w:i w:val="0"/>
        </w:rPr>
        <w:t>Summary:</w:t>
      </w:r>
    </w:p>
    <w:p>
      <w:pPr>
        <w:pStyle w:val="ListBullet"/>
      </w:pPr>
      <w:r>
        <w:t>Defines standards for managing cybersecurity risks in the supply chain.</w:t>
      </w:r>
    </w:p>
    <w:p>
      <w:pPr>
        <w:pStyle w:val="ListBullet"/>
      </w:pPr>
      <w:r>
        <w:t>Requires vendor security assessments and contractual security obligations.</w:t>
      </w:r>
    </w:p>
    <w:p>
      <w:pPr>
        <w:pStyle w:val="ListBullet"/>
      </w:pPr>
      <w:r>
        <w:t>Mandates controls on data sharing with third parties, including redisclosure limitations.</w:t>
      </w:r>
    </w:p>
    <w:p>
      <w:pPr>
        <w:pStyle w:val="ListBullet"/>
      </w:pPr>
      <w:r>
        <w:t>Applies to all outsourced services, SaaS platforms, and contractor relationships.</w:t>
      </w:r>
    </w:p>
    <w:p>
      <w:pPr>
        <w:pStyle w:val="ListBullet"/>
      </w:pPr>
      <w:r>
        <w:t>Requires exit strategies and data portability plans for critical vendor dependencies.</w:t>
      </w:r>
    </w:p>
    <w:p/>
    <w:tbl>
      <w:tblPr>
        <w:tblStyle w:val="GridTable4-Accent1"/>
        <w:jc w:val="left"/>
        <w:tblLook w:firstColumn="1" w:firstRow="1" w:lastColumn="0" w:lastRow="0" w:noHBand="0" w:noVBand="1" w:val="04A0"/>
        <w:tblW w:type="pct" w:w="5000"/>
      </w:tblPr>
      <w:tblGrid>
        <w:gridCol w:w="6840"/>
        <w:gridCol w:w="6840"/>
      </w:tblGrid>
      <w:tr>
        <w:trPr>
          <w:trHeight w:hRule="auto" w:val="0"/>
        </w:trPr>
        <w:tc>
          <w:tcPr>
            <w:tcW w:type="dxa" w:w="6840"/>
          </w:tcPr>
          <w:p>
            <w:pPr>
              <w:jc w:val="left"/>
            </w:pPr>
            <w:r>
              <w:rPr>
                <w:b/>
                <w:sz w:val="18"/>
              </w:rPr>
              <w:t>Framework</w:t>
            </w:r>
          </w:p>
        </w:tc>
        <w:tc>
          <w:tcPr>
            <w:tcW w:type="dxa" w:w="684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GV — GOVERN</w:t>
            </w:r>
          </w:p>
        </w:tc>
      </w:tr>
      <w:tr>
        <w:trPr>
          <w:trHeight w:hRule="auto" w:val="0"/>
        </w:trPr>
        <w:tc>
          <w:tcPr>
            <w:tcW w:type="dxa" w:w="6840"/>
          </w:tcPr>
          <w:p>
            <w:pPr>
              <w:jc w:val="left"/>
            </w:pPr>
            <w:r>
              <w:rPr>
                <w:sz w:val="18"/>
              </w:rPr>
              <w:t>NIST CSF 2.0 Categories</w:t>
            </w:r>
          </w:p>
        </w:tc>
        <w:tc>
          <w:tcPr>
            <w:tcW w:type="dxa" w:w="6840"/>
          </w:tcPr>
          <w:p>
            <w:pPr>
              <w:jc w:val="left"/>
            </w:pPr>
            <w:r>
              <w:rPr>
                <w:sz w:val="18"/>
              </w:rPr>
              <w:t>GV.SC</w:t>
            </w:r>
          </w:p>
        </w:tc>
      </w:tr>
      <w:tr>
        <w:trPr>
          <w:trHeight w:hRule="auto" w:val="0"/>
        </w:trPr>
        <w:tc>
          <w:tcPr>
            <w:tcW w:type="dxa" w:w="6840"/>
          </w:tcPr>
          <w:p>
            <w:pPr>
              <w:jc w:val="left"/>
            </w:pPr>
            <w:r>
              <w:rPr>
                <w:sz w:val="18"/>
              </w:rPr>
              <w:t>FERPA (34 CFR Part 99)</w:t>
            </w:r>
          </w:p>
        </w:tc>
        <w:tc>
          <w:tcPr>
            <w:tcW w:type="dxa" w:w="6840"/>
          </w:tcPr>
          <w:p>
            <w:pPr>
              <w:jc w:val="left"/>
            </w:pPr>
            <w:r>
              <w:rPr>
                <w:sz w:val="18"/>
              </w:rPr>
              <w:t>§99.33, §99.35</w:t>
            </w:r>
          </w:p>
        </w:tc>
      </w:tr>
      <w:tr>
        <w:trPr>
          <w:trHeight w:hRule="auto" w:val="0"/>
        </w:trPr>
        <w:tc>
          <w:tcPr>
            <w:tcW w:type="dxa" w:w="6840"/>
          </w:tcPr>
          <w:p>
            <w:pPr>
              <w:jc w:val="left"/>
            </w:pPr>
            <w:r>
              <w:rPr>
                <w:sz w:val="18"/>
              </w:rPr>
              <w:t>SOX §404 ITGC Domains</w:t>
            </w:r>
          </w:p>
        </w:tc>
        <w:tc>
          <w:tcPr>
            <w:tcW w:type="dxa" w:w="6840"/>
          </w:tcPr>
          <w:p>
            <w:pPr>
              <w:jc w:val="left"/>
            </w:pPr>
            <w:r>
              <w:rPr>
                <w:sz w:val="18"/>
              </w:rPr>
              <w:t>Access Controls</w:t>
            </w:r>
          </w:p>
        </w:tc>
      </w:tr>
    </w:tbl>
    <w:p>
      <w:pPr>
        <w:pStyle w:val="Heading2"/>
      </w:pPr>
      <w:r>
        <w:t>STRIDE ISP 3.1 — Asset Management (ID.AM)</w:t>
      </w:r>
    </w:p>
    <w:p>
      <w:r>
        <w:rPr>
          <w:b/>
          <w:i w:val="0"/>
        </w:rPr>
        <w:t>Summary:</w:t>
      </w:r>
    </w:p>
    <w:p>
      <w:pPr>
        <w:pStyle w:val="ListBullet"/>
      </w:pPr>
      <w:r>
        <w:t>Defines standards for maintaining a comprehensive inventory of IT assets.</w:t>
      </w:r>
    </w:p>
    <w:p>
      <w:pPr>
        <w:pStyle w:val="ListBullet"/>
      </w:pPr>
      <w:r>
        <w:t>Requires all hardware, software, and data assets to be cataloged in the CMDB.</w:t>
      </w:r>
    </w:p>
    <w:p>
      <w:pPr>
        <w:pStyle w:val="ListBullet"/>
      </w:pPr>
      <w:r>
        <w:t>Mandates classification of assets by business criticality and data sensitivity.</w:t>
      </w:r>
    </w:p>
    <w:p>
      <w:pPr>
        <w:pStyle w:val="ListBullet"/>
      </w:pPr>
      <w:r>
        <w:t>Establishes lifecycle management from acquisition through disposal.</w:t>
      </w:r>
    </w:p>
    <w:p/>
    <w:tbl>
      <w:tblPr>
        <w:tblStyle w:val="GridTable4-Accent1"/>
        <w:jc w:val="left"/>
        <w:tblLook w:firstColumn="1" w:firstRow="1" w:lastColumn="0" w:lastRow="0" w:noHBand="0" w:noVBand="1" w:val="04A0"/>
        <w:tblW w:type="pct" w:w="5000"/>
      </w:tblPr>
      <w:tblGrid>
        <w:gridCol w:w="6840"/>
        <w:gridCol w:w="6840"/>
      </w:tblGrid>
      <w:tr>
        <w:trPr>
          <w:trHeight w:hRule="auto" w:val="0"/>
        </w:trPr>
        <w:tc>
          <w:tcPr>
            <w:tcW w:type="dxa" w:w="6840"/>
          </w:tcPr>
          <w:p>
            <w:pPr>
              <w:jc w:val="left"/>
            </w:pPr>
            <w:r>
              <w:rPr>
                <w:b/>
                <w:sz w:val="18"/>
              </w:rPr>
              <w:t>Framework</w:t>
            </w:r>
          </w:p>
        </w:tc>
        <w:tc>
          <w:tcPr>
            <w:tcW w:type="dxa" w:w="684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ID — IDENTIFY</w:t>
            </w:r>
          </w:p>
        </w:tc>
      </w:tr>
      <w:tr>
        <w:trPr>
          <w:trHeight w:hRule="auto" w:val="0"/>
        </w:trPr>
        <w:tc>
          <w:tcPr>
            <w:tcW w:type="dxa" w:w="6840"/>
          </w:tcPr>
          <w:p>
            <w:pPr>
              <w:jc w:val="left"/>
            </w:pPr>
            <w:r>
              <w:rPr>
                <w:sz w:val="18"/>
              </w:rPr>
              <w:t>NIST CSF 2.0 Categories</w:t>
            </w:r>
          </w:p>
        </w:tc>
        <w:tc>
          <w:tcPr>
            <w:tcW w:type="dxa" w:w="6840"/>
          </w:tcPr>
          <w:p>
            <w:pPr>
              <w:jc w:val="left"/>
            </w:pPr>
            <w:r>
              <w:rPr>
                <w:sz w:val="18"/>
              </w:rPr>
              <w:t>ID.AM</w:t>
            </w:r>
          </w:p>
        </w:tc>
      </w:tr>
      <w:tr>
        <w:trPr>
          <w:trHeight w:hRule="auto" w:val="0"/>
        </w:trPr>
        <w:tc>
          <w:tcPr>
            <w:tcW w:type="dxa" w:w="6840"/>
          </w:tcPr>
          <w:p>
            <w:pPr>
              <w:jc w:val="left"/>
            </w:pPr>
            <w:r>
              <w:rPr>
                <w:sz w:val="18"/>
              </w:rPr>
              <w:t>FERPA (34 CFR Part 99)</w:t>
            </w:r>
          </w:p>
        </w:tc>
        <w:tc>
          <w:tcPr>
            <w:tcW w:type="dxa" w:w="6840"/>
          </w:tcPr>
          <w:p>
            <w:pPr>
              <w:jc w:val="left"/>
            </w:pPr>
            <w:r>
              <w:rPr>
                <w:sz w:val="18"/>
              </w:rPr>
              <w:t>§99.3</w:t>
            </w:r>
          </w:p>
        </w:tc>
      </w:tr>
      <w:tr>
        <w:trPr>
          <w:trHeight w:hRule="auto" w:val="0"/>
        </w:trPr>
        <w:tc>
          <w:tcPr>
            <w:tcW w:type="dxa" w:w="6840"/>
          </w:tcPr>
          <w:p>
            <w:pPr>
              <w:jc w:val="left"/>
            </w:pPr>
            <w:r>
              <w:rPr>
                <w:sz w:val="18"/>
              </w:rPr>
              <w:t>SOX §404 ITGC Domains</w:t>
            </w:r>
          </w:p>
        </w:tc>
        <w:tc>
          <w:tcPr>
            <w:tcW w:type="dxa" w:w="6840"/>
          </w:tcPr>
          <w:p>
            <w:pPr>
              <w:jc w:val="left"/>
            </w:pPr>
            <w:r>
              <w:rPr>
                <w:sz w:val="18"/>
              </w:rPr>
              <w:t>Computer Operations</w:t>
            </w:r>
          </w:p>
        </w:tc>
      </w:tr>
    </w:tbl>
    <w:p>
      <w:pPr>
        <w:pStyle w:val="Heading2"/>
      </w:pPr>
      <w:r>
        <w:t>STRIDE ISP 3.2 — Risk Assessment (ID.RA)</w:t>
      </w:r>
    </w:p>
    <w:p>
      <w:r>
        <w:rPr>
          <w:b/>
          <w:i w:val="0"/>
        </w:rPr>
        <w:t>Summary:</w:t>
      </w:r>
    </w:p>
    <w:p>
      <w:pPr>
        <w:pStyle w:val="ListBullet"/>
      </w:pPr>
      <w:r>
        <w:t>Defines standards for conducting cybersecurity risk assessments.</w:t>
      </w:r>
    </w:p>
    <w:p>
      <w:pPr>
        <w:pStyle w:val="ListBullet"/>
      </w:pPr>
      <w:r>
        <w:t>Requires identification, validation, and recording of vulnerabilities enterprise-wide.</w:t>
      </w:r>
    </w:p>
    <w:p>
      <w:pPr>
        <w:pStyle w:val="ListBullet"/>
      </w:pPr>
      <w:r>
        <w:t>Mandates risk assessment for health/safety emergencies per FERPA §99.36.</w:t>
      </w:r>
    </w:p>
    <w:p>
      <w:pPr>
        <w:pStyle w:val="ListBullet"/>
      </w:pPr>
      <w:r>
        <w:t>Establishes risk scoring methodology and remediation prioritization criteria.</w:t>
      </w:r>
    </w:p>
    <w:p>
      <w:pPr>
        <w:pStyle w:val="ListBullet"/>
      </w:pPr>
      <w:r>
        <w:t>Requires assessment results to be integrated into the enterprise risk register.</w:t>
      </w:r>
    </w:p>
    <w:p/>
    <w:tbl>
      <w:tblPr>
        <w:tblStyle w:val="GridTable4-Accent1"/>
        <w:jc w:val="left"/>
        <w:tblLook w:firstColumn="1" w:firstRow="1" w:lastColumn="0" w:lastRow="0" w:noHBand="0" w:noVBand="1" w:val="04A0"/>
        <w:tblW w:type="pct" w:w="5000"/>
      </w:tblPr>
      <w:tblGrid>
        <w:gridCol w:w="6840"/>
        <w:gridCol w:w="6840"/>
      </w:tblGrid>
      <w:tr>
        <w:trPr>
          <w:trHeight w:hRule="auto" w:val="0"/>
        </w:trPr>
        <w:tc>
          <w:tcPr>
            <w:tcW w:type="dxa" w:w="6840"/>
          </w:tcPr>
          <w:p>
            <w:pPr>
              <w:jc w:val="left"/>
            </w:pPr>
            <w:r>
              <w:rPr>
                <w:b/>
                <w:sz w:val="18"/>
              </w:rPr>
              <w:t>Framework</w:t>
            </w:r>
          </w:p>
        </w:tc>
        <w:tc>
          <w:tcPr>
            <w:tcW w:type="dxa" w:w="684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ID — IDENTIFY</w:t>
            </w:r>
          </w:p>
        </w:tc>
      </w:tr>
      <w:tr>
        <w:trPr>
          <w:trHeight w:hRule="auto" w:val="0"/>
        </w:trPr>
        <w:tc>
          <w:tcPr>
            <w:tcW w:type="dxa" w:w="6840"/>
          </w:tcPr>
          <w:p>
            <w:pPr>
              <w:jc w:val="left"/>
            </w:pPr>
            <w:r>
              <w:rPr>
                <w:sz w:val="18"/>
              </w:rPr>
              <w:t>NIST CSF 2.0 Categories</w:t>
            </w:r>
          </w:p>
        </w:tc>
        <w:tc>
          <w:tcPr>
            <w:tcW w:type="dxa" w:w="6840"/>
          </w:tcPr>
          <w:p>
            <w:pPr>
              <w:jc w:val="left"/>
            </w:pPr>
            <w:r>
              <w:rPr>
                <w:sz w:val="18"/>
              </w:rPr>
              <w:t>ID.RA</w:t>
            </w:r>
          </w:p>
        </w:tc>
      </w:tr>
      <w:tr>
        <w:trPr>
          <w:trHeight w:hRule="auto" w:val="0"/>
        </w:trPr>
        <w:tc>
          <w:tcPr>
            <w:tcW w:type="dxa" w:w="6840"/>
          </w:tcPr>
          <w:p>
            <w:pPr>
              <w:jc w:val="left"/>
            </w:pPr>
            <w:r>
              <w:rPr>
                <w:sz w:val="18"/>
              </w:rPr>
              <w:t>FERPA (34 CFR Part 99)</w:t>
            </w:r>
          </w:p>
        </w:tc>
        <w:tc>
          <w:tcPr>
            <w:tcW w:type="dxa" w:w="6840"/>
          </w:tcPr>
          <w:p>
            <w:pPr>
              <w:jc w:val="left"/>
            </w:pPr>
            <w:r>
              <w:rPr>
                <w:sz w:val="18"/>
              </w:rPr>
              <w:t>§99.36</w:t>
            </w:r>
          </w:p>
        </w:tc>
      </w:tr>
      <w:tr>
        <w:trPr>
          <w:trHeight w:hRule="auto" w:val="0"/>
        </w:trPr>
        <w:tc>
          <w:tcPr>
            <w:tcW w:type="dxa" w:w="6840"/>
          </w:tcPr>
          <w:p>
            <w:pPr>
              <w:jc w:val="left"/>
            </w:pPr>
            <w:r>
              <w:rPr>
                <w:sz w:val="18"/>
              </w:rPr>
              <w:t>SOX §404 ITGC Domains</w:t>
            </w:r>
          </w:p>
        </w:tc>
        <w:tc>
          <w:tcPr>
            <w:tcW w:type="dxa" w:w="6840"/>
          </w:tcPr>
          <w:p>
            <w:pPr>
              <w:jc w:val="left"/>
            </w:pPr>
            <w:r>
              <w:rPr>
                <w:sz w:val="18"/>
              </w:rPr>
              <w:t>—</w:t>
            </w:r>
          </w:p>
        </w:tc>
      </w:tr>
    </w:tbl>
    <w:p>
      <w:pPr>
        <w:pStyle w:val="Heading2"/>
      </w:pPr>
      <w:r>
        <w:t>STRIDE ISP 3.3 — Response Improvement (ID.IM)</w:t>
      </w:r>
    </w:p>
    <w:p>
      <w:r>
        <w:rPr>
          <w:b/>
          <w:i w:val="0"/>
        </w:rPr>
        <w:t>Summary:</w:t>
      </w:r>
    </w:p>
    <w:p>
      <w:pPr>
        <w:pStyle w:val="ListBullet"/>
      </w:pPr>
      <w:r>
        <w:t>Defines standards for continuous improvement of security response capabilities.</w:t>
      </w:r>
    </w:p>
    <w:p>
      <w:pPr>
        <w:pStyle w:val="ListBullet"/>
      </w:pPr>
      <w:r>
        <w:t>Requires lessons learned from incidents, assessments, and exercises to drive program changes.</w:t>
      </w:r>
    </w:p>
    <w:p>
      <w:pPr>
        <w:pStyle w:val="ListBullet"/>
      </w:pPr>
      <w:r>
        <w:t>Mandates after-action reviews (AARs) for significant security events.</w:t>
      </w:r>
    </w:p>
    <w:p>
      <w:pPr>
        <w:pStyle w:val="ListBullet"/>
      </w:pPr>
      <w:r>
        <w:t>Establishes metrics for measuring improvement in detection and response effectiveness.</w:t>
      </w:r>
    </w:p>
    <w:p/>
    <w:tbl>
      <w:tblPr>
        <w:tblStyle w:val="GridTable4-Accent1"/>
        <w:jc w:val="left"/>
        <w:tblLook w:firstColumn="1" w:firstRow="1" w:lastColumn="0" w:lastRow="0" w:noHBand="0" w:noVBand="1" w:val="04A0"/>
        <w:tblW w:type="pct" w:w="5000"/>
      </w:tblPr>
      <w:tblGrid>
        <w:gridCol w:w="6840"/>
        <w:gridCol w:w="6840"/>
      </w:tblGrid>
      <w:tr>
        <w:trPr>
          <w:trHeight w:hRule="auto" w:val="0"/>
        </w:trPr>
        <w:tc>
          <w:tcPr>
            <w:tcW w:type="dxa" w:w="6840"/>
          </w:tcPr>
          <w:p>
            <w:pPr>
              <w:jc w:val="left"/>
            </w:pPr>
            <w:r>
              <w:rPr>
                <w:b/>
                <w:sz w:val="18"/>
              </w:rPr>
              <w:t>Framework</w:t>
            </w:r>
          </w:p>
        </w:tc>
        <w:tc>
          <w:tcPr>
            <w:tcW w:type="dxa" w:w="684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ID — IDENTIFY</w:t>
            </w:r>
          </w:p>
        </w:tc>
      </w:tr>
      <w:tr>
        <w:trPr>
          <w:trHeight w:hRule="auto" w:val="0"/>
        </w:trPr>
        <w:tc>
          <w:tcPr>
            <w:tcW w:type="dxa" w:w="6840"/>
          </w:tcPr>
          <w:p>
            <w:pPr>
              <w:jc w:val="left"/>
            </w:pPr>
            <w:r>
              <w:rPr>
                <w:sz w:val="18"/>
              </w:rPr>
              <w:t>NIST CSF 2.0 Categories</w:t>
            </w:r>
          </w:p>
        </w:tc>
        <w:tc>
          <w:tcPr>
            <w:tcW w:type="dxa" w:w="6840"/>
          </w:tcPr>
          <w:p>
            <w:pPr>
              <w:jc w:val="left"/>
            </w:pPr>
            <w:r>
              <w:rPr>
                <w:sz w:val="18"/>
              </w:rPr>
              <w:t>ID.IM</w:t>
            </w:r>
          </w:p>
        </w:tc>
      </w:tr>
      <w:tr>
        <w:trPr>
          <w:trHeight w:hRule="auto" w:val="0"/>
        </w:trPr>
        <w:tc>
          <w:tcPr>
            <w:tcW w:type="dxa" w:w="6840"/>
          </w:tcPr>
          <w:p>
            <w:pPr>
              <w:jc w:val="left"/>
            </w:pPr>
            <w:r>
              <w:rPr>
                <w:sz w:val="18"/>
              </w:rPr>
              <w:t>FERPA (34 CFR Part 99)</w:t>
            </w:r>
          </w:p>
        </w:tc>
        <w:tc>
          <w:tcPr>
            <w:tcW w:type="dxa" w:w="6840"/>
          </w:tcPr>
          <w:p>
            <w:pPr>
              <w:jc w:val="left"/>
            </w:pPr>
            <w:r>
              <w:rPr>
                <w:sz w:val="18"/>
              </w:rPr>
              <w:t>—</w:t>
            </w:r>
          </w:p>
        </w:tc>
      </w:tr>
      <w:tr>
        <w:trPr>
          <w:trHeight w:hRule="auto" w:val="0"/>
        </w:trPr>
        <w:tc>
          <w:tcPr>
            <w:tcW w:type="dxa" w:w="6840"/>
          </w:tcPr>
          <w:p>
            <w:pPr>
              <w:jc w:val="left"/>
            </w:pPr>
            <w:r>
              <w:rPr>
                <w:sz w:val="18"/>
              </w:rPr>
              <w:t>SOX §404 ITGC Domains</w:t>
            </w:r>
          </w:p>
        </w:tc>
        <w:tc>
          <w:tcPr>
            <w:tcW w:type="dxa" w:w="6840"/>
          </w:tcPr>
          <w:p>
            <w:pPr>
              <w:jc w:val="left"/>
            </w:pPr>
            <w:r>
              <w:rPr>
                <w:sz w:val="18"/>
              </w:rPr>
              <w:t>—</w:t>
            </w:r>
          </w:p>
        </w:tc>
      </w:tr>
    </w:tbl>
    <w:p>
      <w:pPr>
        <w:pStyle w:val="Heading2"/>
      </w:pPr>
      <w:r>
        <w:t>STRIDE ISP 4.1 — Identity Management, Authentication, and Access Control (PR.AA)</w:t>
      </w:r>
    </w:p>
    <w:p>
      <w:r>
        <w:rPr>
          <w:b/>
          <w:i w:val="0"/>
        </w:rPr>
        <w:t>Summary:</w:t>
      </w:r>
    </w:p>
    <w:p>
      <w:pPr>
        <w:pStyle w:val="ListBullet"/>
      </w:pPr>
      <w:r>
        <w:t>Defines standards for identity management, authentication, and access control.</w:t>
      </w:r>
    </w:p>
    <w:p>
      <w:pPr>
        <w:pStyle w:val="ListBullet"/>
      </w:pPr>
      <w:r>
        <w:t>Requires MFA for all administrative and FERPA-sensitive system access.</w:t>
      </w:r>
    </w:p>
    <w:p>
      <w:pPr>
        <w:pStyle w:val="ListBullet"/>
      </w:pPr>
      <w:r>
        <w:t>Mandates role-based access control aligned with least privilege principles.</w:t>
      </w:r>
    </w:p>
    <w:p>
      <w:pPr>
        <w:pStyle w:val="ListBullet"/>
      </w:pPr>
      <w:r>
        <w:t>Establishes user access review cycles: quarterly (privileged), semi-annual (standard).</w:t>
      </w:r>
    </w:p>
    <w:p>
      <w:pPr>
        <w:pStyle w:val="ListBullet"/>
      </w:pPr>
      <w:r>
        <w:t>Requires audit logging of authentication events and access changes per FERPA §99.32.</w:t>
      </w:r>
    </w:p>
    <w:p/>
    <w:tbl>
      <w:tblPr>
        <w:tblStyle w:val="GridTable4-Accent1"/>
        <w:jc w:val="left"/>
        <w:tblLook w:firstColumn="1" w:firstRow="1" w:lastColumn="0" w:lastRow="0" w:noHBand="0" w:noVBand="1" w:val="04A0"/>
        <w:tblW w:type="pct" w:w="5000"/>
      </w:tblPr>
      <w:tblGrid>
        <w:gridCol w:w="6840"/>
        <w:gridCol w:w="6840"/>
      </w:tblGrid>
      <w:tr>
        <w:trPr>
          <w:trHeight w:hRule="auto" w:val="0"/>
        </w:trPr>
        <w:tc>
          <w:tcPr>
            <w:tcW w:type="dxa" w:w="6840"/>
          </w:tcPr>
          <w:p>
            <w:pPr>
              <w:jc w:val="left"/>
            </w:pPr>
            <w:r>
              <w:rPr>
                <w:b/>
                <w:sz w:val="18"/>
              </w:rPr>
              <w:t>Framework</w:t>
            </w:r>
          </w:p>
        </w:tc>
        <w:tc>
          <w:tcPr>
            <w:tcW w:type="dxa" w:w="684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PR — PROTECT</w:t>
            </w:r>
          </w:p>
        </w:tc>
      </w:tr>
      <w:tr>
        <w:trPr>
          <w:trHeight w:hRule="auto" w:val="0"/>
        </w:trPr>
        <w:tc>
          <w:tcPr>
            <w:tcW w:type="dxa" w:w="6840"/>
          </w:tcPr>
          <w:p>
            <w:pPr>
              <w:jc w:val="left"/>
            </w:pPr>
            <w:r>
              <w:rPr>
                <w:sz w:val="18"/>
              </w:rPr>
              <w:t>NIST CSF 2.0 Categories</w:t>
            </w:r>
          </w:p>
        </w:tc>
        <w:tc>
          <w:tcPr>
            <w:tcW w:type="dxa" w:w="6840"/>
          </w:tcPr>
          <w:p>
            <w:pPr>
              <w:jc w:val="left"/>
            </w:pPr>
            <w:r>
              <w:rPr>
                <w:sz w:val="18"/>
              </w:rPr>
              <w:t>PR.AA</w:t>
            </w:r>
          </w:p>
        </w:tc>
      </w:tr>
      <w:tr>
        <w:trPr>
          <w:trHeight w:hRule="auto" w:val="0"/>
        </w:trPr>
        <w:tc>
          <w:tcPr>
            <w:tcW w:type="dxa" w:w="6840"/>
          </w:tcPr>
          <w:p>
            <w:pPr>
              <w:jc w:val="left"/>
            </w:pPr>
            <w:r>
              <w:rPr>
                <w:sz w:val="18"/>
              </w:rPr>
              <w:t>FERPA (34 CFR Part 99)</w:t>
            </w:r>
          </w:p>
        </w:tc>
        <w:tc>
          <w:tcPr>
            <w:tcW w:type="dxa" w:w="6840"/>
          </w:tcPr>
          <w:p>
            <w:pPr>
              <w:jc w:val="left"/>
            </w:pPr>
            <w:r>
              <w:rPr>
                <w:sz w:val="18"/>
              </w:rPr>
              <w:t>§99.31, §99.32</w:t>
            </w:r>
          </w:p>
        </w:tc>
      </w:tr>
      <w:tr>
        <w:trPr>
          <w:trHeight w:hRule="auto" w:val="0"/>
        </w:trPr>
        <w:tc>
          <w:tcPr>
            <w:tcW w:type="dxa" w:w="6840"/>
          </w:tcPr>
          <w:p>
            <w:pPr>
              <w:jc w:val="left"/>
            </w:pPr>
            <w:r>
              <w:rPr>
                <w:sz w:val="18"/>
              </w:rPr>
              <w:t>SOX §404 ITGC Domains</w:t>
            </w:r>
          </w:p>
        </w:tc>
        <w:tc>
          <w:tcPr>
            <w:tcW w:type="dxa" w:w="6840"/>
          </w:tcPr>
          <w:p>
            <w:pPr>
              <w:jc w:val="left"/>
            </w:pPr>
            <w:r>
              <w:rPr>
                <w:sz w:val="18"/>
              </w:rPr>
              <w:t>Access Controls</w:t>
            </w:r>
          </w:p>
        </w:tc>
      </w:tr>
    </w:tbl>
    <w:p>
      <w:pPr>
        <w:pStyle w:val="Heading2"/>
      </w:pPr>
      <w:r>
        <w:t>STRIDE ISP 4.2 — Awareness and Training Standards (PR.AT)</w:t>
      </w:r>
    </w:p>
    <w:p>
      <w:r>
        <w:rPr>
          <w:b/>
          <w:i w:val="0"/>
        </w:rPr>
        <w:t>Summary:</w:t>
      </w:r>
    </w:p>
    <w:p>
      <w:pPr>
        <w:pStyle w:val="ListBullet"/>
      </w:pPr>
      <w:r>
        <w:t>Defines standards for security awareness and training programs.</w:t>
      </w:r>
    </w:p>
    <w:p>
      <w:pPr>
        <w:pStyle w:val="ListBullet"/>
      </w:pPr>
      <w:r>
        <w:t>Requires annual security awareness training for all workforce members.</w:t>
      </w:r>
    </w:p>
    <w:p>
      <w:pPr>
        <w:pStyle w:val="ListBullet"/>
      </w:pPr>
      <w:r>
        <w:t>Mandates role-specific training for privileged users and IT administrators.</w:t>
      </w:r>
    </w:p>
    <w:p>
      <w:pPr>
        <w:pStyle w:val="ListBullet"/>
      </w:pPr>
      <w:r>
        <w:t>Includes FERPA awareness training covering student data privacy obligations.</w:t>
      </w:r>
    </w:p>
    <w:p>
      <w:pPr>
        <w:pStyle w:val="ListBullet"/>
      </w:pPr>
      <w:r>
        <w:t>Requires phishing simulation exercises and training effectiveness measurement.</w:t>
      </w:r>
    </w:p>
    <w:p/>
    <w:tbl>
      <w:tblPr>
        <w:tblStyle w:val="GridTable4-Accent1"/>
        <w:jc w:val="left"/>
        <w:tblLook w:firstColumn="1" w:firstRow="1" w:lastColumn="0" w:lastRow="0" w:noHBand="0" w:noVBand="1" w:val="04A0"/>
        <w:tblW w:type="pct" w:w="5000"/>
      </w:tblPr>
      <w:tblGrid>
        <w:gridCol w:w="6840"/>
        <w:gridCol w:w="6840"/>
      </w:tblGrid>
      <w:tr>
        <w:trPr>
          <w:trHeight w:hRule="auto" w:val="0"/>
        </w:trPr>
        <w:tc>
          <w:tcPr>
            <w:tcW w:type="dxa" w:w="6840"/>
          </w:tcPr>
          <w:p>
            <w:pPr>
              <w:jc w:val="left"/>
            </w:pPr>
            <w:r>
              <w:rPr>
                <w:b/>
                <w:sz w:val="18"/>
              </w:rPr>
              <w:t>Framework</w:t>
            </w:r>
          </w:p>
        </w:tc>
        <w:tc>
          <w:tcPr>
            <w:tcW w:type="dxa" w:w="684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PR — PROTECT</w:t>
            </w:r>
          </w:p>
        </w:tc>
      </w:tr>
      <w:tr>
        <w:trPr>
          <w:trHeight w:hRule="auto" w:val="0"/>
        </w:trPr>
        <w:tc>
          <w:tcPr>
            <w:tcW w:type="dxa" w:w="6840"/>
          </w:tcPr>
          <w:p>
            <w:pPr>
              <w:jc w:val="left"/>
            </w:pPr>
            <w:r>
              <w:rPr>
                <w:sz w:val="18"/>
              </w:rPr>
              <w:t>NIST CSF 2.0 Categories</w:t>
            </w:r>
          </w:p>
        </w:tc>
        <w:tc>
          <w:tcPr>
            <w:tcW w:type="dxa" w:w="6840"/>
          </w:tcPr>
          <w:p>
            <w:pPr>
              <w:jc w:val="left"/>
            </w:pPr>
            <w:r>
              <w:rPr>
                <w:sz w:val="18"/>
              </w:rPr>
              <w:t>PR.AT</w:t>
            </w:r>
          </w:p>
        </w:tc>
      </w:tr>
      <w:tr>
        <w:trPr>
          <w:trHeight w:hRule="auto" w:val="0"/>
        </w:trPr>
        <w:tc>
          <w:tcPr>
            <w:tcW w:type="dxa" w:w="6840"/>
          </w:tcPr>
          <w:p>
            <w:pPr>
              <w:jc w:val="left"/>
            </w:pPr>
            <w:r>
              <w:rPr>
                <w:sz w:val="18"/>
              </w:rPr>
              <w:t>FERPA (34 CFR Part 99)</w:t>
            </w:r>
          </w:p>
        </w:tc>
        <w:tc>
          <w:tcPr>
            <w:tcW w:type="dxa" w:w="6840"/>
          </w:tcPr>
          <w:p>
            <w:pPr>
              <w:jc w:val="left"/>
            </w:pPr>
            <w:r>
              <w:rPr>
                <w:sz w:val="18"/>
              </w:rPr>
              <w:t>§99.7</w:t>
            </w:r>
          </w:p>
        </w:tc>
      </w:tr>
      <w:tr>
        <w:trPr>
          <w:trHeight w:hRule="auto" w:val="0"/>
        </w:trPr>
        <w:tc>
          <w:tcPr>
            <w:tcW w:type="dxa" w:w="6840"/>
          </w:tcPr>
          <w:p>
            <w:pPr>
              <w:jc w:val="left"/>
            </w:pPr>
            <w:r>
              <w:rPr>
                <w:sz w:val="18"/>
              </w:rPr>
              <w:t>SOX §404 ITGC Domains</w:t>
            </w:r>
          </w:p>
        </w:tc>
        <w:tc>
          <w:tcPr>
            <w:tcW w:type="dxa" w:w="6840"/>
          </w:tcPr>
          <w:p>
            <w:pPr>
              <w:jc w:val="left"/>
            </w:pPr>
            <w:r>
              <w:rPr>
                <w:sz w:val="18"/>
              </w:rPr>
              <w:t>—</w:t>
            </w:r>
          </w:p>
        </w:tc>
      </w:tr>
    </w:tbl>
    <w:p>
      <w:pPr>
        <w:pStyle w:val="Heading2"/>
      </w:pPr>
      <w:r>
        <w:t>STRIDE ISP 4.3 — Data Security (PR.DS)</w:t>
      </w:r>
    </w:p>
    <w:p>
      <w:r>
        <w:rPr>
          <w:b/>
          <w:i w:val="0"/>
        </w:rPr>
        <w:t>Summary:</w:t>
      </w:r>
    </w:p>
    <w:p>
      <w:pPr>
        <w:pStyle w:val="ListBullet"/>
      </w:pPr>
      <w:r>
        <w:t>Defines standards for protecting data at rest and in transit.</w:t>
      </w:r>
    </w:p>
    <w:p>
      <w:pPr>
        <w:pStyle w:val="ListBullet"/>
      </w:pPr>
      <w:r>
        <w:t>Requires AES-256 or equivalent encryption for sensitive and confidential data.</w:t>
      </w:r>
    </w:p>
    <w:p>
      <w:pPr>
        <w:pStyle w:val="ListBullet"/>
      </w:pPr>
      <w:r>
        <w:t>Mandates TLS 1.2+ for all data in transit.</w:t>
      </w:r>
    </w:p>
    <w:p>
      <w:pPr>
        <w:pStyle w:val="ListBullet"/>
      </w:pPr>
      <w:r>
        <w:t>Establishes data handling procedures aligned with FERPA consent and disclosure rules.</w:t>
      </w:r>
    </w:p>
    <w:p>
      <w:pPr>
        <w:pStyle w:val="ListBullet"/>
      </w:pPr>
      <w:r>
        <w:t>Requires data loss prevention (DLP) controls for PII and education records.</w:t>
      </w:r>
    </w:p>
    <w:p/>
    <w:tbl>
      <w:tblPr>
        <w:tblStyle w:val="GridTable4-Accent1"/>
        <w:jc w:val="left"/>
        <w:tblLook w:firstColumn="1" w:firstRow="1" w:lastColumn="0" w:lastRow="0" w:noHBand="0" w:noVBand="1" w:val="04A0"/>
        <w:tblW w:type="pct" w:w="5000"/>
      </w:tblPr>
      <w:tblGrid>
        <w:gridCol w:w="6840"/>
        <w:gridCol w:w="6840"/>
      </w:tblGrid>
      <w:tr>
        <w:trPr>
          <w:trHeight w:hRule="auto" w:val="0"/>
        </w:trPr>
        <w:tc>
          <w:tcPr>
            <w:tcW w:type="dxa" w:w="6840"/>
          </w:tcPr>
          <w:p>
            <w:pPr>
              <w:jc w:val="left"/>
            </w:pPr>
            <w:r>
              <w:rPr>
                <w:b/>
                <w:sz w:val="18"/>
              </w:rPr>
              <w:t>Framework</w:t>
            </w:r>
          </w:p>
        </w:tc>
        <w:tc>
          <w:tcPr>
            <w:tcW w:type="dxa" w:w="684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PR — PROTECT</w:t>
            </w:r>
          </w:p>
        </w:tc>
      </w:tr>
      <w:tr>
        <w:trPr>
          <w:trHeight w:hRule="auto" w:val="0"/>
        </w:trPr>
        <w:tc>
          <w:tcPr>
            <w:tcW w:type="dxa" w:w="6840"/>
          </w:tcPr>
          <w:p>
            <w:pPr>
              <w:jc w:val="left"/>
            </w:pPr>
            <w:r>
              <w:rPr>
                <w:sz w:val="18"/>
              </w:rPr>
              <w:t>NIST CSF 2.0 Categories</w:t>
            </w:r>
          </w:p>
        </w:tc>
        <w:tc>
          <w:tcPr>
            <w:tcW w:type="dxa" w:w="6840"/>
          </w:tcPr>
          <w:p>
            <w:pPr>
              <w:jc w:val="left"/>
            </w:pPr>
            <w:r>
              <w:rPr>
                <w:sz w:val="18"/>
              </w:rPr>
              <w:t>PR.DS</w:t>
            </w:r>
          </w:p>
        </w:tc>
      </w:tr>
      <w:tr>
        <w:trPr>
          <w:trHeight w:hRule="auto" w:val="0"/>
        </w:trPr>
        <w:tc>
          <w:tcPr>
            <w:tcW w:type="dxa" w:w="6840"/>
          </w:tcPr>
          <w:p>
            <w:pPr>
              <w:jc w:val="left"/>
            </w:pPr>
            <w:r>
              <w:rPr>
                <w:sz w:val="18"/>
              </w:rPr>
              <w:t>FERPA (34 CFR Part 99)</w:t>
            </w:r>
          </w:p>
        </w:tc>
        <w:tc>
          <w:tcPr>
            <w:tcW w:type="dxa" w:w="6840"/>
          </w:tcPr>
          <w:p>
            <w:pPr>
              <w:jc w:val="left"/>
            </w:pPr>
            <w:r>
              <w:rPr>
                <w:sz w:val="18"/>
              </w:rPr>
              <w:t>§99.30, §99.31, §99.33</w:t>
            </w:r>
          </w:p>
        </w:tc>
      </w:tr>
      <w:tr>
        <w:trPr>
          <w:trHeight w:hRule="auto" w:val="0"/>
        </w:trPr>
        <w:tc>
          <w:tcPr>
            <w:tcW w:type="dxa" w:w="6840"/>
          </w:tcPr>
          <w:p>
            <w:pPr>
              <w:jc w:val="left"/>
            </w:pPr>
            <w:r>
              <w:rPr>
                <w:sz w:val="18"/>
              </w:rPr>
              <w:t>SOX §404 ITGC Domains</w:t>
            </w:r>
          </w:p>
        </w:tc>
        <w:tc>
          <w:tcPr>
            <w:tcW w:type="dxa" w:w="6840"/>
          </w:tcPr>
          <w:p>
            <w:pPr>
              <w:jc w:val="left"/>
            </w:pPr>
            <w:r>
              <w:rPr>
                <w:sz w:val="18"/>
              </w:rPr>
              <w:t>Access Controls, Computer Operations</w:t>
            </w:r>
          </w:p>
        </w:tc>
      </w:tr>
    </w:tbl>
    <w:p>
      <w:pPr>
        <w:pStyle w:val="Heading2"/>
      </w:pPr>
      <w:r>
        <w:t>STRIDE ISP 4.4 — Platform Security (PR.PS)</w:t>
      </w:r>
    </w:p>
    <w:p>
      <w:r>
        <w:rPr>
          <w:b/>
          <w:i w:val="0"/>
        </w:rPr>
        <w:t>Summary:</w:t>
      </w:r>
    </w:p>
    <w:p>
      <w:pPr>
        <w:pStyle w:val="ListBullet"/>
      </w:pPr>
      <w:r>
        <w:t>Defines standards for platform security, configuration management, and patching.</w:t>
      </w:r>
    </w:p>
    <w:p>
      <w:pPr>
        <w:pStyle w:val="ListBullet"/>
      </w:pPr>
      <w:r>
        <w:t>Requires CIS benchmark-aligned hardening for all server and endpoint platforms.</w:t>
      </w:r>
    </w:p>
    <w:p>
      <w:pPr>
        <w:pStyle w:val="ListBullet"/>
      </w:pPr>
      <w:r>
        <w:t>Mandates segregation of development, test, and production environments.</w:t>
      </w:r>
    </w:p>
    <w:p>
      <w:pPr>
        <w:pStyle w:val="ListBullet"/>
      </w:pPr>
      <w:r>
        <w:t>Establishes change management processes aligned with SOX §404 ITGC requirements.</w:t>
      </w:r>
    </w:p>
    <w:p>
      <w:pPr>
        <w:pStyle w:val="ListBullet"/>
      </w:pPr>
      <w:r>
        <w:t>Requires automated configuration compliance monitoring and drift detection.</w:t>
      </w:r>
    </w:p>
    <w:p/>
    <w:tbl>
      <w:tblPr>
        <w:tblStyle w:val="GridTable4-Accent1"/>
        <w:jc w:val="left"/>
        <w:tblLook w:firstColumn="1" w:firstRow="1" w:lastColumn="0" w:lastRow="0" w:noHBand="0" w:noVBand="1" w:val="04A0"/>
        <w:tblW w:type="pct" w:w="5000"/>
      </w:tblPr>
      <w:tblGrid>
        <w:gridCol w:w="6840"/>
        <w:gridCol w:w="6840"/>
      </w:tblGrid>
      <w:tr>
        <w:trPr>
          <w:trHeight w:hRule="auto" w:val="0"/>
        </w:trPr>
        <w:tc>
          <w:tcPr>
            <w:tcW w:type="dxa" w:w="6840"/>
          </w:tcPr>
          <w:p>
            <w:pPr>
              <w:jc w:val="left"/>
            </w:pPr>
            <w:r>
              <w:rPr>
                <w:b/>
                <w:sz w:val="18"/>
              </w:rPr>
              <w:t>Framework</w:t>
            </w:r>
          </w:p>
        </w:tc>
        <w:tc>
          <w:tcPr>
            <w:tcW w:type="dxa" w:w="684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PR — PROTECT</w:t>
            </w:r>
          </w:p>
        </w:tc>
      </w:tr>
      <w:tr>
        <w:trPr>
          <w:trHeight w:hRule="auto" w:val="0"/>
        </w:trPr>
        <w:tc>
          <w:tcPr>
            <w:tcW w:type="dxa" w:w="6840"/>
          </w:tcPr>
          <w:p>
            <w:pPr>
              <w:jc w:val="left"/>
            </w:pPr>
            <w:r>
              <w:rPr>
                <w:sz w:val="18"/>
              </w:rPr>
              <w:t>NIST CSF 2.0 Categories</w:t>
            </w:r>
          </w:p>
        </w:tc>
        <w:tc>
          <w:tcPr>
            <w:tcW w:type="dxa" w:w="6840"/>
          </w:tcPr>
          <w:p>
            <w:pPr>
              <w:jc w:val="left"/>
            </w:pPr>
            <w:r>
              <w:rPr>
                <w:sz w:val="18"/>
              </w:rPr>
              <w:t>PR.PS</w:t>
            </w:r>
          </w:p>
        </w:tc>
      </w:tr>
      <w:tr>
        <w:trPr>
          <w:trHeight w:hRule="auto" w:val="0"/>
        </w:trPr>
        <w:tc>
          <w:tcPr>
            <w:tcW w:type="dxa" w:w="6840"/>
          </w:tcPr>
          <w:p>
            <w:pPr>
              <w:jc w:val="left"/>
            </w:pPr>
            <w:r>
              <w:rPr>
                <w:sz w:val="18"/>
              </w:rPr>
              <w:t>FERPA (34 CFR Part 99)</w:t>
            </w:r>
          </w:p>
        </w:tc>
        <w:tc>
          <w:tcPr>
            <w:tcW w:type="dxa" w:w="6840"/>
          </w:tcPr>
          <w:p>
            <w:pPr>
              <w:jc w:val="left"/>
            </w:pPr>
            <w:r>
              <w:rPr>
                <w:sz w:val="18"/>
              </w:rPr>
              <w:t>—</w:t>
            </w:r>
          </w:p>
        </w:tc>
      </w:tr>
      <w:tr>
        <w:trPr>
          <w:trHeight w:hRule="auto" w:val="0"/>
        </w:trPr>
        <w:tc>
          <w:tcPr>
            <w:tcW w:type="dxa" w:w="6840"/>
          </w:tcPr>
          <w:p>
            <w:pPr>
              <w:jc w:val="left"/>
            </w:pPr>
            <w:r>
              <w:rPr>
                <w:sz w:val="18"/>
              </w:rPr>
              <w:t>SOX §404 ITGC Domains</w:t>
            </w:r>
          </w:p>
        </w:tc>
        <w:tc>
          <w:tcPr>
            <w:tcW w:type="dxa" w:w="6840"/>
          </w:tcPr>
          <w:p>
            <w:pPr>
              <w:jc w:val="left"/>
            </w:pPr>
            <w:r>
              <w:rPr>
                <w:sz w:val="18"/>
              </w:rPr>
              <w:t>Change Management, Program Development</w:t>
            </w:r>
          </w:p>
        </w:tc>
      </w:tr>
    </w:tbl>
    <w:p>
      <w:pPr>
        <w:pStyle w:val="Heading2"/>
      </w:pPr>
      <w:r>
        <w:t>STRIDE ISP 4.5 — Technology Infrastructure Resilience (PR.IR)</w:t>
      </w:r>
    </w:p>
    <w:p>
      <w:r>
        <w:rPr>
          <w:b/>
          <w:i w:val="0"/>
        </w:rPr>
        <w:t>Summary:</w:t>
      </w:r>
    </w:p>
    <w:p>
      <w:pPr>
        <w:pStyle w:val="ListBullet"/>
      </w:pPr>
      <w:r>
        <w:t>Defines standards for technology infrastructure resilience.</w:t>
      </w:r>
    </w:p>
    <w:p>
      <w:pPr>
        <w:pStyle w:val="ListBullet"/>
      </w:pPr>
      <w:r>
        <w:t>Requires high-availability architectures for business-critical systems.</w:t>
      </w:r>
    </w:p>
    <w:p>
      <w:pPr>
        <w:pStyle w:val="ListBullet"/>
      </w:pPr>
      <w:r>
        <w:t>Mandates redundancy, failover, and disaster recovery capabilities.</w:t>
      </w:r>
    </w:p>
    <w:p>
      <w:pPr>
        <w:pStyle w:val="ListBullet"/>
      </w:pPr>
      <w:r>
        <w:t>Establishes infrastructure monitoring and capacity planning requirements.</w:t>
      </w:r>
    </w:p>
    <w:p/>
    <w:tbl>
      <w:tblPr>
        <w:tblStyle w:val="GridTable4-Accent1"/>
        <w:jc w:val="left"/>
        <w:tblLook w:firstColumn="1" w:firstRow="1" w:lastColumn="0" w:lastRow="0" w:noHBand="0" w:noVBand="1" w:val="04A0"/>
        <w:tblW w:type="pct" w:w="5000"/>
      </w:tblPr>
      <w:tblGrid>
        <w:gridCol w:w="6840"/>
        <w:gridCol w:w="6840"/>
      </w:tblGrid>
      <w:tr>
        <w:trPr>
          <w:trHeight w:hRule="auto" w:val="0"/>
        </w:trPr>
        <w:tc>
          <w:tcPr>
            <w:tcW w:type="dxa" w:w="6840"/>
          </w:tcPr>
          <w:p>
            <w:pPr>
              <w:jc w:val="left"/>
            </w:pPr>
            <w:r>
              <w:rPr>
                <w:b/>
                <w:sz w:val="18"/>
              </w:rPr>
              <w:t>Framework</w:t>
            </w:r>
          </w:p>
        </w:tc>
        <w:tc>
          <w:tcPr>
            <w:tcW w:type="dxa" w:w="684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PR — PROTECT</w:t>
            </w:r>
          </w:p>
        </w:tc>
      </w:tr>
      <w:tr>
        <w:trPr>
          <w:trHeight w:hRule="auto" w:val="0"/>
        </w:trPr>
        <w:tc>
          <w:tcPr>
            <w:tcW w:type="dxa" w:w="6840"/>
          </w:tcPr>
          <w:p>
            <w:pPr>
              <w:jc w:val="left"/>
            </w:pPr>
            <w:r>
              <w:rPr>
                <w:sz w:val="18"/>
              </w:rPr>
              <w:t>NIST CSF 2.0 Categories</w:t>
            </w:r>
          </w:p>
        </w:tc>
        <w:tc>
          <w:tcPr>
            <w:tcW w:type="dxa" w:w="6840"/>
          </w:tcPr>
          <w:p>
            <w:pPr>
              <w:jc w:val="left"/>
            </w:pPr>
            <w:r>
              <w:rPr>
                <w:sz w:val="18"/>
              </w:rPr>
              <w:t>PR.IR</w:t>
            </w:r>
          </w:p>
        </w:tc>
      </w:tr>
      <w:tr>
        <w:trPr>
          <w:trHeight w:hRule="auto" w:val="0"/>
        </w:trPr>
        <w:tc>
          <w:tcPr>
            <w:tcW w:type="dxa" w:w="6840"/>
          </w:tcPr>
          <w:p>
            <w:pPr>
              <w:jc w:val="left"/>
            </w:pPr>
            <w:r>
              <w:rPr>
                <w:sz w:val="18"/>
              </w:rPr>
              <w:t>FERPA (34 CFR Part 99)</w:t>
            </w:r>
          </w:p>
        </w:tc>
        <w:tc>
          <w:tcPr>
            <w:tcW w:type="dxa" w:w="6840"/>
          </w:tcPr>
          <w:p>
            <w:pPr>
              <w:jc w:val="left"/>
            </w:pPr>
            <w:r>
              <w:rPr>
                <w:sz w:val="18"/>
              </w:rPr>
              <w:t>—</w:t>
            </w:r>
          </w:p>
        </w:tc>
      </w:tr>
      <w:tr>
        <w:trPr>
          <w:trHeight w:hRule="auto" w:val="0"/>
        </w:trPr>
        <w:tc>
          <w:tcPr>
            <w:tcW w:type="dxa" w:w="6840"/>
          </w:tcPr>
          <w:p>
            <w:pPr>
              <w:jc w:val="left"/>
            </w:pPr>
            <w:r>
              <w:rPr>
                <w:sz w:val="18"/>
              </w:rPr>
              <w:t>SOX §404 ITGC Domains</w:t>
            </w:r>
          </w:p>
        </w:tc>
        <w:tc>
          <w:tcPr>
            <w:tcW w:type="dxa" w:w="6840"/>
          </w:tcPr>
          <w:p>
            <w:pPr>
              <w:jc w:val="left"/>
            </w:pPr>
            <w:r>
              <w:rPr>
                <w:sz w:val="18"/>
              </w:rPr>
              <w:t>Computer Operations</w:t>
            </w:r>
          </w:p>
        </w:tc>
      </w:tr>
    </w:tbl>
    <w:p>
      <w:pPr>
        <w:pStyle w:val="Heading2"/>
      </w:pPr>
      <w:r>
        <w:t>STRIDE ISP 5.1 — Continuous Monitoring (DE.CM)</w:t>
      </w:r>
    </w:p>
    <w:p>
      <w:r>
        <w:rPr>
          <w:b/>
          <w:i w:val="0"/>
        </w:rPr>
        <w:t>Summary:</w:t>
      </w:r>
    </w:p>
    <w:p>
      <w:pPr>
        <w:pStyle w:val="ListBullet"/>
      </w:pPr>
      <w:r>
        <w:t>Defines standards for continuous security monitoring across the enterprise.</w:t>
      </w:r>
    </w:p>
    <w:p>
      <w:pPr>
        <w:pStyle w:val="ListBullet"/>
      </w:pPr>
      <w:r>
        <w:t>Requires SIEM integration with real-time alerting for all critical systems.</w:t>
      </w:r>
    </w:p>
    <w:p>
      <w:pPr>
        <w:pStyle w:val="ListBullet"/>
      </w:pPr>
      <w:r>
        <w:t>Mandates network, endpoint, and application-level monitoring.</w:t>
      </w:r>
    </w:p>
    <w:p>
      <w:pPr>
        <w:pStyle w:val="ListBullet"/>
      </w:pPr>
      <w:r>
        <w:t>Establishes log retention requirements supporting audit and forensic needs.</w:t>
      </w:r>
    </w:p>
    <w:p>
      <w:pPr>
        <w:pStyle w:val="ListBullet"/>
      </w:pPr>
      <w:r>
        <w:t>Requires monitoring of disclosure records per FERPA §99.32.</w:t>
      </w:r>
    </w:p>
    <w:p/>
    <w:tbl>
      <w:tblPr>
        <w:tblStyle w:val="GridTable4-Accent1"/>
        <w:jc w:val="left"/>
        <w:tblLook w:firstColumn="1" w:firstRow="1" w:lastColumn="0" w:lastRow="0" w:noHBand="0" w:noVBand="1" w:val="04A0"/>
        <w:tblW w:type="pct" w:w="5000"/>
      </w:tblPr>
      <w:tblGrid>
        <w:gridCol w:w="6840"/>
        <w:gridCol w:w="6840"/>
      </w:tblGrid>
      <w:tr>
        <w:trPr>
          <w:trHeight w:hRule="auto" w:val="0"/>
        </w:trPr>
        <w:tc>
          <w:tcPr>
            <w:tcW w:type="dxa" w:w="6840"/>
          </w:tcPr>
          <w:p>
            <w:pPr>
              <w:jc w:val="left"/>
            </w:pPr>
            <w:r>
              <w:rPr>
                <w:b/>
                <w:sz w:val="18"/>
              </w:rPr>
              <w:t>Framework</w:t>
            </w:r>
          </w:p>
        </w:tc>
        <w:tc>
          <w:tcPr>
            <w:tcW w:type="dxa" w:w="684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DE — DETECT</w:t>
            </w:r>
          </w:p>
        </w:tc>
      </w:tr>
      <w:tr>
        <w:trPr>
          <w:trHeight w:hRule="auto" w:val="0"/>
        </w:trPr>
        <w:tc>
          <w:tcPr>
            <w:tcW w:type="dxa" w:w="6840"/>
          </w:tcPr>
          <w:p>
            <w:pPr>
              <w:jc w:val="left"/>
            </w:pPr>
            <w:r>
              <w:rPr>
                <w:sz w:val="18"/>
              </w:rPr>
              <w:t>NIST CSF 2.0 Categories</w:t>
            </w:r>
          </w:p>
        </w:tc>
        <w:tc>
          <w:tcPr>
            <w:tcW w:type="dxa" w:w="6840"/>
          </w:tcPr>
          <w:p>
            <w:pPr>
              <w:jc w:val="left"/>
            </w:pPr>
            <w:r>
              <w:rPr>
                <w:sz w:val="18"/>
              </w:rPr>
              <w:t>DE.CM</w:t>
            </w:r>
          </w:p>
        </w:tc>
      </w:tr>
      <w:tr>
        <w:trPr>
          <w:trHeight w:hRule="auto" w:val="0"/>
        </w:trPr>
        <w:tc>
          <w:tcPr>
            <w:tcW w:type="dxa" w:w="6840"/>
          </w:tcPr>
          <w:p>
            <w:pPr>
              <w:jc w:val="left"/>
            </w:pPr>
            <w:r>
              <w:rPr>
                <w:sz w:val="18"/>
              </w:rPr>
              <w:t>FERPA (34 CFR Part 99)</w:t>
            </w:r>
          </w:p>
        </w:tc>
        <w:tc>
          <w:tcPr>
            <w:tcW w:type="dxa" w:w="6840"/>
          </w:tcPr>
          <w:p>
            <w:pPr>
              <w:jc w:val="left"/>
            </w:pPr>
            <w:r>
              <w:rPr>
                <w:sz w:val="18"/>
              </w:rPr>
              <w:t>§99.32</w:t>
            </w:r>
          </w:p>
        </w:tc>
      </w:tr>
      <w:tr>
        <w:trPr>
          <w:trHeight w:hRule="auto" w:val="0"/>
        </w:trPr>
        <w:tc>
          <w:tcPr>
            <w:tcW w:type="dxa" w:w="6840"/>
          </w:tcPr>
          <w:p>
            <w:pPr>
              <w:jc w:val="left"/>
            </w:pPr>
            <w:r>
              <w:rPr>
                <w:sz w:val="18"/>
              </w:rPr>
              <w:t>SOX §404 ITGC Domains</w:t>
            </w:r>
          </w:p>
        </w:tc>
        <w:tc>
          <w:tcPr>
            <w:tcW w:type="dxa" w:w="6840"/>
          </w:tcPr>
          <w:p>
            <w:pPr>
              <w:jc w:val="left"/>
            </w:pPr>
            <w:r>
              <w:rPr>
                <w:sz w:val="18"/>
              </w:rPr>
              <w:t>Computer Operations</w:t>
            </w:r>
          </w:p>
        </w:tc>
      </w:tr>
    </w:tbl>
    <w:p>
      <w:pPr>
        <w:pStyle w:val="Heading2"/>
      </w:pPr>
      <w:r>
        <w:t>STRIDE ISP 5.2 — Adverse Event Analysis (DE.AE)</w:t>
      </w:r>
    </w:p>
    <w:p>
      <w:r>
        <w:rPr>
          <w:b/>
          <w:i w:val="0"/>
        </w:rPr>
        <w:t>Summary:</w:t>
      </w:r>
    </w:p>
    <w:p>
      <w:pPr>
        <w:pStyle w:val="ListBullet"/>
      </w:pPr>
      <w:r>
        <w:t>Defines standards for analyzing adverse events and anomalies.</w:t>
      </w:r>
    </w:p>
    <w:p>
      <w:pPr>
        <w:pStyle w:val="ListBullet"/>
      </w:pPr>
      <w:r>
        <w:t>Requires correlation of security events across multiple data sources.</w:t>
      </w:r>
    </w:p>
    <w:p>
      <w:pPr>
        <w:pStyle w:val="ListBullet"/>
      </w:pPr>
      <w:r>
        <w:t>Mandates triage procedures and severity classification for detected events.</w:t>
      </w:r>
    </w:p>
    <w:p>
      <w:pPr>
        <w:pStyle w:val="ListBullet"/>
      </w:pPr>
      <w:r>
        <w:t>Establishes escalation thresholds and notification requirements.</w:t>
      </w:r>
    </w:p>
    <w:p/>
    <w:tbl>
      <w:tblPr>
        <w:tblStyle w:val="GridTable4-Accent1"/>
        <w:jc w:val="left"/>
        <w:tblLook w:firstColumn="1" w:firstRow="1" w:lastColumn="0" w:lastRow="0" w:noHBand="0" w:noVBand="1" w:val="04A0"/>
        <w:tblW w:type="pct" w:w="5000"/>
      </w:tblPr>
      <w:tblGrid>
        <w:gridCol w:w="6840"/>
        <w:gridCol w:w="6840"/>
      </w:tblGrid>
      <w:tr>
        <w:trPr>
          <w:trHeight w:hRule="auto" w:val="0"/>
        </w:trPr>
        <w:tc>
          <w:tcPr>
            <w:tcW w:type="dxa" w:w="6840"/>
          </w:tcPr>
          <w:p>
            <w:pPr>
              <w:jc w:val="left"/>
            </w:pPr>
            <w:r>
              <w:rPr>
                <w:b/>
                <w:sz w:val="18"/>
              </w:rPr>
              <w:t>Framework</w:t>
            </w:r>
          </w:p>
        </w:tc>
        <w:tc>
          <w:tcPr>
            <w:tcW w:type="dxa" w:w="684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DE — DETECT</w:t>
            </w:r>
          </w:p>
        </w:tc>
      </w:tr>
      <w:tr>
        <w:trPr>
          <w:trHeight w:hRule="auto" w:val="0"/>
        </w:trPr>
        <w:tc>
          <w:tcPr>
            <w:tcW w:type="dxa" w:w="6840"/>
          </w:tcPr>
          <w:p>
            <w:pPr>
              <w:jc w:val="left"/>
            </w:pPr>
            <w:r>
              <w:rPr>
                <w:sz w:val="18"/>
              </w:rPr>
              <w:t>NIST CSF 2.0 Categories</w:t>
            </w:r>
          </w:p>
        </w:tc>
        <w:tc>
          <w:tcPr>
            <w:tcW w:type="dxa" w:w="6840"/>
          </w:tcPr>
          <w:p>
            <w:pPr>
              <w:jc w:val="left"/>
            </w:pPr>
            <w:r>
              <w:rPr>
                <w:sz w:val="18"/>
              </w:rPr>
              <w:t>DE.AE</w:t>
            </w:r>
          </w:p>
        </w:tc>
      </w:tr>
      <w:tr>
        <w:trPr>
          <w:trHeight w:hRule="auto" w:val="0"/>
        </w:trPr>
        <w:tc>
          <w:tcPr>
            <w:tcW w:type="dxa" w:w="6840"/>
          </w:tcPr>
          <w:p>
            <w:pPr>
              <w:jc w:val="left"/>
            </w:pPr>
            <w:r>
              <w:rPr>
                <w:sz w:val="18"/>
              </w:rPr>
              <w:t>FERPA (34 CFR Part 99)</w:t>
            </w:r>
          </w:p>
        </w:tc>
        <w:tc>
          <w:tcPr>
            <w:tcW w:type="dxa" w:w="6840"/>
          </w:tcPr>
          <w:p>
            <w:pPr>
              <w:jc w:val="left"/>
            </w:pPr>
            <w:r>
              <w:rPr>
                <w:sz w:val="18"/>
              </w:rPr>
              <w:t>—</w:t>
            </w:r>
          </w:p>
        </w:tc>
      </w:tr>
      <w:tr>
        <w:trPr>
          <w:trHeight w:hRule="auto" w:val="0"/>
        </w:trPr>
        <w:tc>
          <w:tcPr>
            <w:tcW w:type="dxa" w:w="6840"/>
          </w:tcPr>
          <w:p>
            <w:pPr>
              <w:jc w:val="left"/>
            </w:pPr>
            <w:r>
              <w:rPr>
                <w:sz w:val="18"/>
              </w:rPr>
              <w:t>SOX §404 ITGC Domains</w:t>
            </w:r>
          </w:p>
        </w:tc>
        <w:tc>
          <w:tcPr>
            <w:tcW w:type="dxa" w:w="6840"/>
          </w:tcPr>
          <w:p>
            <w:pPr>
              <w:jc w:val="left"/>
            </w:pPr>
            <w:r>
              <w:rPr>
                <w:sz w:val="18"/>
              </w:rPr>
              <w:t>—</w:t>
            </w:r>
          </w:p>
        </w:tc>
      </w:tr>
    </w:tbl>
    <w:p>
      <w:pPr>
        <w:pStyle w:val="Heading2"/>
      </w:pPr>
      <w:r>
        <w:t>STRIDE ISP 6.1 — Incident Management (RS.MA)</w:t>
      </w:r>
    </w:p>
    <w:p>
      <w:r>
        <w:rPr>
          <w:b/>
          <w:i w:val="0"/>
        </w:rPr>
        <w:t>Summary:</w:t>
      </w:r>
    </w:p>
    <w:p>
      <w:pPr>
        <w:pStyle w:val="ListBullet"/>
      </w:pPr>
      <w:r>
        <w:t>Defines standards for incident response planning and execution.</w:t>
      </w:r>
    </w:p>
    <w:p>
      <w:pPr>
        <w:pStyle w:val="ListBullet"/>
      </w:pPr>
      <w:r>
        <w:t>Requires a documented IRP with application-specific runbooks.</w:t>
      </w:r>
    </w:p>
    <w:p>
      <w:pPr>
        <w:pStyle w:val="ListBullet"/>
      </w:pPr>
      <w:r>
        <w:t>Mandates defined escalation paths, notification responsibilities, and communication plans.</w:t>
      </w:r>
    </w:p>
    <w:p>
      <w:pPr>
        <w:pStyle w:val="ListBullet"/>
      </w:pPr>
      <w:r>
        <w:t>Establishes incident severity levels and response time SLAs.</w:t>
      </w:r>
    </w:p>
    <w:p>
      <w:pPr>
        <w:pStyle w:val="ListBullet"/>
      </w:pPr>
      <w:r>
        <w:t>Requires coordination with legal counsel for FERPA breach notifications.</w:t>
      </w:r>
    </w:p>
    <w:p/>
    <w:tbl>
      <w:tblPr>
        <w:tblStyle w:val="GridTable4-Accent1"/>
        <w:jc w:val="left"/>
        <w:tblLook w:firstColumn="1" w:firstRow="1" w:lastColumn="0" w:lastRow="0" w:noHBand="0" w:noVBand="1" w:val="04A0"/>
        <w:tblW w:type="pct" w:w="5000"/>
      </w:tblPr>
      <w:tblGrid>
        <w:gridCol w:w="6840"/>
        <w:gridCol w:w="6840"/>
      </w:tblGrid>
      <w:tr>
        <w:trPr>
          <w:trHeight w:hRule="auto" w:val="0"/>
        </w:trPr>
        <w:tc>
          <w:tcPr>
            <w:tcW w:type="dxa" w:w="6840"/>
          </w:tcPr>
          <w:p>
            <w:pPr>
              <w:jc w:val="left"/>
            </w:pPr>
            <w:r>
              <w:rPr>
                <w:b/>
                <w:sz w:val="18"/>
              </w:rPr>
              <w:t>Framework</w:t>
            </w:r>
          </w:p>
        </w:tc>
        <w:tc>
          <w:tcPr>
            <w:tcW w:type="dxa" w:w="684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RS — RESPOND</w:t>
            </w:r>
          </w:p>
        </w:tc>
      </w:tr>
      <w:tr>
        <w:trPr>
          <w:trHeight w:hRule="auto" w:val="0"/>
        </w:trPr>
        <w:tc>
          <w:tcPr>
            <w:tcW w:type="dxa" w:w="6840"/>
          </w:tcPr>
          <w:p>
            <w:pPr>
              <w:jc w:val="left"/>
            </w:pPr>
            <w:r>
              <w:rPr>
                <w:sz w:val="18"/>
              </w:rPr>
              <w:t>NIST CSF 2.0 Categories</w:t>
            </w:r>
          </w:p>
        </w:tc>
        <w:tc>
          <w:tcPr>
            <w:tcW w:type="dxa" w:w="6840"/>
          </w:tcPr>
          <w:p>
            <w:pPr>
              <w:jc w:val="left"/>
            </w:pPr>
            <w:r>
              <w:rPr>
                <w:sz w:val="18"/>
              </w:rPr>
              <w:t>RS.MA, RS.CO</w:t>
            </w:r>
          </w:p>
        </w:tc>
      </w:tr>
      <w:tr>
        <w:trPr>
          <w:trHeight w:hRule="auto" w:val="0"/>
        </w:trPr>
        <w:tc>
          <w:tcPr>
            <w:tcW w:type="dxa" w:w="6840"/>
          </w:tcPr>
          <w:p>
            <w:pPr>
              <w:jc w:val="left"/>
            </w:pPr>
            <w:r>
              <w:rPr>
                <w:sz w:val="18"/>
              </w:rPr>
              <w:t>FERPA (34 CFR Part 99)</w:t>
            </w:r>
          </w:p>
        </w:tc>
        <w:tc>
          <w:tcPr>
            <w:tcW w:type="dxa" w:w="6840"/>
          </w:tcPr>
          <w:p>
            <w:pPr>
              <w:jc w:val="left"/>
            </w:pPr>
            <w:r>
              <w:rPr>
                <w:sz w:val="18"/>
              </w:rPr>
              <w:t>§99.36, §99.33</w:t>
            </w:r>
          </w:p>
        </w:tc>
      </w:tr>
      <w:tr>
        <w:trPr>
          <w:trHeight w:hRule="auto" w:val="0"/>
        </w:trPr>
        <w:tc>
          <w:tcPr>
            <w:tcW w:type="dxa" w:w="6840"/>
          </w:tcPr>
          <w:p>
            <w:pPr>
              <w:jc w:val="left"/>
            </w:pPr>
            <w:r>
              <w:rPr>
                <w:sz w:val="18"/>
              </w:rPr>
              <w:t>SOX §404 ITGC Domains</w:t>
            </w:r>
          </w:p>
        </w:tc>
        <w:tc>
          <w:tcPr>
            <w:tcW w:type="dxa" w:w="6840"/>
          </w:tcPr>
          <w:p>
            <w:pPr>
              <w:jc w:val="left"/>
            </w:pPr>
            <w:r>
              <w:rPr>
                <w:sz w:val="18"/>
              </w:rPr>
              <w:t>Computer Operations</w:t>
            </w:r>
          </w:p>
        </w:tc>
      </w:tr>
    </w:tbl>
    <w:p>
      <w:pPr>
        <w:pStyle w:val="Heading2"/>
      </w:pPr>
      <w:r>
        <w:t>STRIDE ISP 6.2 — Incident Analysis (RS.AN)</w:t>
      </w:r>
    </w:p>
    <w:p>
      <w:r>
        <w:rPr>
          <w:b/>
          <w:i w:val="0"/>
        </w:rPr>
        <w:t>Summary:</w:t>
      </w:r>
    </w:p>
    <w:p>
      <w:pPr>
        <w:pStyle w:val="ListBullet"/>
      </w:pPr>
      <w:r>
        <w:t>Defines standards for incident analysis and root-cause investigation.</w:t>
      </w:r>
    </w:p>
    <w:p>
      <w:pPr>
        <w:pStyle w:val="ListBullet"/>
      </w:pPr>
      <w:r>
        <w:t>Requires systematic analysis to determine scope, impact, and root cause.</w:t>
      </w:r>
    </w:p>
    <w:p>
      <w:pPr>
        <w:pStyle w:val="ListBullet"/>
      </w:pPr>
      <w:r>
        <w:t>Mandates evidence preservation and chain-of-custody procedures.</w:t>
      </w:r>
    </w:p>
    <w:p>
      <w:pPr>
        <w:pStyle w:val="ListBullet"/>
      </w:pPr>
      <w:r>
        <w:t>Establishes post-incident review processes to drive program improvements.</w:t>
      </w:r>
    </w:p>
    <w:p/>
    <w:tbl>
      <w:tblPr>
        <w:tblStyle w:val="GridTable4-Accent1"/>
        <w:jc w:val="left"/>
        <w:tblLook w:firstColumn="1" w:firstRow="1" w:lastColumn="0" w:lastRow="0" w:noHBand="0" w:noVBand="1" w:val="04A0"/>
        <w:tblW w:type="pct" w:w="5000"/>
      </w:tblPr>
      <w:tblGrid>
        <w:gridCol w:w="6840"/>
        <w:gridCol w:w="6840"/>
      </w:tblGrid>
      <w:tr>
        <w:trPr>
          <w:trHeight w:hRule="auto" w:val="0"/>
        </w:trPr>
        <w:tc>
          <w:tcPr>
            <w:tcW w:type="dxa" w:w="6840"/>
          </w:tcPr>
          <w:p>
            <w:pPr>
              <w:jc w:val="left"/>
            </w:pPr>
            <w:r>
              <w:rPr>
                <w:b/>
                <w:sz w:val="18"/>
              </w:rPr>
              <w:t>Framework</w:t>
            </w:r>
          </w:p>
        </w:tc>
        <w:tc>
          <w:tcPr>
            <w:tcW w:type="dxa" w:w="684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RS — RESPOND</w:t>
            </w:r>
          </w:p>
        </w:tc>
      </w:tr>
      <w:tr>
        <w:trPr>
          <w:trHeight w:hRule="auto" w:val="0"/>
        </w:trPr>
        <w:tc>
          <w:tcPr>
            <w:tcW w:type="dxa" w:w="6840"/>
          </w:tcPr>
          <w:p>
            <w:pPr>
              <w:jc w:val="left"/>
            </w:pPr>
            <w:r>
              <w:rPr>
                <w:sz w:val="18"/>
              </w:rPr>
              <w:t>NIST CSF 2.0 Categories</w:t>
            </w:r>
          </w:p>
        </w:tc>
        <w:tc>
          <w:tcPr>
            <w:tcW w:type="dxa" w:w="6840"/>
          </w:tcPr>
          <w:p>
            <w:pPr>
              <w:jc w:val="left"/>
            </w:pPr>
            <w:r>
              <w:rPr>
                <w:sz w:val="18"/>
              </w:rPr>
              <w:t>RS.AN</w:t>
            </w:r>
          </w:p>
        </w:tc>
      </w:tr>
      <w:tr>
        <w:trPr>
          <w:trHeight w:hRule="auto" w:val="0"/>
        </w:trPr>
        <w:tc>
          <w:tcPr>
            <w:tcW w:type="dxa" w:w="6840"/>
          </w:tcPr>
          <w:p>
            <w:pPr>
              <w:jc w:val="left"/>
            </w:pPr>
            <w:r>
              <w:rPr>
                <w:sz w:val="18"/>
              </w:rPr>
              <w:t>FERPA (34 CFR Part 99)</w:t>
            </w:r>
          </w:p>
        </w:tc>
        <w:tc>
          <w:tcPr>
            <w:tcW w:type="dxa" w:w="6840"/>
          </w:tcPr>
          <w:p>
            <w:pPr>
              <w:jc w:val="left"/>
            </w:pPr>
            <w:r>
              <w:rPr>
                <w:sz w:val="18"/>
              </w:rPr>
              <w:t>—</w:t>
            </w:r>
          </w:p>
        </w:tc>
      </w:tr>
      <w:tr>
        <w:trPr>
          <w:trHeight w:hRule="auto" w:val="0"/>
        </w:trPr>
        <w:tc>
          <w:tcPr>
            <w:tcW w:type="dxa" w:w="6840"/>
          </w:tcPr>
          <w:p>
            <w:pPr>
              <w:jc w:val="left"/>
            </w:pPr>
            <w:r>
              <w:rPr>
                <w:sz w:val="18"/>
              </w:rPr>
              <w:t>SOX §404 ITGC Domains</w:t>
            </w:r>
          </w:p>
        </w:tc>
        <w:tc>
          <w:tcPr>
            <w:tcW w:type="dxa" w:w="6840"/>
          </w:tcPr>
          <w:p>
            <w:pPr>
              <w:jc w:val="left"/>
            </w:pPr>
            <w:r>
              <w:rPr>
                <w:sz w:val="18"/>
              </w:rPr>
              <w:t>—</w:t>
            </w:r>
          </w:p>
        </w:tc>
      </w:tr>
    </w:tbl>
    <w:p>
      <w:pPr>
        <w:pStyle w:val="Heading2"/>
      </w:pPr>
      <w:r>
        <w:t>STRIDE IISP 1.0 — Business Continuity Policy</w:t>
      </w:r>
    </w:p>
    <w:p>
      <w:r>
        <w:rPr>
          <w:b/>
          <w:i w:val="0"/>
        </w:rPr>
        <w:t>Summary:</w:t>
      </w:r>
    </w:p>
    <w:p>
      <w:pPr>
        <w:pStyle w:val="ListBullet"/>
      </w:pPr>
      <w:r>
        <w:t>Establishes business continuity requirements for critical operations.</w:t>
      </w:r>
    </w:p>
    <w:p>
      <w:pPr>
        <w:pStyle w:val="ListBullet"/>
      </w:pPr>
      <w:r>
        <w:t>Requires business impact analysis (BIA) to identify essential functions and dependencies.</w:t>
      </w:r>
    </w:p>
    <w:p>
      <w:pPr>
        <w:pStyle w:val="ListBullet"/>
      </w:pPr>
      <w:r>
        <w:t>Mandates documented recovery procedures with defined RTO and RPO targets.</w:t>
      </w:r>
    </w:p>
    <w:p>
      <w:pPr>
        <w:pStyle w:val="ListBullet"/>
      </w:pPr>
      <w:r>
        <w:t>Requires annual business continuity plan testing and tabletop exercises.</w:t>
      </w:r>
    </w:p>
    <w:p>
      <w:pPr>
        <w:pStyle w:val="ListBullet"/>
      </w:pPr>
      <w:r>
        <w:t>Covers disaster recovery, communication plans, and workforce continuity.</w:t>
      </w:r>
    </w:p>
    <w:p/>
    <w:tbl>
      <w:tblPr>
        <w:tblStyle w:val="GridTable4-Accent1"/>
        <w:jc w:val="left"/>
        <w:tblLook w:firstColumn="1" w:firstRow="1" w:lastColumn="0" w:lastRow="0" w:noHBand="0" w:noVBand="1" w:val="04A0"/>
        <w:tblW w:type="pct" w:w="5000"/>
      </w:tblPr>
      <w:tblGrid>
        <w:gridCol w:w="6840"/>
        <w:gridCol w:w="6840"/>
      </w:tblGrid>
      <w:tr>
        <w:trPr>
          <w:trHeight w:hRule="auto" w:val="0"/>
        </w:trPr>
        <w:tc>
          <w:tcPr>
            <w:tcW w:type="dxa" w:w="6840"/>
          </w:tcPr>
          <w:p>
            <w:pPr>
              <w:jc w:val="left"/>
            </w:pPr>
            <w:r>
              <w:rPr>
                <w:b/>
                <w:sz w:val="18"/>
              </w:rPr>
              <w:t>Framework</w:t>
            </w:r>
          </w:p>
        </w:tc>
        <w:tc>
          <w:tcPr>
            <w:tcW w:type="dxa" w:w="684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RC — RECOVER</w:t>
            </w:r>
          </w:p>
        </w:tc>
      </w:tr>
      <w:tr>
        <w:trPr>
          <w:trHeight w:hRule="auto" w:val="0"/>
        </w:trPr>
        <w:tc>
          <w:tcPr>
            <w:tcW w:type="dxa" w:w="6840"/>
          </w:tcPr>
          <w:p>
            <w:pPr>
              <w:jc w:val="left"/>
            </w:pPr>
            <w:r>
              <w:rPr>
                <w:sz w:val="18"/>
              </w:rPr>
              <w:t>NIST CSF 2.0 Categories</w:t>
            </w:r>
          </w:p>
        </w:tc>
        <w:tc>
          <w:tcPr>
            <w:tcW w:type="dxa" w:w="6840"/>
          </w:tcPr>
          <w:p>
            <w:pPr>
              <w:jc w:val="left"/>
            </w:pPr>
            <w:r>
              <w:rPr>
                <w:sz w:val="18"/>
              </w:rPr>
              <w:t>RC.RP, PR.IR</w:t>
            </w:r>
          </w:p>
        </w:tc>
      </w:tr>
      <w:tr>
        <w:trPr>
          <w:trHeight w:hRule="auto" w:val="0"/>
        </w:trPr>
        <w:tc>
          <w:tcPr>
            <w:tcW w:type="dxa" w:w="6840"/>
          </w:tcPr>
          <w:p>
            <w:pPr>
              <w:jc w:val="left"/>
            </w:pPr>
            <w:r>
              <w:rPr>
                <w:sz w:val="18"/>
              </w:rPr>
              <w:t>FERPA (34 CFR Part 99)</w:t>
            </w:r>
          </w:p>
        </w:tc>
        <w:tc>
          <w:tcPr>
            <w:tcW w:type="dxa" w:w="6840"/>
          </w:tcPr>
          <w:p>
            <w:pPr>
              <w:jc w:val="left"/>
            </w:pPr>
            <w:r>
              <w:rPr>
                <w:sz w:val="18"/>
              </w:rPr>
              <w:t>—</w:t>
            </w:r>
          </w:p>
        </w:tc>
      </w:tr>
      <w:tr>
        <w:trPr>
          <w:trHeight w:hRule="auto" w:val="0"/>
        </w:trPr>
        <w:tc>
          <w:tcPr>
            <w:tcW w:type="dxa" w:w="6840"/>
          </w:tcPr>
          <w:p>
            <w:pPr>
              <w:jc w:val="left"/>
            </w:pPr>
            <w:r>
              <w:rPr>
                <w:sz w:val="18"/>
              </w:rPr>
              <w:t>SOX §404 ITGC Domains</w:t>
            </w:r>
          </w:p>
        </w:tc>
        <w:tc>
          <w:tcPr>
            <w:tcW w:type="dxa" w:w="6840"/>
          </w:tcPr>
          <w:p>
            <w:pPr>
              <w:jc w:val="left"/>
            </w:pPr>
            <w:r>
              <w:rPr>
                <w:sz w:val="18"/>
              </w:rPr>
              <w:t>Computer Operations</w:t>
            </w:r>
          </w:p>
        </w:tc>
      </w:tr>
    </w:tbl>
    <w:p>
      <w:pPr>
        <w:pStyle w:val="Heading2"/>
      </w:pPr>
      <w:r>
        <w:t>STRIDE IISP 2.0 — Data Classification</w:t>
      </w:r>
    </w:p>
    <w:p>
      <w:r>
        <w:rPr>
          <w:b/>
          <w:i w:val="0"/>
        </w:rPr>
        <w:t>Summary:</w:t>
      </w:r>
    </w:p>
    <w:p>
      <w:pPr>
        <w:pStyle w:val="ListBullet"/>
      </w:pPr>
      <w:r>
        <w:t>Classifies institutional data into four tiers based on sensitivity and regulatory impact.</w:t>
      </w:r>
    </w:p>
    <w:p>
      <w:pPr>
        <w:pStyle w:val="ListBullet"/>
      </w:pPr>
      <w:r>
        <w:t>Public: freely disclosed; minimum controls (e.g., press releases, course catalogs).</w:t>
      </w:r>
    </w:p>
    <w:p>
      <w:pPr>
        <w:pStyle w:val="ListBullet"/>
      </w:pPr>
      <w:r>
        <w:t>Internal: limited to employees; low sensitivity (e.g., org charts, training materials).</w:t>
      </w:r>
    </w:p>
    <w:p>
      <w:pPr>
        <w:pStyle w:val="ListBullet"/>
      </w:pPr>
      <w:r>
        <w:t>Confidential: need-to-know; medium sensitivity (e.g., student records, source code).</w:t>
      </w:r>
    </w:p>
    <w:p>
      <w:pPr>
        <w:pStyle w:val="ListBullet"/>
      </w:pPr>
      <w:r>
        <w:t>Restricted: strictest controls (e.g., SSNs, private keys, biometric data).</w:t>
      </w:r>
    </w:p>
    <w:p/>
    <w:p>
      <w:r>
        <w:rPr>
          <w:b/>
          <w:i w:val="0"/>
        </w:rPr>
        <w:t>Data Classification Levels:</w:t>
      </w:r>
    </w:p>
    <w:tbl>
      <w:tblPr>
        <w:tblStyle w:val="GridTable4-Accent1"/>
        <w:jc w:val="left"/>
        <w:tblLook w:firstColumn="1" w:firstRow="1" w:lastColumn="0" w:lastRow="0" w:noHBand="0" w:noVBand="1" w:val="04A0"/>
        <w:tblW w:type="pct" w:w="5000"/>
      </w:tblPr>
      <w:tblGrid>
        <w:gridCol w:w="4560"/>
        <w:gridCol w:w="4560"/>
        <w:gridCol w:w="4560"/>
      </w:tblGrid>
      <w:tr>
        <w:trPr>
          <w:trHeight w:hRule="auto" w:val="0"/>
        </w:trPr>
        <w:tc>
          <w:tcPr>
            <w:tcW w:type="dxa" w:w="4560"/>
          </w:tcPr>
          <w:p>
            <w:pPr>
              <w:jc w:val="left"/>
            </w:pPr>
            <w:r>
              <w:rPr>
                <w:b/>
                <w:sz w:val="18"/>
              </w:rPr>
              <w:t>Level</w:t>
            </w:r>
          </w:p>
        </w:tc>
        <w:tc>
          <w:tcPr>
            <w:tcW w:type="dxa" w:w="4560"/>
          </w:tcPr>
          <w:p>
            <w:pPr>
              <w:jc w:val="left"/>
            </w:pPr>
            <w:r>
              <w:rPr>
                <w:b/>
                <w:sz w:val="18"/>
              </w:rPr>
              <w:t>Description &amp; Controls</w:t>
            </w:r>
          </w:p>
        </w:tc>
        <w:tc>
          <w:tcPr>
            <w:tcW w:type="dxa" w:w="4560"/>
          </w:tcPr>
          <w:p>
            <w:pPr>
              <w:jc w:val="left"/>
            </w:pPr>
            <w:r>
              <w:rPr>
                <w:b/>
                <w:sz w:val="18"/>
              </w:rPr>
              <w:t>Examples</w:t>
            </w:r>
          </w:p>
        </w:tc>
      </w:tr>
      <w:tr>
        <w:trPr>
          <w:trHeight w:hRule="auto" w:val="0"/>
        </w:trPr>
        <w:tc>
          <w:tcPr>
            <w:tcW w:type="dxa" w:w="4560"/>
          </w:tcPr>
          <w:p>
            <w:pPr>
              <w:jc w:val="left"/>
            </w:pPr>
            <w:r>
              <w:rPr>
                <w:sz w:val="18"/>
              </w:rPr>
              <w:t>Public</w:t>
            </w:r>
          </w:p>
        </w:tc>
        <w:tc>
          <w:tcPr>
            <w:tcW w:type="dxa" w:w="4560"/>
          </w:tcPr>
          <w:p>
            <w:pPr>
              <w:jc w:val="left"/>
            </w:pPr>
            <w:r>
              <w:rPr>
                <w:sz w:val="18"/>
              </w:rPr>
              <w:t>Freely disclosed; intended for public use; minimum security controls</w:t>
            </w:r>
          </w:p>
        </w:tc>
        <w:tc>
          <w:tcPr>
            <w:tcW w:type="dxa" w:w="4560"/>
          </w:tcPr>
          <w:p>
            <w:pPr>
              <w:jc w:val="left"/>
            </w:pPr>
            <w:r>
              <w:rPr>
                <w:sz w:val="18"/>
              </w:rPr>
              <w:t>Course catalogs, press releases, published marketing materials, regulatory filings</w:t>
            </w:r>
          </w:p>
        </w:tc>
      </w:tr>
      <w:tr>
        <w:trPr>
          <w:trHeight w:hRule="auto" w:val="0"/>
        </w:trPr>
        <w:tc>
          <w:tcPr>
            <w:tcW w:type="dxa" w:w="4560"/>
          </w:tcPr>
          <w:p>
            <w:pPr>
              <w:jc w:val="left"/>
            </w:pPr>
            <w:r>
              <w:rPr>
                <w:sz w:val="18"/>
              </w:rPr>
              <w:t>Internal</w:t>
            </w:r>
          </w:p>
        </w:tc>
        <w:tc>
          <w:tcPr>
            <w:tcW w:type="dxa" w:w="4560"/>
          </w:tcPr>
          <w:p>
            <w:pPr>
              <w:jc w:val="left"/>
            </w:pPr>
            <w:r>
              <w:rPr>
                <w:sz w:val="18"/>
              </w:rPr>
              <w:t>Limited to Stride employees; low sensitivity; internal controls apply</w:t>
            </w:r>
          </w:p>
        </w:tc>
        <w:tc>
          <w:tcPr>
            <w:tcW w:type="dxa" w:w="4560"/>
          </w:tcPr>
          <w:p>
            <w:pPr>
              <w:jc w:val="left"/>
            </w:pPr>
            <w:r>
              <w:rPr>
                <w:sz w:val="18"/>
              </w:rPr>
              <w:t>Intranet, training materials, org charts, internal emails, Stride-wide policies</w:t>
            </w:r>
          </w:p>
        </w:tc>
      </w:tr>
      <w:tr>
        <w:trPr>
          <w:trHeight w:hRule="auto" w:val="0"/>
        </w:trPr>
        <w:tc>
          <w:tcPr>
            <w:tcW w:type="dxa" w:w="4560"/>
          </w:tcPr>
          <w:p>
            <w:pPr>
              <w:jc w:val="left"/>
            </w:pPr>
            <w:r>
              <w:rPr>
                <w:sz w:val="18"/>
              </w:rPr>
              <w:t>Confidential</w:t>
            </w:r>
          </w:p>
        </w:tc>
        <w:tc>
          <w:tcPr>
            <w:tcW w:type="dxa" w:w="4560"/>
          </w:tcPr>
          <w:p>
            <w:pPr>
              <w:jc w:val="left"/>
            </w:pPr>
            <w:r>
              <w:rPr>
                <w:sz w:val="18"/>
              </w:rPr>
              <w:t>Access based on business need-to-know; medium sensitivity; confidentiality agreements</w:t>
            </w:r>
          </w:p>
        </w:tc>
        <w:tc>
          <w:tcPr>
            <w:tcW w:type="dxa" w:w="4560"/>
          </w:tcPr>
          <w:p>
            <w:pPr>
              <w:jc w:val="left"/>
            </w:pPr>
            <w:r>
              <w:rPr>
                <w:sz w:val="18"/>
              </w:rPr>
              <w:t>Non-directory student info, personnel records, non-public financial data, vendor contract data, source code</w:t>
            </w:r>
          </w:p>
        </w:tc>
      </w:tr>
      <w:tr>
        <w:trPr>
          <w:trHeight w:hRule="auto" w:val="0"/>
        </w:trPr>
        <w:tc>
          <w:tcPr>
            <w:tcW w:type="dxa" w:w="4560"/>
          </w:tcPr>
          <w:p>
            <w:pPr>
              <w:jc w:val="left"/>
            </w:pPr>
            <w:r>
              <w:rPr>
                <w:sz w:val="18"/>
              </w:rPr>
              <w:t>Restricted / Highly Protected</w:t>
            </w:r>
          </w:p>
        </w:tc>
        <w:tc>
          <w:tcPr>
            <w:tcW w:type="dxa" w:w="4560"/>
          </w:tcPr>
          <w:p>
            <w:pPr>
              <w:jc w:val="left"/>
            </w:pPr>
            <w:r>
              <w:rPr>
                <w:sz w:val="18"/>
              </w:rPr>
              <w:t>High sensitivity; strict controls; disclosure risks serious harm</w:t>
            </w:r>
          </w:p>
        </w:tc>
        <w:tc>
          <w:tcPr>
            <w:tcW w:type="dxa" w:w="4560"/>
          </w:tcPr>
          <w:p>
            <w:pPr>
              <w:jc w:val="left"/>
            </w:pPr>
            <w:r>
              <w:rPr>
                <w:sz w:val="18"/>
              </w:rPr>
              <w:t>Passwords, private keys, government IDs (SSN, passport), financial account info, HIPAA/ADA/IDEA data, biometric data, trade secrets</w:t>
            </w:r>
          </w:p>
        </w:tc>
      </w:tr>
    </w:tbl>
    <w:p/>
    <w:tbl>
      <w:tblPr>
        <w:tblStyle w:val="GridTable4-Accent1"/>
        <w:jc w:val="left"/>
        <w:tblLook w:firstColumn="1" w:firstRow="1" w:lastColumn="0" w:lastRow="0" w:noHBand="0" w:noVBand="1" w:val="04A0"/>
        <w:tblW w:type="pct" w:w="5000"/>
      </w:tblPr>
      <w:tblGrid>
        <w:gridCol w:w="6840"/>
        <w:gridCol w:w="6840"/>
      </w:tblGrid>
      <w:tr>
        <w:trPr>
          <w:trHeight w:hRule="auto" w:val="0"/>
        </w:trPr>
        <w:tc>
          <w:tcPr>
            <w:tcW w:type="dxa" w:w="6840"/>
          </w:tcPr>
          <w:p>
            <w:pPr>
              <w:jc w:val="left"/>
            </w:pPr>
            <w:r>
              <w:rPr>
                <w:b/>
                <w:sz w:val="18"/>
              </w:rPr>
              <w:t>Framework</w:t>
            </w:r>
          </w:p>
        </w:tc>
        <w:tc>
          <w:tcPr>
            <w:tcW w:type="dxa" w:w="684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PR — PROTECT</w:t>
            </w:r>
          </w:p>
        </w:tc>
      </w:tr>
      <w:tr>
        <w:trPr>
          <w:trHeight w:hRule="auto" w:val="0"/>
        </w:trPr>
        <w:tc>
          <w:tcPr>
            <w:tcW w:type="dxa" w:w="6840"/>
          </w:tcPr>
          <w:p>
            <w:pPr>
              <w:jc w:val="left"/>
            </w:pPr>
            <w:r>
              <w:rPr>
                <w:sz w:val="18"/>
              </w:rPr>
              <w:t>NIST CSF 2.0 Categories</w:t>
            </w:r>
          </w:p>
        </w:tc>
        <w:tc>
          <w:tcPr>
            <w:tcW w:type="dxa" w:w="6840"/>
          </w:tcPr>
          <w:p>
            <w:pPr>
              <w:jc w:val="left"/>
            </w:pPr>
            <w:r>
              <w:rPr>
                <w:sz w:val="18"/>
              </w:rPr>
              <w:t>PR.DS, ID.AM</w:t>
            </w:r>
          </w:p>
        </w:tc>
      </w:tr>
      <w:tr>
        <w:trPr>
          <w:trHeight w:hRule="auto" w:val="0"/>
        </w:trPr>
        <w:tc>
          <w:tcPr>
            <w:tcW w:type="dxa" w:w="6840"/>
          </w:tcPr>
          <w:p>
            <w:pPr>
              <w:jc w:val="left"/>
            </w:pPr>
            <w:r>
              <w:rPr>
                <w:sz w:val="18"/>
              </w:rPr>
              <w:t>FERPA (34 CFR Part 99)</w:t>
            </w:r>
          </w:p>
        </w:tc>
        <w:tc>
          <w:tcPr>
            <w:tcW w:type="dxa" w:w="6840"/>
          </w:tcPr>
          <w:p>
            <w:pPr>
              <w:jc w:val="left"/>
            </w:pPr>
            <w:r>
              <w:rPr>
                <w:sz w:val="18"/>
              </w:rPr>
              <w:t>§99.3, §99.37</w:t>
            </w:r>
          </w:p>
        </w:tc>
      </w:tr>
      <w:tr>
        <w:trPr>
          <w:trHeight w:hRule="auto" w:val="0"/>
        </w:trPr>
        <w:tc>
          <w:tcPr>
            <w:tcW w:type="dxa" w:w="6840"/>
          </w:tcPr>
          <w:p>
            <w:pPr>
              <w:jc w:val="left"/>
            </w:pPr>
            <w:r>
              <w:rPr>
                <w:sz w:val="18"/>
              </w:rPr>
              <w:t>SOX §404 ITGC Domains</w:t>
            </w:r>
          </w:p>
        </w:tc>
        <w:tc>
          <w:tcPr>
            <w:tcW w:type="dxa" w:w="6840"/>
          </w:tcPr>
          <w:p>
            <w:pPr>
              <w:jc w:val="left"/>
            </w:pPr>
            <w:r>
              <w:rPr>
                <w:sz w:val="18"/>
              </w:rPr>
              <w:t>Access Controls</w:t>
            </w:r>
          </w:p>
        </w:tc>
      </w:tr>
    </w:tbl>
    <w:p>
      <w:pPr>
        <w:pStyle w:val="Heading2"/>
      </w:pPr>
      <w:r>
        <w:t>STRIDE IISP 3.0 — International Travel Policy</w:t>
      </w:r>
    </w:p>
    <w:p>
      <w:r>
        <w:rPr>
          <w:b/>
          <w:i w:val="0"/>
        </w:rPr>
        <w:t>Summary:</w:t>
      </w:r>
    </w:p>
    <w:p>
      <w:pPr>
        <w:pStyle w:val="ListBullet"/>
      </w:pPr>
      <w:r>
        <w:t>Establishes security requirements for international travel with company assets.</w:t>
      </w:r>
    </w:p>
    <w:p>
      <w:pPr>
        <w:pStyle w:val="ListBullet"/>
      </w:pPr>
      <w:r>
        <w:t>Requires pre-travel risk assessment and approval for devices carrying sensitive data.</w:t>
      </w:r>
    </w:p>
    <w:p>
      <w:pPr>
        <w:pStyle w:val="ListBullet"/>
      </w:pPr>
      <w:r>
        <w:t>Mandates use of loaner/clean devices for travel to high-risk regions.</w:t>
      </w:r>
    </w:p>
    <w:p>
      <w:pPr>
        <w:pStyle w:val="ListBullet"/>
      </w:pPr>
      <w:r>
        <w:t>Requires post-travel device inspection and credential rotation.</w:t>
      </w:r>
    </w:p>
    <w:p/>
    <w:tbl>
      <w:tblPr>
        <w:tblStyle w:val="GridTable4-Accent1"/>
        <w:jc w:val="left"/>
        <w:tblLook w:firstColumn="1" w:firstRow="1" w:lastColumn="0" w:lastRow="0" w:noHBand="0" w:noVBand="1" w:val="04A0"/>
        <w:tblW w:type="pct" w:w="5000"/>
      </w:tblPr>
      <w:tblGrid>
        <w:gridCol w:w="6840"/>
        <w:gridCol w:w="6840"/>
      </w:tblGrid>
      <w:tr>
        <w:trPr>
          <w:trHeight w:hRule="auto" w:val="0"/>
        </w:trPr>
        <w:tc>
          <w:tcPr>
            <w:tcW w:type="dxa" w:w="6840"/>
          </w:tcPr>
          <w:p>
            <w:pPr>
              <w:jc w:val="left"/>
            </w:pPr>
            <w:r>
              <w:rPr>
                <w:b/>
                <w:sz w:val="18"/>
              </w:rPr>
              <w:t>Framework</w:t>
            </w:r>
          </w:p>
        </w:tc>
        <w:tc>
          <w:tcPr>
            <w:tcW w:type="dxa" w:w="684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PR — PROTECT</w:t>
            </w:r>
          </w:p>
        </w:tc>
      </w:tr>
      <w:tr>
        <w:trPr>
          <w:trHeight w:hRule="auto" w:val="0"/>
        </w:trPr>
        <w:tc>
          <w:tcPr>
            <w:tcW w:type="dxa" w:w="6840"/>
          </w:tcPr>
          <w:p>
            <w:pPr>
              <w:jc w:val="left"/>
            </w:pPr>
            <w:r>
              <w:rPr>
                <w:sz w:val="18"/>
              </w:rPr>
              <w:t>NIST CSF 2.0 Categories</w:t>
            </w:r>
          </w:p>
        </w:tc>
        <w:tc>
          <w:tcPr>
            <w:tcW w:type="dxa" w:w="6840"/>
          </w:tcPr>
          <w:p>
            <w:pPr>
              <w:jc w:val="left"/>
            </w:pPr>
            <w:r>
              <w:rPr>
                <w:sz w:val="18"/>
              </w:rPr>
              <w:t>PR.DS, PR.AA</w:t>
            </w:r>
          </w:p>
        </w:tc>
      </w:tr>
      <w:tr>
        <w:trPr>
          <w:trHeight w:hRule="auto" w:val="0"/>
        </w:trPr>
        <w:tc>
          <w:tcPr>
            <w:tcW w:type="dxa" w:w="6840"/>
          </w:tcPr>
          <w:p>
            <w:pPr>
              <w:jc w:val="left"/>
            </w:pPr>
            <w:r>
              <w:rPr>
                <w:sz w:val="18"/>
              </w:rPr>
              <w:t>FERPA (34 CFR Part 99)</w:t>
            </w:r>
          </w:p>
        </w:tc>
        <w:tc>
          <w:tcPr>
            <w:tcW w:type="dxa" w:w="6840"/>
          </w:tcPr>
          <w:p>
            <w:pPr>
              <w:jc w:val="left"/>
            </w:pPr>
            <w:r>
              <w:rPr>
                <w:sz w:val="18"/>
              </w:rPr>
              <w:t>§99.33</w:t>
            </w:r>
          </w:p>
        </w:tc>
      </w:tr>
      <w:tr>
        <w:trPr>
          <w:trHeight w:hRule="auto" w:val="0"/>
        </w:trPr>
        <w:tc>
          <w:tcPr>
            <w:tcW w:type="dxa" w:w="6840"/>
          </w:tcPr>
          <w:p>
            <w:pPr>
              <w:jc w:val="left"/>
            </w:pPr>
            <w:r>
              <w:rPr>
                <w:sz w:val="18"/>
              </w:rPr>
              <w:t>SOX §404 ITGC Domains</w:t>
            </w:r>
          </w:p>
        </w:tc>
        <w:tc>
          <w:tcPr>
            <w:tcW w:type="dxa" w:w="6840"/>
          </w:tcPr>
          <w:p>
            <w:pPr>
              <w:jc w:val="left"/>
            </w:pPr>
            <w:r>
              <w:rPr>
                <w:sz w:val="18"/>
              </w:rPr>
              <w:t>—</w:t>
            </w:r>
          </w:p>
        </w:tc>
      </w:tr>
    </w:tbl>
    <w:p>
      <w:pPr>
        <w:pStyle w:val="Heading2"/>
      </w:pPr>
      <w:r>
        <w:t>STRIDE IISP 4.0 — Acceptable Use Policy</w:t>
      </w:r>
    </w:p>
    <w:p>
      <w:r>
        <w:rPr>
          <w:b/>
          <w:i w:val="0"/>
        </w:rPr>
        <w:t>Summary:</w:t>
      </w:r>
    </w:p>
    <w:p>
      <w:pPr>
        <w:pStyle w:val="ListBullet"/>
      </w:pPr>
      <w:r>
        <w:t>Defines acceptable and responsible use of Stride's information systems and networks.</w:t>
      </w:r>
    </w:p>
    <w:p>
      <w:pPr>
        <w:pStyle w:val="ListBullet"/>
      </w:pPr>
      <w:r>
        <w:t>Applies to all employees, contractors, and authorized users of Stride technology.</w:t>
      </w:r>
    </w:p>
    <w:p>
      <w:pPr>
        <w:pStyle w:val="ListBullet"/>
      </w:pPr>
      <w:r>
        <w:t>Prohibits unauthorized access, data exfiltration, and misuse that compromises security.</w:t>
      </w:r>
    </w:p>
    <w:p>
      <w:pPr>
        <w:pStyle w:val="ListBullet"/>
      </w:pPr>
      <w:r>
        <w:t>Requires compliance with FERPA data handling obligations.</w:t>
      </w:r>
    </w:p>
    <w:p>
      <w:pPr>
        <w:pStyle w:val="ListBullet"/>
      </w:pPr>
      <w:r>
        <w:t>Establishes monitoring rights and disciplinary consequences for violations.</w:t>
      </w:r>
    </w:p>
    <w:p/>
    <w:tbl>
      <w:tblPr>
        <w:tblStyle w:val="GridTable4-Accent1"/>
        <w:jc w:val="left"/>
        <w:tblLook w:firstColumn="1" w:firstRow="1" w:lastColumn="0" w:lastRow="0" w:noHBand="0" w:noVBand="1" w:val="04A0"/>
        <w:tblW w:type="pct" w:w="5000"/>
      </w:tblPr>
      <w:tblGrid>
        <w:gridCol w:w="6840"/>
        <w:gridCol w:w="6840"/>
      </w:tblGrid>
      <w:tr>
        <w:trPr>
          <w:trHeight w:hRule="auto" w:val="0"/>
        </w:trPr>
        <w:tc>
          <w:tcPr>
            <w:tcW w:type="dxa" w:w="6840"/>
          </w:tcPr>
          <w:p>
            <w:pPr>
              <w:jc w:val="left"/>
            </w:pPr>
            <w:r>
              <w:rPr>
                <w:b/>
                <w:sz w:val="18"/>
              </w:rPr>
              <w:t>Framework</w:t>
            </w:r>
          </w:p>
        </w:tc>
        <w:tc>
          <w:tcPr>
            <w:tcW w:type="dxa" w:w="684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GV — GOVERN</w:t>
            </w:r>
          </w:p>
        </w:tc>
      </w:tr>
      <w:tr>
        <w:trPr>
          <w:trHeight w:hRule="auto" w:val="0"/>
        </w:trPr>
        <w:tc>
          <w:tcPr>
            <w:tcW w:type="dxa" w:w="6840"/>
          </w:tcPr>
          <w:p>
            <w:pPr>
              <w:jc w:val="left"/>
            </w:pPr>
            <w:r>
              <w:rPr>
                <w:sz w:val="18"/>
              </w:rPr>
              <w:t>NIST CSF 2.0 Categories</w:t>
            </w:r>
          </w:p>
        </w:tc>
        <w:tc>
          <w:tcPr>
            <w:tcW w:type="dxa" w:w="6840"/>
          </w:tcPr>
          <w:p>
            <w:pPr>
              <w:jc w:val="left"/>
            </w:pPr>
            <w:r>
              <w:rPr>
                <w:sz w:val="18"/>
              </w:rPr>
              <w:t>GV.PO, PR.AT</w:t>
            </w:r>
          </w:p>
        </w:tc>
      </w:tr>
      <w:tr>
        <w:trPr>
          <w:trHeight w:hRule="auto" w:val="0"/>
        </w:trPr>
        <w:tc>
          <w:tcPr>
            <w:tcW w:type="dxa" w:w="6840"/>
          </w:tcPr>
          <w:p>
            <w:pPr>
              <w:jc w:val="left"/>
            </w:pPr>
            <w:r>
              <w:rPr>
                <w:sz w:val="18"/>
              </w:rPr>
              <w:t>FERPA (34 CFR Part 99)</w:t>
            </w:r>
          </w:p>
        </w:tc>
        <w:tc>
          <w:tcPr>
            <w:tcW w:type="dxa" w:w="6840"/>
          </w:tcPr>
          <w:p>
            <w:pPr>
              <w:jc w:val="left"/>
            </w:pPr>
            <w:r>
              <w:rPr>
                <w:sz w:val="18"/>
              </w:rPr>
              <w:t>§99.7</w:t>
            </w:r>
          </w:p>
        </w:tc>
      </w:tr>
      <w:tr>
        <w:trPr>
          <w:trHeight w:hRule="auto" w:val="0"/>
        </w:trPr>
        <w:tc>
          <w:tcPr>
            <w:tcW w:type="dxa" w:w="6840"/>
          </w:tcPr>
          <w:p>
            <w:pPr>
              <w:jc w:val="left"/>
            </w:pPr>
            <w:r>
              <w:rPr>
                <w:sz w:val="18"/>
              </w:rPr>
              <w:t>SOX §404 ITGC Domains</w:t>
            </w:r>
          </w:p>
        </w:tc>
        <w:tc>
          <w:tcPr>
            <w:tcW w:type="dxa" w:w="6840"/>
          </w:tcPr>
          <w:p>
            <w:pPr>
              <w:jc w:val="left"/>
            </w:pPr>
            <w:r>
              <w:rPr>
                <w:sz w:val="18"/>
              </w:rPr>
              <w:t>—</w:t>
            </w:r>
          </w:p>
        </w:tc>
      </w:tr>
    </w:tbl>
    <w:p>
      <w:pPr>
        <w:pStyle w:val="Heading2"/>
      </w:pPr>
      <w:r>
        <w:t>STRIDE IISP 5.0 — Artificial Intelligence Acceptable Use Policy (AI-AUP)</w:t>
      </w:r>
    </w:p>
    <w:p>
      <w:r>
        <w:rPr>
          <w:b/>
          <w:i w:val="0"/>
        </w:rPr>
        <w:t>Summary:</w:t>
      </w:r>
    </w:p>
    <w:p>
      <w:pPr>
        <w:pStyle w:val="ListBullet"/>
      </w:pPr>
      <w:r>
        <w:t>Governs the use of Artificial Intelligence technology in Stride computing environments.</w:t>
      </w:r>
    </w:p>
    <w:p>
      <w:pPr>
        <w:pStyle w:val="ListBullet"/>
      </w:pPr>
      <w:r>
        <w:t>Requires risk assessment for AI tools that process student data or inform decisions.</w:t>
      </w:r>
    </w:p>
    <w:p>
      <w:pPr>
        <w:pStyle w:val="ListBullet"/>
      </w:pPr>
      <w:r>
        <w:t>Mandates human review of AI outputs before use in production or decision-making.</w:t>
      </w:r>
    </w:p>
    <w:p>
      <w:pPr>
        <w:pStyle w:val="ListBullet"/>
      </w:pPr>
      <w:r>
        <w:t>Prohibits input of restricted/confidential data into unapproved AI systems.</w:t>
      </w:r>
    </w:p>
    <w:p>
      <w:pPr>
        <w:pStyle w:val="ListBullet"/>
      </w:pPr>
      <w:r>
        <w:t>Requires phased deployment (crawl/walk/run) and legal review of AI vendor terms.</w:t>
      </w:r>
    </w:p>
    <w:p/>
    <w:tbl>
      <w:tblPr>
        <w:tblStyle w:val="GridTable4-Accent1"/>
        <w:jc w:val="left"/>
        <w:tblLook w:firstColumn="1" w:firstRow="1" w:lastColumn="0" w:lastRow="0" w:noHBand="0" w:noVBand="1" w:val="04A0"/>
        <w:tblW w:type="pct" w:w="5000"/>
      </w:tblPr>
      <w:tblGrid>
        <w:gridCol w:w="6840"/>
        <w:gridCol w:w="6840"/>
      </w:tblGrid>
      <w:tr>
        <w:trPr>
          <w:trHeight w:hRule="auto" w:val="0"/>
        </w:trPr>
        <w:tc>
          <w:tcPr>
            <w:tcW w:type="dxa" w:w="6840"/>
          </w:tcPr>
          <w:p>
            <w:pPr>
              <w:jc w:val="left"/>
            </w:pPr>
            <w:r>
              <w:rPr>
                <w:b/>
                <w:sz w:val="18"/>
              </w:rPr>
              <w:t>Framework</w:t>
            </w:r>
          </w:p>
        </w:tc>
        <w:tc>
          <w:tcPr>
            <w:tcW w:type="dxa" w:w="684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GV — GOVERN</w:t>
            </w:r>
          </w:p>
        </w:tc>
      </w:tr>
      <w:tr>
        <w:trPr>
          <w:trHeight w:hRule="auto" w:val="0"/>
        </w:trPr>
        <w:tc>
          <w:tcPr>
            <w:tcW w:type="dxa" w:w="6840"/>
          </w:tcPr>
          <w:p>
            <w:pPr>
              <w:jc w:val="left"/>
            </w:pPr>
            <w:r>
              <w:rPr>
                <w:sz w:val="18"/>
              </w:rPr>
              <w:t>NIST CSF 2.0 Categories</w:t>
            </w:r>
          </w:p>
        </w:tc>
        <w:tc>
          <w:tcPr>
            <w:tcW w:type="dxa" w:w="6840"/>
          </w:tcPr>
          <w:p>
            <w:pPr>
              <w:jc w:val="left"/>
            </w:pPr>
            <w:r>
              <w:rPr>
                <w:sz w:val="18"/>
              </w:rPr>
              <w:t>GV.PO, GV.RM, PR.DS</w:t>
            </w:r>
          </w:p>
        </w:tc>
      </w:tr>
      <w:tr>
        <w:trPr>
          <w:trHeight w:hRule="auto" w:val="0"/>
        </w:trPr>
        <w:tc>
          <w:tcPr>
            <w:tcW w:type="dxa" w:w="6840"/>
          </w:tcPr>
          <w:p>
            <w:pPr>
              <w:jc w:val="left"/>
            </w:pPr>
            <w:r>
              <w:rPr>
                <w:sz w:val="18"/>
              </w:rPr>
              <w:t>FERPA (34 CFR Part 99)</w:t>
            </w:r>
          </w:p>
        </w:tc>
        <w:tc>
          <w:tcPr>
            <w:tcW w:type="dxa" w:w="6840"/>
          </w:tcPr>
          <w:p>
            <w:pPr>
              <w:jc w:val="left"/>
            </w:pPr>
            <w:r>
              <w:rPr>
                <w:sz w:val="18"/>
              </w:rPr>
              <w:t>§99.30, §99.31</w:t>
            </w:r>
          </w:p>
        </w:tc>
      </w:tr>
      <w:tr>
        <w:trPr>
          <w:trHeight w:hRule="auto" w:val="0"/>
        </w:trPr>
        <w:tc>
          <w:tcPr>
            <w:tcW w:type="dxa" w:w="6840"/>
          </w:tcPr>
          <w:p>
            <w:pPr>
              <w:jc w:val="left"/>
            </w:pPr>
            <w:r>
              <w:rPr>
                <w:sz w:val="18"/>
              </w:rPr>
              <w:t>SOX §404 ITGC Domains</w:t>
            </w:r>
          </w:p>
        </w:tc>
        <w:tc>
          <w:tcPr>
            <w:tcW w:type="dxa" w:w="6840"/>
          </w:tcPr>
          <w:p>
            <w:pPr>
              <w:jc w:val="left"/>
            </w:pPr>
            <w:r>
              <w:rPr>
                <w:sz w:val="18"/>
              </w:rPr>
              <w:t>Program Development</w:t>
            </w:r>
          </w:p>
        </w:tc>
      </w:tr>
    </w:tbl>
    <w:p>
      <w:pPr>
        <w:pStyle w:val="Heading2"/>
      </w:pPr>
      <w:r>
        <w:rPr>
          <w:color w:val="C62828"/>
        </w:rPr>
        <w:t>STRIDE IISP 6.0 — [RESERVED — Policy Not Yet Published]</w:t>
      </w:r>
    </w:p>
    <w:p>
      <w:r>
        <w:rPr>
          <w:b w:val="0"/>
          <w:i/>
          <w:color w:val="C62828"/>
        </w:rPr>
        <w:t>This policy number is reserved but has not yet been published. This represents a gap in the current policy framework.</w:t>
      </w:r>
    </w:p>
    <w:p/>
    <w:tbl>
      <w:tblPr>
        <w:tblStyle w:val="GridTable4-Accent1"/>
        <w:jc w:val="left"/>
        <w:tblLook w:firstColumn="1" w:firstRow="1" w:lastColumn="0" w:lastRow="0" w:noHBand="0" w:noVBand="1" w:val="04A0"/>
        <w:tblW w:type="pct" w:w="5000"/>
      </w:tblPr>
      <w:tblGrid>
        <w:gridCol w:w="6840"/>
        <w:gridCol w:w="6840"/>
      </w:tblGrid>
      <w:tr>
        <w:trPr>
          <w:trHeight w:hRule="auto" w:val="0"/>
        </w:trPr>
        <w:tc>
          <w:tcPr>
            <w:tcW w:type="dxa" w:w="6840"/>
          </w:tcPr>
          <w:p>
            <w:pPr>
              <w:jc w:val="left"/>
            </w:pPr>
            <w:r>
              <w:rPr>
                <w:b/>
                <w:sz w:val="18"/>
              </w:rPr>
              <w:t>Framework</w:t>
            </w:r>
          </w:p>
        </w:tc>
        <w:tc>
          <w:tcPr>
            <w:tcW w:type="dxa" w:w="684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 — —</w:t>
            </w:r>
          </w:p>
        </w:tc>
      </w:tr>
      <w:tr>
        <w:trPr>
          <w:trHeight w:hRule="auto" w:val="0"/>
        </w:trPr>
        <w:tc>
          <w:tcPr>
            <w:tcW w:type="dxa" w:w="6840"/>
          </w:tcPr>
          <w:p>
            <w:pPr>
              <w:jc w:val="left"/>
            </w:pPr>
            <w:r>
              <w:rPr>
                <w:sz w:val="18"/>
              </w:rPr>
              <w:t>NIST CSF 2.0 Categories</w:t>
            </w:r>
          </w:p>
        </w:tc>
        <w:tc>
          <w:tcPr>
            <w:tcW w:type="dxa" w:w="6840"/>
          </w:tcPr>
          <w:p>
            <w:pPr>
              <w:jc w:val="left"/>
            </w:pPr>
            <w:r>
              <w:rPr>
                <w:sz w:val="18"/>
              </w:rPr>
              <w:t>—</w:t>
            </w:r>
          </w:p>
        </w:tc>
      </w:tr>
      <w:tr>
        <w:trPr>
          <w:trHeight w:hRule="auto" w:val="0"/>
        </w:trPr>
        <w:tc>
          <w:tcPr>
            <w:tcW w:type="dxa" w:w="6840"/>
          </w:tcPr>
          <w:p>
            <w:pPr>
              <w:jc w:val="left"/>
            </w:pPr>
            <w:r>
              <w:rPr>
                <w:sz w:val="18"/>
              </w:rPr>
              <w:t>FERPA (34 CFR Part 99)</w:t>
            </w:r>
          </w:p>
        </w:tc>
        <w:tc>
          <w:tcPr>
            <w:tcW w:type="dxa" w:w="6840"/>
          </w:tcPr>
          <w:p>
            <w:pPr>
              <w:jc w:val="left"/>
            </w:pPr>
            <w:r>
              <w:rPr>
                <w:sz w:val="18"/>
              </w:rPr>
              <w:t>—</w:t>
            </w:r>
          </w:p>
        </w:tc>
      </w:tr>
      <w:tr>
        <w:trPr>
          <w:trHeight w:hRule="auto" w:val="0"/>
        </w:trPr>
        <w:tc>
          <w:tcPr>
            <w:tcW w:type="dxa" w:w="6840"/>
          </w:tcPr>
          <w:p>
            <w:pPr>
              <w:jc w:val="left"/>
            </w:pPr>
            <w:r>
              <w:rPr>
                <w:sz w:val="18"/>
              </w:rPr>
              <w:t>SOX §404 ITGC Domains</w:t>
            </w:r>
          </w:p>
        </w:tc>
        <w:tc>
          <w:tcPr>
            <w:tcW w:type="dxa" w:w="6840"/>
          </w:tcPr>
          <w:p>
            <w:pPr>
              <w:jc w:val="left"/>
            </w:pPr>
            <w:r>
              <w:rPr>
                <w:sz w:val="18"/>
              </w:rPr>
              <w:t>—</w:t>
            </w:r>
          </w:p>
        </w:tc>
      </w:tr>
    </w:tbl>
    <w:p>
      <w:pPr>
        <w:pStyle w:val="Heading2"/>
      </w:pPr>
      <w:r>
        <w:t>STRIDE IISP 7.0 — Vulnerability Management Policy</w:t>
      </w:r>
    </w:p>
    <w:p>
      <w:r>
        <w:rPr>
          <w:b/>
          <w:i w:val="0"/>
        </w:rPr>
        <w:t>Summary:</w:t>
      </w:r>
    </w:p>
    <w:p>
      <w:pPr>
        <w:pStyle w:val="ListBullet"/>
      </w:pPr>
      <w:r>
        <w:t>Establishes a comprehensive vulnerability management program.</w:t>
      </w:r>
    </w:p>
    <w:p>
      <w:pPr>
        <w:pStyle w:val="ListBullet"/>
      </w:pPr>
      <w:r>
        <w:t>Requires regular vulnerability scanning (authenticated, weekly for critical systems).</w:t>
      </w:r>
    </w:p>
    <w:p>
      <w:pPr>
        <w:pStyle w:val="ListBullet"/>
      </w:pPr>
      <w:r>
        <w:t>Defines remediation SLAs: 7 days critical, 30 days high, 90 days medium.</w:t>
      </w:r>
    </w:p>
    <w:p>
      <w:pPr>
        <w:pStyle w:val="ListBullet"/>
      </w:pPr>
      <w:r>
        <w:t>Mandates integration with change management for security patches.</w:t>
      </w:r>
    </w:p>
    <w:p>
      <w:pPr>
        <w:pStyle w:val="ListBullet"/>
      </w:pPr>
      <w:r>
        <w:t>Requires vulnerability metrics reporting to CISO and governance bodies.</w:t>
      </w:r>
    </w:p>
    <w:p/>
    <w:tbl>
      <w:tblPr>
        <w:tblStyle w:val="GridTable4-Accent1"/>
        <w:jc w:val="left"/>
        <w:tblLook w:firstColumn="1" w:firstRow="1" w:lastColumn="0" w:lastRow="0" w:noHBand="0" w:noVBand="1" w:val="04A0"/>
        <w:tblW w:type="pct" w:w="5000"/>
      </w:tblPr>
      <w:tblGrid>
        <w:gridCol w:w="6840"/>
        <w:gridCol w:w="6840"/>
      </w:tblGrid>
      <w:tr>
        <w:trPr>
          <w:trHeight w:hRule="auto" w:val="0"/>
        </w:trPr>
        <w:tc>
          <w:tcPr>
            <w:tcW w:type="dxa" w:w="6840"/>
          </w:tcPr>
          <w:p>
            <w:pPr>
              <w:jc w:val="left"/>
            </w:pPr>
            <w:r>
              <w:rPr>
                <w:b/>
                <w:sz w:val="18"/>
              </w:rPr>
              <w:t>Framework</w:t>
            </w:r>
          </w:p>
        </w:tc>
        <w:tc>
          <w:tcPr>
            <w:tcW w:type="dxa" w:w="684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ID — IDENTIFY</w:t>
            </w:r>
          </w:p>
        </w:tc>
      </w:tr>
      <w:tr>
        <w:trPr>
          <w:trHeight w:hRule="auto" w:val="0"/>
        </w:trPr>
        <w:tc>
          <w:tcPr>
            <w:tcW w:type="dxa" w:w="6840"/>
          </w:tcPr>
          <w:p>
            <w:pPr>
              <w:jc w:val="left"/>
            </w:pPr>
            <w:r>
              <w:rPr>
                <w:sz w:val="18"/>
              </w:rPr>
              <w:t>NIST CSF 2.0 Categories</w:t>
            </w:r>
          </w:p>
        </w:tc>
        <w:tc>
          <w:tcPr>
            <w:tcW w:type="dxa" w:w="6840"/>
          </w:tcPr>
          <w:p>
            <w:pPr>
              <w:jc w:val="left"/>
            </w:pPr>
            <w:r>
              <w:rPr>
                <w:sz w:val="18"/>
              </w:rPr>
              <w:t>ID.RA, DE.CM</w:t>
            </w:r>
          </w:p>
        </w:tc>
      </w:tr>
      <w:tr>
        <w:trPr>
          <w:trHeight w:hRule="auto" w:val="0"/>
        </w:trPr>
        <w:tc>
          <w:tcPr>
            <w:tcW w:type="dxa" w:w="6840"/>
          </w:tcPr>
          <w:p>
            <w:pPr>
              <w:jc w:val="left"/>
            </w:pPr>
            <w:r>
              <w:rPr>
                <w:sz w:val="18"/>
              </w:rPr>
              <w:t>FERPA (34 CFR Part 99)</w:t>
            </w:r>
          </w:p>
        </w:tc>
        <w:tc>
          <w:tcPr>
            <w:tcW w:type="dxa" w:w="6840"/>
          </w:tcPr>
          <w:p>
            <w:pPr>
              <w:jc w:val="left"/>
            </w:pPr>
            <w:r>
              <w:rPr>
                <w:sz w:val="18"/>
              </w:rPr>
              <w:t>—</w:t>
            </w:r>
          </w:p>
        </w:tc>
      </w:tr>
      <w:tr>
        <w:trPr>
          <w:trHeight w:hRule="auto" w:val="0"/>
        </w:trPr>
        <w:tc>
          <w:tcPr>
            <w:tcW w:type="dxa" w:w="6840"/>
          </w:tcPr>
          <w:p>
            <w:pPr>
              <w:jc w:val="left"/>
            </w:pPr>
            <w:r>
              <w:rPr>
                <w:sz w:val="18"/>
              </w:rPr>
              <w:t>SOX §404 ITGC Domains</w:t>
            </w:r>
          </w:p>
        </w:tc>
        <w:tc>
          <w:tcPr>
            <w:tcW w:type="dxa" w:w="6840"/>
          </w:tcPr>
          <w:p>
            <w:pPr>
              <w:jc w:val="left"/>
            </w:pPr>
            <w:r>
              <w:rPr>
                <w:sz w:val="18"/>
              </w:rPr>
              <w:t>Change Management</w:t>
            </w:r>
          </w:p>
        </w:tc>
      </w:tr>
    </w:tbl>
    <w:p>
      <w:pPr>
        <w:pStyle w:val="Heading2"/>
      </w:pPr>
      <w:r>
        <w:t>STRIDE IISP 8.0 — Non-Employee Acceptable Use</w:t>
      </w:r>
    </w:p>
    <w:p>
      <w:r>
        <w:rPr>
          <w:b/>
          <w:i w:val="0"/>
        </w:rPr>
        <w:t>Summary:</w:t>
      </w:r>
    </w:p>
    <w:p>
      <w:pPr>
        <w:pStyle w:val="ListBullet"/>
      </w:pPr>
      <w:r>
        <w:t>Defines minimum security and privacy requirements for non-employee system access.</w:t>
      </w:r>
    </w:p>
    <w:p>
      <w:pPr>
        <w:pStyle w:val="ListBullet"/>
      </w:pPr>
      <w:r>
        <w:t>Applies to contractors, consultants, vendors, and other third-party personnel.</w:t>
      </w:r>
    </w:p>
    <w:p>
      <w:pPr>
        <w:pStyle w:val="ListBullet"/>
      </w:pPr>
      <w:r>
        <w:t>Requires signed acceptable use agreements before granting any system access.</w:t>
      </w:r>
    </w:p>
    <w:p>
      <w:pPr>
        <w:pStyle w:val="ListBullet"/>
      </w:pPr>
      <w:r>
        <w:t>Mandates access reviews and prompt deprovisioning upon engagement termination.</w:t>
      </w:r>
    </w:p>
    <w:p>
      <w:pPr>
        <w:pStyle w:val="ListBullet"/>
      </w:pPr>
      <w:r>
        <w:t>Prohibits access to education records unless authorized under FERPA exceptions.</w:t>
      </w:r>
    </w:p>
    <w:p/>
    <w:tbl>
      <w:tblPr>
        <w:tblStyle w:val="GridTable4-Accent1"/>
        <w:jc w:val="left"/>
        <w:tblLook w:firstColumn="1" w:firstRow="1" w:lastColumn="0" w:lastRow="0" w:noHBand="0" w:noVBand="1" w:val="04A0"/>
        <w:tblW w:type="pct" w:w="5000"/>
      </w:tblPr>
      <w:tblGrid>
        <w:gridCol w:w="6840"/>
        <w:gridCol w:w="6840"/>
      </w:tblGrid>
      <w:tr>
        <w:trPr>
          <w:trHeight w:hRule="auto" w:val="0"/>
        </w:trPr>
        <w:tc>
          <w:tcPr>
            <w:tcW w:type="dxa" w:w="6840"/>
          </w:tcPr>
          <w:p>
            <w:pPr>
              <w:jc w:val="left"/>
            </w:pPr>
            <w:r>
              <w:rPr>
                <w:b/>
                <w:sz w:val="18"/>
              </w:rPr>
              <w:t>Framework</w:t>
            </w:r>
          </w:p>
        </w:tc>
        <w:tc>
          <w:tcPr>
            <w:tcW w:type="dxa" w:w="684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GV — GOVERN</w:t>
            </w:r>
          </w:p>
        </w:tc>
      </w:tr>
      <w:tr>
        <w:trPr>
          <w:trHeight w:hRule="auto" w:val="0"/>
        </w:trPr>
        <w:tc>
          <w:tcPr>
            <w:tcW w:type="dxa" w:w="6840"/>
          </w:tcPr>
          <w:p>
            <w:pPr>
              <w:jc w:val="left"/>
            </w:pPr>
            <w:r>
              <w:rPr>
                <w:sz w:val="18"/>
              </w:rPr>
              <w:t>NIST CSF 2.0 Categories</w:t>
            </w:r>
          </w:p>
        </w:tc>
        <w:tc>
          <w:tcPr>
            <w:tcW w:type="dxa" w:w="6840"/>
          </w:tcPr>
          <w:p>
            <w:pPr>
              <w:jc w:val="left"/>
            </w:pPr>
            <w:r>
              <w:rPr>
                <w:sz w:val="18"/>
              </w:rPr>
              <w:t>GV.PO, PR.AA</w:t>
            </w:r>
          </w:p>
        </w:tc>
      </w:tr>
      <w:tr>
        <w:trPr>
          <w:trHeight w:hRule="auto" w:val="0"/>
        </w:trPr>
        <w:tc>
          <w:tcPr>
            <w:tcW w:type="dxa" w:w="6840"/>
          </w:tcPr>
          <w:p>
            <w:pPr>
              <w:jc w:val="left"/>
            </w:pPr>
            <w:r>
              <w:rPr>
                <w:sz w:val="18"/>
              </w:rPr>
              <w:t>FERPA (34 CFR Part 99)</w:t>
            </w:r>
          </w:p>
        </w:tc>
        <w:tc>
          <w:tcPr>
            <w:tcW w:type="dxa" w:w="6840"/>
          </w:tcPr>
          <w:p>
            <w:pPr>
              <w:jc w:val="left"/>
            </w:pPr>
            <w:r>
              <w:rPr>
                <w:sz w:val="18"/>
              </w:rPr>
              <w:t>§99.31</w:t>
            </w:r>
          </w:p>
        </w:tc>
      </w:tr>
      <w:tr>
        <w:trPr>
          <w:trHeight w:hRule="auto" w:val="0"/>
        </w:trPr>
        <w:tc>
          <w:tcPr>
            <w:tcW w:type="dxa" w:w="6840"/>
          </w:tcPr>
          <w:p>
            <w:pPr>
              <w:jc w:val="left"/>
            </w:pPr>
            <w:r>
              <w:rPr>
                <w:sz w:val="18"/>
              </w:rPr>
              <w:t>SOX §404 ITGC Domains</w:t>
            </w:r>
          </w:p>
        </w:tc>
        <w:tc>
          <w:tcPr>
            <w:tcW w:type="dxa" w:w="6840"/>
          </w:tcPr>
          <w:p>
            <w:pPr>
              <w:jc w:val="left"/>
            </w:pPr>
            <w:r>
              <w:rPr>
                <w:sz w:val="18"/>
              </w:rPr>
              <w:t>Access Controls</w:t>
            </w:r>
          </w:p>
        </w:tc>
      </w:tr>
    </w:tbl>
    <w:p>
      <w:pPr>
        <w:pStyle w:val="Heading2"/>
      </w:pPr>
      <w:r>
        <w:t>STRIDE IISP 9.0 — Secure Software Development Policy</w:t>
      </w:r>
    </w:p>
    <w:p>
      <w:r>
        <w:rPr>
          <w:b/>
          <w:i w:val="0"/>
        </w:rPr>
        <w:t>Summary:</w:t>
      </w:r>
    </w:p>
    <w:p>
      <w:pPr>
        <w:pStyle w:val="ListBullet"/>
      </w:pPr>
      <w:r>
        <w:t>Defines mandatory requirements for secure software development and acquisition.</w:t>
      </w:r>
    </w:p>
    <w:p>
      <w:pPr>
        <w:pStyle w:val="ListBullet"/>
      </w:pPr>
      <w:r>
        <w:t>Requires SAST, DAST, and SCA testing integrated into the CI/CD pipeline.</w:t>
      </w:r>
    </w:p>
    <w:p>
      <w:pPr>
        <w:pStyle w:val="ListBullet"/>
      </w:pPr>
      <w:r>
        <w:t>Mandates peer code review and security gates at each SDLC phase.</w:t>
      </w:r>
    </w:p>
    <w:p>
      <w:pPr>
        <w:pStyle w:val="ListBullet"/>
      </w:pPr>
      <w:r>
        <w:t>Establishes secure coding standards and developer security training requirements.</w:t>
      </w:r>
    </w:p>
    <w:p>
      <w:pPr>
        <w:pStyle w:val="ListBullet"/>
      </w:pPr>
      <w:r>
        <w:t>Requires environment segregation per SOX §404 ITGC.</w:t>
      </w:r>
    </w:p>
    <w:p/>
    <w:tbl>
      <w:tblPr>
        <w:tblStyle w:val="GridTable4-Accent1"/>
        <w:jc w:val="left"/>
        <w:tblLook w:firstColumn="1" w:firstRow="1" w:lastColumn="0" w:lastRow="0" w:noHBand="0" w:noVBand="1" w:val="04A0"/>
        <w:tblW w:type="pct" w:w="5000"/>
      </w:tblPr>
      <w:tblGrid>
        <w:gridCol w:w="6840"/>
        <w:gridCol w:w="6840"/>
      </w:tblGrid>
      <w:tr>
        <w:trPr>
          <w:trHeight w:hRule="auto" w:val="0"/>
        </w:trPr>
        <w:tc>
          <w:tcPr>
            <w:tcW w:type="dxa" w:w="6840"/>
          </w:tcPr>
          <w:p>
            <w:pPr>
              <w:jc w:val="left"/>
            </w:pPr>
            <w:r>
              <w:rPr>
                <w:b/>
                <w:sz w:val="18"/>
              </w:rPr>
              <w:t>Framework</w:t>
            </w:r>
          </w:p>
        </w:tc>
        <w:tc>
          <w:tcPr>
            <w:tcW w:type="dxa" w:w="684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PR — PROTECT</w:t>
            </w:r>
          </w:p>
        </w:tc>
      </w:tr>
      <w:tr>
        <w:trPr>
          <w:trHeight w:hRule="auto" w:val="0"/>
        </w:trPr>
        <w:tc>
          <w:tcPr>
            <w:tcW w:type="dxa" w:w="6840"/>
          </w:tcPr>
          <w:p>
            <w:pPr>
              <w:jc w:val="left"/>
            </w:pPr>
            <w:r>
              <w:rPr>
                <w:sz w:val="18"/>
              </w:rPr>
              <w:t>NIST CSF 2.0 Categories</w:t>
            </w:r>
          </w:p>
        </w:tc>
        <w:tc>
          <w:tcPr>
            <w:tcW w:type="dxa" w:w="6840"/>
          </w:tcPr>
          <w:p>
            <w:pPr>
              <w:jc w:val="left"/>
            </w:pPr>
            <w:r>
              <w:rPr>
                <w:sz w:val="18"/>
              </w:rPr>
              <w:t>PR.PS</w:t>
            </w:r>
          </w:p>
        </w:tc>
      </w:tr>
      <w:tr>
        <w:trPr>
          <w:trHeight w:hRule="auto" w:val="0"/>
        </w:trPr>
        <w:tc>
          <w:tcPr>
            <w:tcW w:type="dxa" w:w="6840"/>
          </w:tcPr>
          <w:p>
            <w:pPr>
              <w:jc w:val="left"/>
            </w:pPr>
            <w:r>
              <w:rPr>
                <w:sz w:val="18"/>
              </w:rPr>
              <w:t>FERPA (34 CFR Part 99)</w:t>
            </w:r>
          </w:p>
        </w:tc>
        <w:tc>
          <w:tcPr>
            <w:tcW w:type="dxa" w:w="6840"/>
          </w:tcPr>
          <w:p>
            <w:pPr>
              <w:jc w:val="left"/>
            </w:pPr>
            <w:r>
              <w:rPr>
                <w:sz w:val="18"/>
              </w:rPr>
              <w:t>—</w:t>
            </w:r>
          </w:p>
        </w:tc>
      </w:tr>
      <w:tr>
        <w:trPr>
          <w:trHeight w:hRule="auto" w:val="0"/>
        </w:trPr>
        <w:tc>
          <w:tcPr>
            <w:tcW w:type="dxa" w:w="6840"/>
          </w:tcPr>
          <w:p>
            <w:pPr>
              <w:jc w:val="left"/>
            </w:pPr>
            <w:r>
              <w:rPr>
                <w:sz w:val="18"/>
              </w:rPr>
              <w:t>SOX §404 ITGC Domains</w:t>
            </w:r>
          </w:p>
        </w:tc>
        <w:tc>
          <w:tcPr>
            <w:tcW w:type="dxa" w:w="6840"/>
          </w:tcPr>
          <w:p>
            <w:pPr>
              <w:jc w:val="left"/>
            </w:pPr>
            <w:r>
              <w:rPr>
                <w:sz w:val="18"/>
              </w:rPr>
              <w:t>Program Development, Change Management</w:t>
            </w:r>
          </w:p>
        </w:tc>
      </w:tr>
    </w:tbl>
    <w:p>
      <w:pPr>
        <w:pStyle w:val="Heading2"/>
      </w:pPr>
      <w:r>
        <w:t>STRIDE IISP 10.0 — Forensics Handling of Sensitive Matters</w:t>
      </w:r>
    </w:p>
    <w:p>
      <w:r>
        <w:rPr>
          <w:b/>
          <w:i w:val="0"/>
        </w:rPr>
        <w:t>Summary:</w:t>
      </w:r>
    </w:p>
    <w:p>
      <w:pPr>
        <w:pStyle w:val="ListBullet"/>
      </w:pPr>
      <w:r>
        <w:t>Establishes requirements for forensic handling of digital devices and data.</w:t>
      </w:r>
    </w:p>
    <w:p>
      <w:pPr>
        <w:pStyle w:val="ListBullet"/>
      </w:pPr>
      <w:r>
        <w:t>Applies to legal, HR, regulatory, and law enforcement investigations.</w:t>
      </w:r>
    </w:p>
    <w:p>
      <w:pPr>
        <w:pStyle w:val="ListBullet"/>
      </w:pPr>
      <w:r>
        <w:t>Requires chain-of-custody documentation and evidence integrity controls.</w:t>
      </w:r>
    </w:p>
    <w:p>
      <w:pPr>
        <w:pStyle w:val="ListBullet"/>
      </w:pPr>
      <w:r>
        <w:t>Mandates qualified forensic examiners and approved tools for evidence collection.</w:t>
      </w:r>
    </w:p>
    <w:p>
      <w:pPr>
        <w:pStyle w:val="ListBullet"/>
      </w:pPr>
      <w:r>
        <w:t>Prohibits modification of potential evidence prior to formal preservation.</w:t>
      </w:r>
    </w:p>
    <w:p/>
    <w:tbl>
      <w:tblPr>
        <w:tblStyle w:val="GridTable4-Accent1"/>
        <w:jc w:val="left"/>
        <w:tblLook w:firstColumn="1" w:firstRow="1" w:lastColumn="0" w:lastRow="0" w:noHBand="0" w:noVBand="1" w:val="04A0"/>
        <w:tblW w:type="pct" w:w="5000"/>
      </w:tblPr>
      <w:tblGrid>
        <w:gridCol w:w="6840"/>
        <w:gridCol w:w="6840"/>
      </w:tblGrid>
      <w:tr>
        <w:trPr>
          <w:trHeight w:hRule="auto" w:val="0"/>
        </w:trPr>
        <w:tc>
          <w:tcPr>
            <w:tcW w:type="dxa" w:w="6840"/>
          </w:tcPr>
          <w:p>
            <w:pPr>
              <w:jc w:val="left"/>
            </w:pPr>
            <w:r>
              <w:rPr>
                <w:b/>
                <w:sz w:val="18"/>
              </w:rPr>
              <w:t>Framework</w:t>
            </w:r>
          </w:p>
        </w:tc>
        <w:tc>
          <w:tcPr>
            <w:tcW w:type="dxa" w:w="684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RS — RESPOND</w:t>
            </w:r>
          </w:p>
        </w:tc>
      </w:tr>
      <w:tr>
        <w:trPr>
          <w:trHeight w:hRule="auto" w:val="0"/>
        </w:trPr>
        <w:tc>
          <w:tcPr>
            <w:tcW w:type="dxa" w:w="6840"/>
          </w:tcPr>
          <w:p>
            <w:pPr>
              <w:jc w:val="left"/>
            </w:pPr>
            <w:r>
              <w:rPr>
                <w:sz w:val="18"/>
              </w:rPr>
              <w:t>NIST CSF 2.0 Categories</w:t>
            </w:r>
          </w:p>
        </w:tc>
        <w:tc>
          <w:tcPr>
            <w:tcW w:type="dxa" w:w="6840"/>
          </w:tcPr>
          <w:p>
            <w:pPr>
              <w:jc w:val="left"/>
            </w:pPr>
            <w:r>
              <w:rPr>
                <w:sz w:val="18"/>
              </w:rPr>
              <w:t>RS.AN, RS.MA</w:t>
            </w:r>
          </w:p>
        </w:tc>
      </w:tr>
      <w:tr>
        <w:trPr>
          <w:trHeight w:hRule="auto" w:val="0"/>
        </w:trPr>
        <w:tc>
          <w:tcPr>
            <w:tcW w:type="dxa" w:w="6840"/>
          </w:tcPr>
          <w:p>
            <w:pPr>
              <w:jc w:val="left"/>
            </w:pPr>
            <w:r>
              <w:rPr>
                <w:sz w:val="18"/>
              </w:rPr>
              <w:t>FERPA (34 CFR Part 99)</w:t>
            </w:r>
          </w:p>
        </w:tc>
        <w:tc>
          <w:tcPr>
            <w:tcW w:type="dxa" w:w="6840"/>
          </w:tcPr>
          <w:p>
            <w:pPr>
              <w:jc w:val="left"/>
            </w:pPr>
            <w:r>
              <w:rPr>
                <w:sz w:val="18"/>
              </w:rPr>
              <w:t>§99.31, §99.36</w:t>
            </w:r>
          </w:p>
        </w:tc>
      </w:tr>
      <w:tr>
        <w:trPr>
          <w:trHeight w:hRule="auto" w:val="0"/>
        </w:trPr>
        <w:tc>
          <w:tcPr>
            <w:tcW w:type="dxa" w:w="6840"/>
          </w:tcPr>
          <w:p>
            <w:pPr>
              <w:jc w:val="left"/>
            </w:pPr>
            <w:r>
              <w:rPr>
                <w:sz w:val="18"/>
              </w:rPr>
              <w:t>SOX §404 ITGC Domains</w:t>
            </w:r>
          </w:p>
        </w:tc>
        <w:tc>
          <w:tcPr>
            <w:tcW w:type="dxa" w:w="6840"/>
          </w:tcPr>
          <w:p>
            <w:pPr>
              <w:jc w:val="left"/>
            </w:pPr>
            <w:r>
              <w:rPr>
                <w:sz w:val="18"/>
              </w:rPr>
              <w:t>—</w:t>
            </w:r>
          </w:p>
        </w:tc>
      </w:tr>
    </w:tbl>
    <w:p>
      <w:r>
        <w:br w:type="page"/>
      </w:r>
    </w:p>
    <w:p>
      <w:pPr>
        <w:pStyle w:val="Heading1"/>
      </w:pPr>
      <w:r>
        <w:t>APPENDIX A — FERPA (34 CFR Part 99) Reverse Mapping</w:t>
      </w:r>
    </w:p>
    <w:tbl>
      <w:tblPr>
        <w:tblStyle w:val="GridTable4-Accent1"/>
        <w:jc w:val="left"/>
        <w:tblLook w:firstColumn="1" w:firstRow="1" w:lastColumn="0" w:lastRow="0" w:noHBand="0" w:noVBand="1" w:val="04A0"/>
        <w:tblW w:type="pct" w:w="5000"/>
      </w:tblPr>
      <w:tblGrid>
        <w:gridCol w:w="4560"/>
        <w:gridCol w:w="4560"/>
        <w:gridCol w:w="4560"/>
      </w:tblGrid>
      <w:tr>
        <w:trPr>
          <w:trHeight w:hRule="auto" w:val="0"/>
        </w:trPr>
        <w:tc>
          <w:tcPr>
            <w:tcW w:type="dxa" w:w="4560"/>
          </w:tcPr>
          <w:p>
            <w:pPr>
              <w:jc w:val="left"/>
            </w:pPr>
            <w:r>
              <w:rPr>
                <w:b/>
                <w:sz w:val="18"/>
              </w:rPr>
              <w:t>Section</w:t>
            </w:r>
          </w:p>
        </w:tc>
        <w:tc>
          <w:tcPr>
            <w:tcW w:type="dxa" w:w="4560"/>
          </w:tcPr>
          <w:p>
            <w:pPr>
              <w:jc w:val="left"/>
            </w:pPr>
            <w:r>
              <w:rPr>
                <w:b/>
                <w:sz w:val="18"/>
              </w:rPr>
              <w:t>Description</w:t>
            </w:r>
          </w:p>
        </w:tc>
        <w:tc>
          <w:tcPr>
            <w:tcW w:type="dxa" w:w="4560"/>
          </w:tcPr>
          <w:p>
            <w:pPr>
              <w:jc w:val="left"/>
            </w:pPr>
            <w:r>
              <w:rPr>
                <w:b/>
                <w:sz w:val="18"/>
              </w:rPr>
              <w:t>Stride Policies</w:t>
            </w:r>
          </w:p>
        </w:tc>
      </w:tr>
      <w:tr>
        <w:trPr>
          <w:trHeight w:hRule="auto" w:val="0"/>
        </w:trPr>
        <w:tc>
          <w:tcPr>
            <w:tcW w:type="dxa" w:w="4560"/>
          </w:tcPr>
          <w:p>
            <w:pPr>
              <w:jc w:val="left"/>
            </w:pPr>
            <w:r>
              <w:rPr>
                <w:sz w:val="18"/>
              </w:rPr>
              <w:t>§99.1</w:t>
            </w:r>
          </w:p>
        </w:tc>
        <w:tc>
          <w:tcPr>
            <w:tcW w:type="dxa" w:w="4560"/>
          </w:tcPr>
          <w:p>
            <w:pPr>
              <w:jc w:val="left"/>
            </w:pPr>
            <w:r>
              <w:rPr>
                <w:sz w:val="18"/>
              </w:rPr>
              <w:t>Purpose — To set forth requirements for the protection of privacy of parents and students under FERPA</w:t>
            </w:r>
          </w:p>
        </w:tc>
        <w:tc>
          <w:tcPr>
            <w:tcW w:type="dxa" w:w="4560"/>
          </w:tcPr>
          <w:p>
            <w:pPr>
              <w:jc w:val="left"/>
            </w:pPr>
            <w:r>
              <w:rPr>
                <w:sz w:val="18"/>
              </w:rPr>
              <w:t>ISP 1.0</w:t>
            </w:r>
          </w:p>
        </w:tc>
      </w:tr>
      <w:tr>
        <w:trPr>
          <w:trHeight w:hRule="auto" w:val="0"/>
        </w:trPr>
        <w:tc>
          <w:tcPr>
            <w:tcW w:type="dxa" w:w="4560"/>
          </w:tcPr>
          <w:p>
            <w:pPr>
              <w:jc w:val="left"/>
            </w:pPr>
            <w:r>
              <w:rPr>
                <w:sz w:val="18"/>
              </w:rPr>
              <w:t>§99.2</w:t>
            </w:r>
          </w:p>
        </w:tc>
        <w:tc>
          <w:tcPr>
            <w:tcW w:type="dxa" w:w="4560"/>
          </w:tcPr>
          <w:p>
            <w:pPr>
              <w:jc w:val="left"/>
            </w:pPr>
            <w:r>
              <w:rPr>
                <w:sz w:val="18"/>
              </w:rPr>
              <w:t>Applicability — Applies to all educational agencies receiving DOE funding</w:t>
            </w:r>
          </w:p>
        </w:tc>
        <w:tc>
          <w:tcPr>
            <w:tcW w:type="dxa" w:w="4560"/>
          </w:tcPr>
          <w:p>
            <w:pPr>
              <w:jc w:val="left"/>
            </w:pPr>
            <w:r>
              <w:rPr>
                <w:sz w:val="18"/>
              </w:rPr>
              <w:t>ISP 1.0, ISP 2.1</w:t>
            </w:r>
          </w:p>
        </w:tc>
      </w:tr>
      <w:tr>
        <w:trPr>
          <w:trHeight w:hRule="auto" w:val="0"/>
        </w:trPr>
        <w:tc>
          <w:tcPr>
            <w:tcW w:type="dxa" w:w="4560"/>
          </w:tcPr>
          <w:p>
            <w:pPr>
              <w:jc w:val="left"/>
            </w:pPr>
            <w:r>
              <w:rPr>
                <w:sz w:val="18"/>
              </w:rPr>
              <w:t>§99.3</w:t>
            </w:r>
          </w:p>
        </w:tc>
        <w:tc>
          <w:tcPr>
            <w:tcW w:type="dxa" w:w="4560"/>
          </w:tcPr>
          <w:p>
            <w:pPr>
              <w:jc w:val="left"/>
            </w:pPr>
            <w:r>
              <w:rPr>
                <w:sz w:val="18"/>
              </w:rPr>
              <w:t>Definitions — Education records, directory information, personally identifiable information (PII), legitimate educational interest</w:t>
            </w:r>
          </w:p>
        </w:tc>
        <w:tc>
          <w:tcPr>
            <w:tcW w:type="dxa" w:w="4560"/>
          </w:tcPr>
          <w:p>
            <w:pPr>
              <w:jc w:val="left"/>
            </w:pPr>
            <w:r>
              <w:rPr>
                <w:sz w:val="18"/>
              </w:rPr>
              <w:t>ISP 1.2, ISP 3.1, IISP 2.0</w:t>
            </w:r>
          </w:p>
        </w:tc>
      </w:tr>
      <w:tr>
        <w:trPr>
          <w:trHeight w:hRule="auto" w:val="0"/>
        </w:trPr>
        <w:tc>
          <w:tcPr>
            <w:tcW w:type="dxa" w:w="4560"/>
          </w:tcPr>
          <w:p>
            <w:pPr>
              <w:jc w:val="left"/>
            </w:pPr>
            <w:r>
              <w:rPr>
                <w:sz w:val="18"/>
              </w:rPr>
              <w:t>§99.4</w:t>
            </w:r>
          </w:p>
        </w:tc>
        <w:tc>
          <w:tcPr>
            <w:tcW w:type="dxa" w:w="4560"/>
          </w:tcPr>
          <w:p>
            <w:pPr>
              <w:jc w:val="left"/>
            </w:pPr>
            <w:r>
              <w:rPr>
                <w:sz w:val="18"/>
              </w:rPr>
              <w:t>Student rights — Transfer of rights at age 18 or postsecondary enrollment</w:t>
            </w:r>
          </w:p>
        </w:tc>
        <w:tc>
          <w:tcPr>
            <w:tcW w:type="dxa" w:w="4560"/>
          </w:tcPr>
          <w:p>
            <w:pPr>
              <w:jc w:val="left"/>
            </w:pPr>
            <w:r>
              <w:rPr>
                <w:sz w:val="18"/>
              </w:rPr>
              <w:t>No direct mapping</w:t>
            </w:r>
          </w:p>
        </w:tc>
      </w:tr>
      <w:tr>
        <w:trPr>
          <w:trHeight w:hRule="auto" w:val="0"/>
        </w:trPr>
        <w:tc>
          <w:tcPr>
            <w:tcW w:type="dxa" w:w="4560"/>
          </w:tcPr>
          <w:p>
            <w:pPr>
              <w:jc w:val="left"/>
            </w:pPr>
            <w:r>
              <w:rPr>
                <w:sz w:val="18"/>
              </w:rPr>
              <w:t>§99.5</w:t>
            </w:r>
          </w:p>
        </w:tc>
        <w:tc>
          <w:tcPr>
            <w:tcW w:type="dxa" w:w="4560"/>
          </w:tcPr>
          <w:p>
            <w:pPr>
              <w:jc w:val="left"/>
            </w:pPr>
            <w:r>
              <w:rPr>
                <w:sz w:val="18"/>
              </w:rPr>
              <w:t>Right of access — Right to inspect and review education records; 45-day compliance window</w:t>
            </w:r>
          </w:p>
        </w:tc>
        <w:tc>
          <w:tcPr>
            <w:tcW w:type="dxa" w:w="4560"/>
          </w:tcPr>
          <w:p>
            <w:pPr>
              <w:jc w:val="left"/>
            </w:pPr>
            <w:r>
              <w:rPr>
                <w:sz w:val="18"/>
              </w:rPr>
              <w:t>No direct mapping</w:t>
            </w:r>
          </w:p>
        </w:tc>
      </w:tr>
      <w:tr>
        <w:trPr>
          <w:trHeight w:hRule="auto" w:val="0"/>
        </w:trPr>
        <w:tc>
          <w:tcPr>
            <w:tcW w:type="dxa" w:w="4560"/>
          </w:tcPr>
          <w:p>
            <w:pPr>
              <w:jc w:val="left"/>
            </w:pPr>
            <w:r>
              <w:rPr>
                <w:sz w:val="18"/>
              </w:rPr>
              <w:t>§99.7</w:t>
            </w:r>
          </w:p>
        </w:tc>
        <w:tc>
          <w:tcPr>
            <w:tcW w:type="dxa" w:w="4560"/>
          </w:tcPr>
          <w:p>
            <w:pPr>
              <w:jc w:val="left"/>
            </w:pPr>
            <w:r>
              <w:rPr>
                <w:sz w:val="18"/>
              </w:rPr>
              <w:t>Annual notification — Schools must annually notify parents/students of their FERPA rights</w:t>
            </w:r>
          </w:p>
        </w:tc>
        <w:tc>
          <w:tcPr>
            <w:tcW w:type="dxa" w:w="4560"/>
          </w:tcPr>
          <w:p>
            <w:pPr>
              <w:jc w:val="left"/>
            </w:pPr>
            <w:r>
              <w:rPr>
                <w:sz w:val="18"/>
              </w:rPr>
              <w:t>ISP 2.4, ISP 4.2, IISP 4.0</w:t>
            </w:r>
          </w:p>
        </w:tc>
      </w:tr>
      <w:tr>
        <w:trPr>
          <w:trHeight w:hRule="auto" w:val="0"/>
        </w:trPr>
        <w:tc>
          <w:tcPr>
            <w:tcW w:type="dxa" w:w="4560"/>
          </w:tcPr>
          <w:p>
            <w:pPr>
              <w:jc w:val="left"/>
            </w:pPr>
            <w:r>
              <w:rPr>
                <w:sz w:val="18"/>
              </w:rPr>
              <w:t>§99.10</w:t>
            </w:r>
          </w:p>
        </w:tc>
        <w:tc>
          <w:tcPr>
            <w:tcW w:type="dxa" w:w="4560"/>
          </w:tcPr>
          <w:p>
            <w:pPr>
              <w:jc w:val="left"/>
            </w:pPr>
            <w:r>
              <w:rPr>
                <w:sz w:val="18"/>
              </w:rPr>
              <w:t>Right to inspect — Parents/eligible students may inspect and review education records</w:t>
            </w:r>
          </w:p>
        </w:tc>
        <w:tc>
          <w:tcPr>
            <w:tcW w:type="dxa" w:w="4560"/>
          </w:tcPr>
          <w:p>
            <w:pPr>
              <w:jc w:val="left"/>
            </w:pPr>
            <w:r>
              <w:rPr>
                <w:sz w:val="18"/>
              </w:rPr>
              <w:t>No direct mapping</w:t>
            </w:r>
          </w:p>
        </w:tc>
      </w:tr>
      <w:tr>
        <w:trPr>
          <w:trHeight w:hRule="auto" w:val="0"/>
        </w:trPr>
        <w:tc>
          <w:tcPr>
            <w:tcW w:type="dxa" w:w="4560"/>
          </w:tcPr>
          <w:p>
            <w:pPr>
              <w:jc w:val="left"/>
            </w:pPr>
            <w:r>
              <w:rPr>
                <w:sz w:val="18"/>
              </w:rPr>
              <w:t>§99.12</w:t>
            </w:r>
          </w:p>
        </w:tc>
        <w:tc>
          <w:tcPr>
            <w:tcW w:type="dxa" w:w="4560"/>
          </w:tcPr>
          <w:p>
            <w:pPr>
              <w:jc w:val="left"/>
            </w:pPr>
            <w:r>
              <w:rPr>
                <w:sz w:val="18"/>
              </w:rPr>
              <w:t>Right to amend — Right to request amendment of records believed to be inaccurate</w:t>
            </w:r>
          </w:p>
        </w:tc>
        <w:tc>
          <w:tcPr>
            <w:tcW w:type="dxa" w:w="4560"/>
          </w:tcPr>
          <w:p>
            <w:pPr>
              <w:jc w:val="left"/>
            </w:pPr>
            <w:r>
              <w:rPr>
                <w:sz w:val="18"/>
              </w:rPr>
              <w:t>No direct mapping</w:t>
            </w:r>
          </w:p>
        </w:tc>
      </w:tr>
      <w:tr>
        <w:trPr>
          <w:trHeight w:hRule="auto" w:val="0"/>
        </w:trPr>
        <w:tc>
          <w:tcPr>
            <w:tcW w:type="dxa" w:w="4560"/>
          </w:tcPr>
          <w:p>
            <w:pPr>
              <w:jc w:val="left"/>
            </w:pPr>
            <w:r>
              <w:rPr>
                <w:sz w:val="18"/>
              </w:rPr>
              <w:t>§99.20</w:t>
            </w:r>
          </w:p>
        </w:tc>
        <w:tc>
          <w:tcPr>
            <w:tcW w:type="dxa" w:w="4560"/>
          </w:tcPr>
          <w:p>
            <w:pPr>
              <w:jc w:val="left"/>
            </w:pPr>
            <w:r>
              <w:rPr>
                <w:sz w:val="18"/>
              </w:rPr>
              <w:t>Amendment hearing — Hearing procedures when amendment is refused</w:t>
            </w:r>
          </w:p>
        </w:tc>
        <w:tc>
          <w:tcPr>
            <w:tcW w:type="dxa" w:w="4560"/>
          </w:tcPr>
          <w:p>
            <w:pPr>
              <w:jc w:val="left"/>
            </w:pPr>
            <w:r>
              <w:rPr>
                <w:sz w:val="18"/>
              </w:rPr>
              <w:t>No direct mapping</w:t>
            </w:r>
          </w:p>
        </w:tc>
      </w:tr>
      <w:tr>
        <w:trPr>
          <w:trHeight w:hRule="auto" w:val="0"/>
        </w:trPr>
        <w:tc>
          <w:tcPr>
            <w:tcW w:type="dxa" w:w="4560"/>
          </w:tcPr>
          <w:p>
            <w:pPr>
              <w:jc w:val="left"/>
            </w:pPr>
            <w:r>
              <w:rPr>
                <w:sz w:val="18"/>
              </w:rPr>
              <w:t>§99.30</w:t>
            </w:r>
          </w:p>
        </w:tc>
        <w:tc>
          <w:tcPr>
            <w:tcW w:type="dxa" w:w="4560"/>
          </w:tcPr>
          <w:p>
            <w:pPr>
              <w:jc w:val="left"/>
            </w:pPr>
            <w:r>
              <w:rPr>
                <w:sz w:val="18"/>
              </w:rPr>
              <w:t>Prior consent — Written consent required before disclosing PII from education records</w:t>
            </w:r>
          </w:p>
        </w:tc>
        <w:tc>
          <w:tcPr>
            <w:tcW w:type="dxa" w:w="4560"/>
          </w:tcPr>
          <w:p>
            <w:pPr>
              <w:jc w:val="left"/>
            </w:pPr>
            <w:r>
              <w:rPr>
                <w:sz w:val="18"/>
              </w:rPr>
              <w:t>ISP 4.3, IISP 5.0</w:t>
            </w:r>
          </w:p>
        </w:tc>
      </w:tr>
      <w:tr>
        <w:trPr>
          <w:trHeight w:hRule="auto" w:val="0"/>
        </w:trPr>
        <w:tc>
          <w:tcPr>
            <w:tcW w:type="dxa" w:w="4560"/>
          </w:tcPr>
          <w:p>
            <w:pPr>
              <w:jc w:val="left"/>
            </w:pPr>
            <w:r>
              <w:rPr>
                <w:sz w:val="18"/>
              </w:rPr>
              <w:t>§99.31</w:t>
            </w:r>
          </w:p>
        </w:tc>
        <w:tc>
          <w:tcPr>
            <w:tcW w:type="dxa" w:w="4560"/>
          </w:tcPr>
          <w:p>
            <w:pPr>
              <w:jc w:val="left"/>
            </w:pPr>
            <w:r>
              <w:rPr>
                <w:sz w:val="18"/>
              </w:rPr>
              <w:t>Consent exceptions — Exceptions including school officials with legitimate educational interest, directory info, health/safety emergencies, judicial orders</w:t>
            </w:r>
          </w:p>
        </w:tc>
        <w:tc>
          <w:tcPr>
            <w:tcW w:type="dxa" w:w="4560"/>
          </w:tcPr>
          <w:p>
            <w:pPr>
              <w:jc w:val="left"/>
            </w:pPr>
            <w:r>
              <w:rPr>
                <w:sz w:val="18"/>
              </w:rPr>
              <w:t>ISP 4.1, ISP 4.3, IISP 5.0, IISP 8.0, IISP 10.0</w:t>
            </w:r>
          </w:p>
        </w:tc>
      </w:tr>
      <w:tr>
        <w:trPr>
          <w:trHeight w:hRule="auto" w:val="0"/>
        </w:trPr>
        <w:tc>
          <w:tcPr>
            <w:tcW w:type="dxa" w:w="4560"/>
          </w:tcPr>
          <w:p>
            <w:pPr>
              <w:jc w:val="left"/>
            </w:pPr>
            <w:r>
              <w:rPr>
                <w:sz w:val="18"/>
              </w:rPr>
              <w:t>§99.32</w:t>
            </w:r>
          </w:p>
        </w:tc>
        <w:tc>
          <w:tcPr>
            <w:tcW w:type="dxa" w:w="4560"/>
          </w:tcPr>
          <w:p>
            <w:pPr>
              <w:jc w:val="left"/>
            </w:pPr>
            <w:r>
              <w:rPr>
                <w:sz w:val="18"/>
              </w:rPr>
              <w:t>Record of disclosures — Institutions must maintain records of each request for and disclosure of PII</w:t>
            </w:r>
          </w:p>
        </w:tc>
        <w:tc>
          <w:tcPr>
            <w:tcW w:type="dxa" w:w="4560"/>
          </w:tcPr>
          <w:p>
            <w:pPr>
              <w:jc w:val="left"/>
            </w:pPr>
            <w:r>
              <w:rPr>
                <w:sz w:val="18"/>
              </w:rPr>
              <w:t>ISP 4.1, ISP 5.1</w:t>
            </w:r>
          </w:p>
        </w:tc>
      </w:tr>
      <w:tr>
        <w:trPr>
          <w:trHeight w:hRule="auto" w:val="0"/>
        </w:trPr>
        <w:tc>
          <w:tcPr>
            <w:tcW w:type="dxa" w:w="4560"/>
          </w:tcPr>
          <w:p>
            <w:pPr>
              <w:jc w:val="left"/>
            </w:pPr>
            <w:r>
              <w:rPr>
                <w:sz w:val="18"/>
              </w:rPr>
              <w:t>§99.33</w:t>
            </w:r>
          </w:p>
        </w:tc>
        <w:tc>
          <w:tcPr>
            <w:tcW w:type="dxa" w:w="4560"/>
          </w:tcPr>
          <w:p>
            <w:pPr>
              <w:jc w:val="left"/>
            </w:pPr>
            <w:r>
              <w:rPr>
                <w:sz w:val="18"/>
              </w:rPr>
              <w:t>Redisclosure limitations — Recipients may not redisclose PII without consent</w:t>
            </w:r>
          </w:p>
        </w:tc>
        <w:tc>
          <w:tcPr>
            <w:tcW w:type="dxa" w:w="4560"/>
          </w:tcPr>
          <w:p>
            <w:pPr>
              <w:jc w:val="left"/>
            </w:pPr>
            <w:r>
              <w:rPr>
                <w:sz w:val="18"/>
              </w:rPr>
              <w:t>ISP 2.6, ISP 4.3, ISP 6.1, IISP 3.0</w:t>
            </w:r>
          </w:p>
        </w:tc>
      </w:tr>
      <w:tr>
        <w:trPr>
          <w:trHeight w:hRule="auto" w:val="0"/>
        </w:trPr>
        <w:tc>
          <w:tcPr>
            <w:tcW w:type="dxa" w:w="4560"/>
          </w:tcPr>
          <w:p>
            <w:pPr>
              <w:jc w:val="left"/>
            </w:pPr>
            <w:r>
              <w:rPr>
                <w:sz w:val="18"/>
              </w:rPr>
              <w:t>§99.34</w:t>
            </w:r>
          </w:p>
        </w:tc>
        <w:tc>
          <w:tcPr>
            <w:tcW w:type="dxa" w:w="4560"/>
          </w:tcPr>
          <w:p>
            <w:pPr>
              <w:jc w:val="left"/>
            </w:pPr>
            <w:r>
              <w:rPr>
                <w:sz w:val="18"/>
              </w:rPr>
              <w:t>Transfer conditions — Conditions for disclosure to other schools</w:t>
            </w:r>
          </w:p>
        </w:tc>
        <w:tc>
          <w:tcPr>
            <w:tcW w:type="dxa" w:w="4560"/>
          </w:tcPr>
          <w:p>
            <w:pPr>
              <w:jc w:val="left"/>
            </w:pPr>
            <w:r>
              <w:rPr>
                <w:sz w:val="18"/>
              </w:rPr>
              <w:t>No direct mapping</w:t>
            </w:r>
          </w:p>
        </w:tc>
      </w:tr>
      <w:tr>
        <w:trPr>
          <w:trHeight w:hRule="auto" w:val="0"/>
        </w:trPr>
        <w:tc>
          <w:tcPr>
            <w:tcW w:type="dxa" w:w="4560"/>
          </w:tcPr>
          <w:p>
            <w:pPr>
              <w:jc w:val="left"/>
            </w:pPr>
            <w:r>
              <w:rPr>
                <w:sz w:val="18"/>
              </w:rPr>
              <w:t>§99.35</w:t>
            </w:r>
          </w:p>
        </w:tc>
        <w:tc>
          <w:tcPr>
            <w:tcW w:type="dxa" w:w="4560"/>
          </w:tcPr>
          <w:p>
            <w:pPr>
              <w:jc w:val="left"/>
            </w:pPr>
            <w:r>
              <w:rPr>
                <w:sz w:val="18"/>
              </w:rPr>
              <w:t>Research exceptions — Disclosure for studies for, or on behalf of, educational agencies</w:t>
            </w:r>
          </w:p>
        </w:tc>
        <w:tc>
          <w:tcPr>
            <w:tcW w:type="dxa" w:w="4560"/>
          </w:tcPr>
          <w:p>
            <w:pPr>
              <w:jc w:val="left"/>
            </w:pPr>
            <w:r>
              <w:rPr>
                <w:sz w:val="18"/>
              </w:rPr>
              <w:t>ISP 2.6</w:t>
            </w:r>
          </w:p>
        </w:tc>
      </w:tr>
      <w:tr>
        <w:trPr>
          <w:trHeight w:hRule="auto" w:val="0"/>
        </w:trPr>
        <w:tc>
          <w:tcPr>
            <w:tcW w:type="dxa" w:w="4560"/>
          </w:tcPr>
          <w:p>
            <w:pPr>
              <w:jc w:val="left"/>
            </w:pPr>
            <w:r>
              <w:rPr>
                <w:sz w:val="18"/>
              </w:rPr>
              <w:t>§99.36</w:t>
            </w:r>
          </w:p>
        </w:tc>
        <w:tc>
          <w:tcPr>
            <w:tcW w:type="dxa" w:w="4560"/>
          </w:tcPr>
          <w:p>
            <w:pPr>
              <w:jc w:val="left"/>
            </w:pPr>
            <w:r>
              <w:rPr>
                <w:sz w:val="18"/>
              </w:rPr>
              <w:t>Health/safety emergency — Disclosure permitted in health or safety emergencies</w:t>
            </w:r>
          </w:p>
        </w:tc>
        <w:tc>
          <w:tcPr>
            <w:tcW w:type="dxa" w:w="4560"/>
          </w:tcPr>
          <w:p>
            <w:pPr>
              <w:jc w:val="left"/>
            </w:pPr>
            <w:r>
              <w:rPr>
                <w:sz w:val="18"/>
              </w:rPr>
              <w:t>ISP 3.2, ISP 6.1, IISP 10.0</w:t>
            </w:r>
          </w:p>
        </w:tc>
      </w:tr>
      <w:tr>
        <w:trPr>
          <w:trHeight w:hRule="auto" w:val="0"/>
        </w:trPr>
        <w:tc>
          <w:tcPr>
            <w:tcW w:type="dxa" w:w="4560"/>
          </w:tcPr>
          <w:p>
            <w:pPr>
              <w:jc w:val="left"/>
            </w:pPr>
            <w:r>
              <w:rPr>
                <w:sz w:val="18"/>
              </w:rPr>
              <w:t>§99.37</w:t>
            </w:r>
          </w:p>
        </w:tc>
        <w:tc>
          <w:tcPr>
            <w:tcW w:type="dxa" w:w="4560"/>
          </w:tcPr>
          <w:p>
            <w:pPr>
              <w:jc w:val="left"/>
            </w:pPr>
            <w:r>
              <w:rPr>
                <w:sz w:val="18"/>
              </w:rPr>
              <w:t>Directory information — Designation, opt-out rights, and de-identification requirements</w:t>
            </w:r>
          </w:p>
        </w:tc>
        <w:tc>
          <w:tcPr>
            <w:tcW w:type="dxa" w:w="4560"/>
          </w:tcPr>
          <w:p>
            <w:pPr>
              <w:jc w:val="left"/>
            </w:pPr>
            <w:r>
              <w:rPr>
                <w:sz w:val="18"/>
              </w:rPr>
              <w:t>IISP 2.0</w:t>
            </w:r>
          </w:p>
        </w:tc>
      </w:tr>
      <w:tr>
        <w:trPr>
          <w:trHeight w:hRule="auto" w:val="0"/>
        </w:trPr>
        <w:tc>
          <w:tcPr>
            <w:tcW w:type="dxa" w:w="4560"/>
          </w:tcPr>
          <w:p>
            <w:pPr>
              <w:jc w:val="left"/>
            </w:pPr>
            <w:r>
              <w:rPr>
                <w:sz w:val="18"/>
              </w:rPr>
              <w:t>§99.60-67</w:t>
            </w:r>
          </w:p>
        </w:tc>
        <w:tc>
          <w:tcPr>
            <w:tcW w:type="dxa" w:w="4560"/>
          </w:tcPr>
          <w:p>
            <w:pPr>
              <w:jc w:val="left"/>
            </w:pPr>
            <w:r>
              <w:rPr>
                <w:sz w:val="18"/>
              </w:rPr>
              <w:t>Enforcement — Investigation and enforcement procedures by the Family Policy Compliance Office</w:t>
            </w:r>
          </w:p>
        </w:tc>
        <w:tc>
          <w:tcPr>
            <w:tcW w:type="dxa" w:w="4560"/>
          </w:tcPr>
          <w:p>
            <w:pPr>
              <w:jc w:val="left"/>
            </w:pPr>
            <w:r>
              <w:rPr>
                <w:sz w:val="18"/>
              </w:rPr>
              <w:t>ISP 2.5</w:t>
            </w:r>
          </w:p>
        </w:tc>
      </w:tr>
    </w:tbl>
    <w:p>
      <w:r>
        <w:br w:type="page"/>
      </w:r>
    </w:p>
    <w:p>
      <w:pPr>
        <w:pStyle w:val="Heading1"/>
      </w:pPr>
      <w:r>
        <w:t>APPENDIX B — SOX §404 ITGC Reverse Mapping</w:t>
      </w:r>
    </w:p>
    <w:p>
      <w:r>
        <w:t>Maps SOX §404 ITGC domains to their representative controls and the Stride policies that provide coverage. Empty cells in the Stride Policies column indicate potential coverage gaps.</w:t>
      </w:r>
    </w:p>
    <w:tbl>
      <w:tblPr>
        <w:tblStyle w:val="GridTable4-Accent1"/>
        <w:jc w:val="left"/>
        <w:tblLook w:firstColumn="1" w:firstRow="1" w:lastColumn="0" w:lastRow="0" w:noHBand="0" w:noVBand="1" w:val="04A0"/>
        <w:tblW w:type="pct" w:w="5000"/>
      </w:tblPr>
      <w:tblGrid>
        <w:gridCol w:w="3420"/>
        <w:gridCol w:w="3420"/>
        <w:gridCol w:w="3420"/>
        <w:gridCol w:w="3420"/>
      </w:tblGrid>
      <w:tr>
        <w:trPr>
          <w:trHeight w:hRule="auto" w:val="0"/>
        </w:trPr>
        <w:tc>
          <w:tcPr>
            <w:tcW w:type="dxa" w:w="3420"/>
          </w:tcPr>
          <w:p>
            <w:pPr>
              <w:jc w:val="left"/>
            </w:pPr>
            <w:r>
              <w:rPr>
                <w:b/>
                <w:sz w:val="18"/>
              </w:rPr>
              <w:t>SOX §404 Domain</w:t>
            </w:r>
          </w:p>
        </w:tc>
        <w:tc>
          <w:tcPr>
            <w:tcW w:type="dxa" w:w="3420"/>
          </w:tcPr>
          <w:p>
            <w:pPr>
              <w:jc w:val="left"/>
            </w:pPr>
            <w:r>
              <w:rPr>
                <w:b/>
                <w:sz w:val="18"/>
              </w:rPr>
              <w:t>Control ID / Description</w:t>
            </w:r>
          </w:p>
        </w:tc>
        <w:tc>
          <w:tcPr>
            <w:tcW w:type="dxa" w:w="3420"/>
          </w:tcPr>
          <w:p>
            <w:pPr>
              <w:jc w:val="left"/>
            </w:pPr>
            <w:r>
              <w:rPr>
                <w:b/>
                <w:sz w:val="18"/>
              </w:rPr>
              <w:t>Stride Policies</w:t>
            </w:r>
          </w:p>
        </w:tc>
        <w:tc>
          <w:tcPr>
            <w:tcW w:type="dxa" w:w="3420"/>
          </w:tcPr>
          <w:p>
            <w:pPr>
              <w:jc w:val="left"/>
            </w:pPr>
            <w:r>
              <w:rPr>
                <w:b/>
                <w:sz w:val="18"/>
              </w:rPr>
              <w:t>NIST CSF Alignment</w:t>
            </w:r>
          </w:p>
        </w:tc>
      </w:tr>
      <w:tr>
        <w:trPr>
          <w:trHeight w:hRule="auto" w:val="0"/>
        </w:trPr>
        <w:tc>
          <w:tcPr>
            <w:tcW w:type="dxa" w:w="3420"/>
          </w:tcPr>
          <w:p>
            <w:pPr>
              <w:jc w:val="left"/>
            </w:pPr>
            <w:r>
              <w:rPr>
                <w:sz w:val="18"/>
              </w:rPr>
              <w:t>Access Controls</w:t>
            </w:r>
          </w:p>
        </w:tc>
        <w:tc>
          <w:tcPr>
            <w:tcW w:type="dxa" w:w="3420"/>
          </w:tcPr>
          <w:p>
            <w:pPr>
              <w:jc w:val="left"/>
            </w:pPr>
            <w:r>
              <w:rPr>
                <w:sz w:val="18"/>
              </w:rPr>
              <w:t>AC-1: Logical access provisioning/deprovisioning aligned with HR lifecycle events</w:t>
            </w:r>
          </w:p>
        </w:tc>
        <w:tc>
          <w:tcPr>
            <w:tcW w:type="dxa" w:w="3420"/>
          </w:tcPr>
          <w:p>
            <w:pPr>
              <w:jc w:val="left"/>
            </w:pPr>
            <w:r>
              <w:rPr>
                <w:sz w:val="18"/>
              </w:rPr>
              <w:t>ISP 2.3, ISP 2.6, ISP 4.1, ISP 4.3, IISP 2.0, IISP 8.0</w:t>
            </w:r>
          </w:p>
        </w:tc>
        <w:tc>
          <w:tcPr>
            <w:tcW w:type="dxa" w:w="3420"/>
          </w:tcPr>
          <w:p>
            <w:pPr>
              <w:jc w:val="left"/>
            </w:pPr>
            <w:r>
              <w:rPr>
                <w:sz w:val="18"/>
              </w:rPr>
              <w:t>PR.AA, GV.RR</w:t>
            </w:r>
          </w:p>
        </w:tc>
      </w:tr>
      <w:tr>
        <w:trPr>
          <w:trHeight w:hRule="auto" w:val="0"/>
        </w:trPr>
        <w:tc>
          <w:tcPr>
            <w:tcW w:type="dxa" w:w="3420"/>
          </w:tcPr>
          <w:p>
            <w:pPr>
              <w:jc w:val="left"/>
            </w:pPr>
            <w:r>
              <w:rPr>
                <w:sz w:val="18"/>
              </w:rPr>
              <w:t>Access Controls</w:t>
            </w:r>
          </w:p>
        </w:tc>
        <w:tc>
          <w:tcPr>
            <w:tcW w:type="dxa" w:w="3420"/>
          </w:tcPr>
          <w:p>
            <w:pPr>
              <w:jc w:val="left"/>
            </w:pPr>
            <w:r>
              <w:rPr>
                <w:sz w:val="18"/>
              </w:rPr>
              <w:t>AC-2: Periodic user access reviews (quarterly for privileged, semi-annual for standard)</w:t>
            </w:r>
          </w:p>
        </w:tc>
        <w:tc>
          <w:tcPr>
            <w:tcW w:type="dxa" w:w="3420"/>
          </w:tcPr>
          <w:p>
            <w:pPr>
              <w:jc w:val="left"/>
            </w:pPr>
            <w:r>
              <w:rPr>
                <w:sz w:val="18"/>
              </w:rPr>
              <w:t>ISP 2.3, ISP 2.6, ISP 4.1, ISP 4.3, IISP 2.0, IISP 8.0</w:t>
            </w:r>
          </w:p>
        </w:tc>
        <w:tc>
          <w:tcPr>
            <w:tcW w:type="dxa" w:w="3420"/>
          </w:tcPr>
          <w:p>
            <w:pPr>
              <w:jc w:val="left"/>
            </w:pPr>
            <w:r>
              <w:rPr>
                <w:sz w:val="18"/>
              </w:rPr>
              <w:t>PR.AA, GV.RR</w:t>
            </w:r>
          </w:p>
        </w:tc>
      </w:tr>
      <w:tr>
        <w:trPr>
          <w:trHeight w:hRule="auto" w:val="0"/>
        </w:trPr>
        <w:tc>
          <w:tcPr>
            <w:tcW w:type="dxa" w:w="3420"/>
          </w:tcPr>
          <w:p>
            <w:pPr>
              <w:jc w:val="left"/>
            </w:pPr>
            <w:r>
              <w:rPr>
                <w:sz w:val="18"/>
              </w:rPr>
              <w:t>Access Controls</w:t>
            </w:r>
          </w:p>
        </w:tc>
        <w:tc>
          <w:tcPr>
            <w:tcW w:type="dxa" w:w="3420"/>
          </w:tcPr>
          <w:p>
            <w:pPr>
              <w:jc w:val="left"/>
            </w:pPr>
            <w:r>
              <w:rPr>
                <w:sz w:val="18"/>
              </w:rPr>
              <w:t>AC-3: Privileged access management — just-in-time elevation, session recording, break-glass procedures</w:t>
            </w:r>
          </w:p>
        </w:tc>
        <w:tc>
          <w:tcPr>
            <w:tcW w:type="dxa" w:w="3420"/>
          </w:tcPr>
          <w:p>
            <w:pPr>
              <w:jc w:val="left"/>
            </w:pPr>
            <w:r>
              <w:rPr>
                <w:sz w:val="18"/>
              </w:rPr>
              <w:t>ISP 2.3, ISP 2.6, ISP 4.1, ISP 4.3, IISP 2.0, IISP 8.0</w:t>
            </w:r>
          </w:p>
        </w:tc>
        <w:tc>
          <w:tcPr>
            <w:tcW w:type="dxa" w:w="3420"/>
          </w:tcPr>
          <w:p>
            <w:pPr>
              <w:jc w:val="left"/>
            </w:pPr>
            <w:r>
              <w:rPr>
                <w:sz w:val="18"/>
              </w:rPr>
              <w:t>PR.AA, GV.RR</w:t>
            </w:r>
          </w:p>
        </w:tc>
      </w:tr>
      <w:tr>
        <w:trPr>
          <w:trHeight w:hRule="auto" w:val="0"/>
        </w:trPr>
        <w:tc>
          <w:tcPr>
            <w:tcW w:type="dxa" w:w="3420"/>
          </w:tcPr>
          <w:p>
            <w:pPr>
              <w:jc w:val="left"/>
            </w:pPr>
            <w:r>
              <w:rPr>
                <w:sz w:val="18"/>
              </w:rPr>
              <w:t>Access Controls</w:t>
            </w:r>
          </w:p>
        </w:tc>
        <w:tc>
          <w:tcPr>
            <w:tcW w:type="dxa" w:w="3420"/>
          </w:tcPr>
          <w:p>
            <w:pPr>
              <w:jc w:val="left"/>
            </w:pPr>
            <w:r>
              <w:rPr>
                <w:sz w:val="18"/>
              </w:rPr>
              <w:t>AC-4: Authentication controls — MFA for all administrative and financially-significant system access</w:t>
            </w:r>
          </w:p>
        </w:tc>
        <w:tc>
          <w:tcPr>
            <w:tcW w:type="dxa" w:w="3420"/>
          </w:tcPr>
          <w:p>
            <w:pPr>
              <w:jc w:val="left"/>
            </w:pPr>
            <w:r>
              <w:rPr>
                <w:sz w:val="18"/>
              </w:rPr>
              <w:t>ISP 2.3, ISP 2.6, ISP 4.1, ISP 4.3, IISP 2.0, IISP 8.0</w:t>
            </w:r>
          </w:p>
        </w:tc>
        <w:tc>
          <w:tcPr>
            <w:tcW w:type="dxa" w:w="3420"/>
          </w:tcPr>
          <w:p>
            <w:pPr>
              <w:jc w:val="left"/>
            </w:pPr>
            <w:r>
              <w:rPr>
                <w:sz w:val="18"/>
              </w:rPr>
              <w:t>PR.AA, GV.RR</w:t>
            </w:r>
          </w:p>
        </w:tc>
      </w:tr>
      <w:tr>
        <w:trPr>
          <w:trHeight w:hRule="auto" w:val="0"/>
        </w:trPr>
        <w:tc>
          <w:tcPr>
            <w:tcW w:type="dxa" w:w="3420"/>
          </w:tcPr>
          <w:p>
            <w:pPr>
              <w:jc w:val="left"/>
            </w:pPr>
            <w:r>
              <w:rPr>
                <w:sz w:val="18"/>
              </w:rPr>
              <w:t>Access Controls</w:t>
            </w:r>
          </w:p>
        </w:tc>
        <w:tc>
          <w:tcPr>
            <w:tcW w:type="dxa" w:w="3420"/>
          </w:tcPr>
          <w:p>
            <w:pPr>
              <w:jc w:val="left"/>
            </w:pPr>
            <w:r>
              <w:rPr>
                <w:sz w:val="18"/>
              </w:rPr>
              <w:t>AC-5: Service account governance — inventory, ownership, credential rotation</w:t>
            </w:r>
          </w:p>
        </w:tc>
        <w:tc>
          <w:tcPr>
            <w:tcW w:type="dxa" w:w="3420"/>
          </w:tcPr>
          <w:p>
            <w:pPr>
              <w:jc w:val="left"/>
            </w:pPr>
            <w:r>
              <w:rPr>
                <w:sz w:val="18"/>
              </w:rPr>
              <w:t>ISP 2.3, ISP 2.6, ISP 4.1, ISP 4.3, IISP 2.0, IISP 8.0</w:t>
            </w:r>
          </w:p>
        </w:tc>
        <w:tc>
          <w:tcPr>
            <w:tcW w:type="dxa" w:w="3420"/>
          </w:tcPr>
          <w:p>
            <w:pPr>
              <w:jc w:val="left"/>
            </w:pPr>
            <w:r>
              <w:rPr>
                <w:sz w:val="18"/>
              </w:rPr>
              <w:t>PR.AA, GV.RR</w:t>
            </w:r>
          </w:p>
        </w:tc>
      </w:tr>
      <w:tr>
        <w:trPr>
          <w:trHeight w:hRule="auto" w:val="0"/>
        </w:trPr>
        <w:tc>
          <w:tcPr>
            <w:tcW w:type="dxa" w:w="3420"/>
          </w:tcPr>
          <w:p>
            <w:pPr>
              <w:jc w:val="left"/>
            </w:pPr>
            <w:r>
              <w:rPr>
                <w:sz w:val="18"/>
              </w:rPr>
              <w:t>Change Management</w:t>
            </w:r>
          </w:p>
        </w:tc>
        <w:tc>
          <w:tcPr>
            <w:tcW w:type="dxa" w:w="3420"/>
          </w:tcPr>
          <w:p>
            <w:pPr>
              <w:jc w:val="left"/>
            </w:pPr>
            <w:r>
              <w:rPr>
                <w:sz w:val="18"/>
              </w:rPr>
              <w:t>CM-1: Change request documentation including business justification and impact assessment</w:t>
            </w:r>
          </w:p>
        </w:tc>
        <w:tc>
          <w:tcPr>
            <w:tcW w:type="dxa" w:w="3420"/>
          </w:tcPr>
          <w:p>
            <w:pPr>
              <w:jc w:val="left"/>
            </w:pPr>
            <w:r>
              <w:rPr>
                <w:sz w:val="18"/>
              </w:rPr>
              <w:t>ISP 2.4, ISP 4.4, IISP 7.0, IISP 9.0</w:t>
            </w:r>
          </w:p>
        </w:tc>
        <w:tc>
          <w:tcPr>
            <w:tcW w:type="dxa" w:w="3420"/>
          </w:tcPr>
          <w:p>
            <w:pPr>
              <w:jc w:val="left"/>
            </w:pPr>
            <w:r>
              <w:rPr>
                <w:sz w:val="18"/>
              </w:rPr>
              <w:t>PR.PS, GV.PO</w:t>
            </w:r>
          </w:p>
        </w:tc>
      </w:tr>
      <w:tr>
        <w:trPr>
          <w:trHeight w:hRule="auto" w:val="0"/>
        </w:trPr>
        <w:tc>
          <w:tcPr>
            <w:tcW w:type="dxa" w:w="3420"/>
          </w:tcPr>
          <w:p>
            <w:pPr>
              <w:jc w:val="left"/>
            </w:pPr>
            <w:r>
              <w:rPr>
                <w:sz w:val="18"/>
              </w:rPr>
              <w:t>Change Management</w:t>
            </w:r>
          </w:p>
        </w:tc>
        <w:tc>
          <w:tcPr>
            <w:tcW w:type="dxa" w:w="3420"/>
          </w:tcPr>
          <w:p>
            <w:pPr>
              <w:jc w:val="left"/>
            </w:pPr>
            <w:r>
              <w:rPr>
                <w:sz w:val="18"/>
              </w:rPr>
              <w:t>CM-2: Segregation of development, test, and production environments</w:t>
            </w:r>
          </w:p>
        </w:tc>
        <w:tc>
          <w:tcPr>
            <w:tcW w:type="dxa" w:w="3420"/>
          </w:tcPr>
          <w:p>
            <w:pPr>
              <w:jc w:val="left"/>
            </w:pPr>
            <w:r>
              <w:rPr>
                <w:sz w:val="18"/>
              </w:rPr>
              <w:t>ISP 2.4, ISP 4.4, IISP 7.0, IISP 9.0</w:t>
            </w:r>
          </w:p>
        </w:tc>
        <w:tc>
          <w:tcPr>
            <w:tcW w:type="dxa" w:w="3420"/>
          </w:tcPr>
          <w:p>
            <w:pPr>
              <w:jc w:val="left"/>
            </w:pPr>
            <w:r>
              <w:rPr>
                <w:sz w:val="18"/>
              </w:rPr>
              <w:t>PR.PS, GV.PO</w:t>
            </w:r>
          </w:p>
        </w:tc>
      </w:tr>
      <w:tr>
        <w:trPr>
          <w:trHeight w:hRule="auto" w:val="0"/>
        </w:trPr>
        <w:tc>
          <w:tcPr>
            <w:tcW w:type="dxa" w:w="3420"/>
          </w:tcPr>
          <w:p>
            <w:pPr>
              <w:jc w:val="left"/>
            </w:pPr>
            <w:r>
              <w:rPr>
                <w:sz w:val="18"/>
              </w:rPr>
              <w:t>Change Management</w:t>
            </w:r>
          </w:p>
        </w:tc>
        <w:tc>
          <w:tcPr>
            <w:tcW w:type="dxa" w:w="3420"/>
          </w:tcPr>
          <w:p>
            <w:pPr>
              <w:jc w:val="left"/>
            </w:pPr>
            <w:r>
              <w:rPr>
                <w:sz w:val="18"/>
              </w:rPr>
              <w:t>CM-3: Code review / peer review before production deployment</w:t>
            </w:r>
          </w:p>
        </w:tc>
        <w:tc>
          <w:tcPr>
            <w:tcW w:type="dxa" w:w="3420"/>
          </w:tcPr>
          <w:p>
            <w:pPr>
              <w:jc w:val="left"/>
            </w:pPr>
            <w:r>
              <w:rPr>
                <w:sz w:val="18"/>
              </w:rPr>
              <w:t>ISP 2.4, ISP 4.4, IISP 7.0, IISP 9.0</w:t>
            </w:r>
          </w:p>
        </w:tc>
        <w:tc>
          <w:tcPr>
            <w:tcW w:type="dxa" w:w="3420"/>
          </w:tcPr>
          <w:p>
            <w:pPr>
              <w:jc w:val="left"/>
            </w:pPr>
            <w:r>
              <w:rPr>
                <w:sz w:val="18"/>
              </w:rPr>
              <w:t>PR.PS, GV.PO</w:t>
            </w:r>
          </w:p>
        </w:tc>
      </w:tr>
      <w:tr>
        <w:trPr>
          <w:trHeight w:hRule="auto" w:val="0"/>
        </w:trPr>
        <w:tc>
          <w:tcPr>
            <w:tcW w:type="dxa" w:w="3420"/>
          </w:tcPr>
          <w:p>
            <w:pPr>
              <w:jc w:val="left"/>
            </w:pPr>
            <w:r>
              <w:rPr>
                <w:sz w:val="18"/>
              </w:rPr>
              <w:t>Change Management</w:t>
            </w:r>
          </w:p>
        </w:tc>
        <w:tc>
          <w:tcPr>
            <w:tcW w:type="dxa" w:w="3420"/>
          </w:tcPr>
          <w:p>
            <w:pPr>
              <w:jc w:val="left"/>
            </w:pPr>
            <w:r>
              <w:rPr>
                <w:sz w:val="18"/>
              </w:rPr>
              <w:t>CM-4: Change approval by designated change authority (CAB or equivalent)</w:t>
            </w:r>
          </w:p>
        </w:tc>
        <w:tc>
          <w:tcPr>
            <w:tcW w:type="dxa" w:w="3420"/>
          </w:tcPr>
          <w:p>
            <w:pPr>
              <w:jc w:val="left"/>
            </w:pPr>
            <w:r>
              <w:rPr>
                <w:sz w:val="18"/>
              </w:rPr>
              <w:t>ISP 2.4, ISP 4.4, IISP 7.0, IISP 9.0</w:t>
            </w:r>
          </w:p>
        </w:tc>
        <w:tc>
          <w:tcPr>
            <w:tcW w:type="dxa" w:w="3420"/>
          </w:tcPr>
          <w:p>
            <w:pPr>
              <w:jc w:val="left"/>
            </w:pPr>
            <w:r>
              <w:rPr>
                <w:sz w:val="18"/>
              </w:rPr>
              <w:t>PR.PS, GV.PO</w:t>
            </w:r>
          </w:p>
        </w:tc>
      </w:tr>
      <w:tr>
        <w:trPr>
          <w:trHeight w:hRule="auto" w:val="0"/>
        </w:trPr>
        <w:tc>
          <w:tcPr>
            <w:tcW w:type="dxa" w:w="3420"/>
          </w:tcPr>
          <w:p>
            <w:pPr>
              <w:jc w:val="left"/>
            </w:pPr>
            <w:r>
              <w:rPr>
                <w:sz w:val="18"/>
              </w:rPr>
              <w:t>Change Management</w:t>
            </w:r>
          </w:p>
        </w:tc>
        <w:tc>
          <w:tcPr>
            <w:tcW w:type="dxa" w:w="3420"/>
          </w:tcPr>
          <w:p>
            <w:pPr>
              <w:jc w:val="left"/>
            </w:pPr>
            <w:r>
              <w:rPr>
                <w:sz w:val="18"/>
              </w:rPr>
              <w:t>CM-5: Emergency change procedures with post-implementation review</w:t>
            </w:r>
          </w:p>
        </w:tc>
        <w:tc>
          <w:tcPr>
            <w:tcW w:type="dxa" w:w="3420"/>
          </w:tcPr>
          <w:p>
            <w:pPr>
              <w:jc w:val="left"/>
            </w:pPr>
            <w:r>
              <w:rPr>
                <w:sz w:val="18"/>
              </w:rPr>
              <w:t>ISP 2.4, ISP 4.4, IISP 7.0, IISP 9.0</w:t>
            </w:r>
          </w:p>
        </w:tc>
        <w:tc>
          <w:tcPr>
            <w:tcW w:type="dxa" w:w="3420"/>
          </w:tcPr>
          <w:p>
            <w:pPr>
              <w:jc w:val="left"/>
            </w:pPr>
            <w:r>
              <w:rPr>
                <w:sz w:val="18"/>
              </w:rPr>
              <w:t>PR.PS, GV.PO</w:t>
            </w:r>
          </w:p>
        </w:tc>
      </w:tr>
      <w:tr>
        <w:trPr>
          <w:trHeight w:hRule="auto" w:val="0"/>
        </w:trPr>
        <w:tc>
          <w:tcPr>
            <w:tcW w:type="dxa" w:w="3420"/>
          </w:tcPr>
          <w:p>
            <w:pPr>
              <w:jc w:val="left"/>
            </w:pPr>
            <w:r>
              <w:rPr>
                <w:sz w:val="18"/>
              </w:rPr>
              <w:t>Change Management</w:t>
            </w:r>
          </w:p>
        </w:tc>
        <w:tc>
          <w:tcPr>
            <w:tcW w:type="dxa" w:w="3420"/>
          </w:tcPr>
          <w:p>
            <w:pPr>
              <w:jc w:val="left"/>
            </w:pPr>
            <w:r>
              <w:rPr>
                <w:sz w:val="18"/>
              </w:rPr>
              <w:t>CM-6: Release management and deployment automation controls</w:t>
            </w:r>
          </w:p>
        </w:tc>
        <w:tc>
          <w:tcPr>
            <w:tcW w:type="dxa" w:w="3420"/>
          </w:tcPr>
          <w:p>
            <w:pPr>
              <w:jc w:val="left"/>
            </w:pPr>
            <w:r>
              <w:rPr>
                <w:sz w:val="18"/>
              </w:rPr>
              <w:t>ISP 2.4, ISP 4.4, IISP 7.0, IISP 9.0</w:t>
            </w:r>
          </w:p>
        </w:tc>
        <w:tc>
          <w:tcPr>
            <w:tcW w:type="dxa" w:w="3420"/>
          </w:tcPr>
          <w:p>
            <w:pPr>
              <w:jc w:val="left"/>
            </w:pPr>
            <w:r>
              <w:rPr>
                <w:sz w:val="18"/>
              </w:rPr>
              <w:t>PR.PS, GV.PO</w:t>
            </w:r>
          </w:p>
        </w:tc>
      </w:tr>
      <w:tr>
        <w:trPr>
          <w:trHeight w:hRule="auto" w:val="0"/>
        </w:trPr>
        <w:tc>
          <w:tcPr>
            <w:tcW w:type="dxa" w:w="3420"/>
          </w:tcPr>
          <w:p>
            <w:pPr>
              <w:jc w:val="left"/>
            </w:pPr>
            <w:r>
              <w:rPr>
                <w:sz w:val="18"/>
              </w:rPr>
              <w:t>Computer Operations</w:t>
            </w:r>
          </w:p>
        </w:tc>
        <w:tc>
          <w:tcPr>
            <w:tcW w:type="dxa" w:w="3420"/>
          </w:tcPr>
          <w:p>
            <w:pPr>
              <w:jc w:val="left"/>
            </w:pPr>
            <w:r>
              <w:rPr>
                <w:sz w:val="18"/>
              </w:rPr>
              <w:t>CO-1: Job scheduling controls — automated scheduling with failure alerting</w:t>
            </w:r>
          </w:p>
        </w:tc>
        <w:tc>
          <w:tcPr>
            <w:tcW w:type="dxa" w:w="3420"/>
          </w:tcPr>
          <w:p>
            <w:pPr>
              <w:jc w:val="left"/>
            </w:pPr>
            <w:r>
              <w:rPr>
                <w:sz w:val="18"/>
              </w:rPr>
              <w:t>ISP 3.1, ISP 4.3, ISP 4.5, ISP 5.1, ISP 6.1, IISP 1.0</w:t>
            </w:r>
          </w:p>
        </w:tc>
        <w:tc>
          <w:tcPr>
            <w:tcW w:type="dxa" w:w="3420"/>
          </w:tcPr>
          <w:p>
            <w:pPr>
              <w:jc w:val="left"/>
            </w:pPr>
            <w:r>
              <w:rPr>
                <w:sz w:val="18"/>
              </w:rPr>
              <w:t>DE.CM, RS.MA, RC.RP</w:t>
            </w:r>
          </w:p>
        </w:tc>
      </w:tr>
      <w:tr>
        <w:trPr>
          <w:trHeight w:hRule="auto" w:val="0"/>
        </w:trPr>
        <w:tc>
          <w:tcPr>
            <w:tcW w:type="dxa" w:w="3420"/>
          </w:tcPr>
          <w:p>
            <w:pPr>
              <w:jc w:val="left"/>
            </w:pPr>
            <w:r>
              <w:rPr>
                <w:sz w:val="18"/>
              </w:rPr>
              <w:t>Computer Operations</w:t>
            </w:r>
          </w:p>
        </w:tc>
        <w:tc>
          <w:tcPr>
            <w:tcW w:type="dxa" w:w="3420"/>
          </w:tcPr>
          <w:p>
            <w:pPr>
              <w:jc w:val="left"/>
            </w:pPr>
            <w:r>
              <w:rPr>
                <w:sz w:val="18"/>
              </w:rPr>
              <w:t>CO-2: Backup and recovery — automated backups with tested restoration procedures</w:t>
            </w:r>
          </w:p>
        </w:tc>
        <w:tc>
          <w:tcPr>
            <w:tcW w:type="dxa" w:w="3420"/>
          </w:tcPr>
          <w:p>
            <w:pPr>
              <w:jc w:val="left"/>
            </w:pPr>
            <w:r>
              <w:rPr>
                <w:sz w:val="18"/>
              </w:rPr>
              <w:t>ISP 3.1, ISP 4.3, ISP 4.5, ISP 5.1, ISP 6.1, IISP 1.0</w:t>
            </w:r>
          </w:p>
        </w:tc>
        <w:tc>
          <w:tcPr>
            <w:tcW w:type="dxa" w:w="3420"/>
          </w:tcPr>
          <w:p>
            <w:pPr>
              <w:jc w:val="left"/>
            </w:pPr>
            <w:r>
              <w:rPr>
                <w:sz w:val="18"/>
              </w:rPr>
              <w:t>DE.CM, RS.MA, RC.RP</w:t>
            </w:r>
          </w:p>
        </w:tc>
      </w:tr>
      <w:tr>
        <w:trPr>
          <w:trHeight w:hRule="auto" w:val="0"/>
        </w:trPr>
        <w:tc>
          <w:tcPr>
            <w:tcW w:type="dxa" w:w="3420"/>
          </w:tcPr>
          <w:p>
            <w:pPr>
              <w:jc w:val="left"/>
            </w:pPr>
            <w:r>
              <w:rPr>
                <w:sz w:val="18"/>
              </w:rPr>
              <w:t>Computer Operations</w:t>
            </w:r>
          </w:p>
        </w:tc>
        <w:tc>
          <w:tcPr>
            <w:tcW w:type="dxa" w:w="3420"/>
          </w:tcPr>
          <w:p>
            <w:pPr>
              <w:jc w:val="left"/>
            </w:pPr>
            <w:r>
              <w:rPr>
                <w:sz w:val="18"/>
              </w:rPr>
              <w:t>CO-3: Incident management — defined escalation and resolution procedures</w:t>
            </w:r>
          </w:p>
        </w:tc>
        <w:tc>
          <w:tcPr>
            <w:tcW w:type="dxa" w:w="3420"/>
          </w:tcPr>
          <w:p>
            <w:pPr>
              <w:jc w:val="left"/>
            </w:pPr>
            <w:r>
              <w:rPr>
                <w:sz w:val="18"/>
              </w:rPr>
              <w:t>ISP 3.1, ISP 4.3, ISP 4.5, ISP 5.1, ISP 6.1, IISP 1.0</w:t>
            </w:r>
          </w:p>
        </w:tc>
        <w:tc>
          <w:tcPr>
            <w:tcW w:type="dxa" w:w="3420"/>
          </w:tcPr>
          <w:p>
            <w:pPr>
              <w:jc w:val="left"/>
            </w:pPr>
            <w:r>
              <w:rPr>
                <w:sz w:val="18"/>
              </w:rPr>
              <w:t>DE.CM, RS.MA, RC.RP</w:t>
            </w:r>
          </w:p>
        </w:tc>
      </w:tr>
      <w:tr>
        <w:trPr>
          <w:trHeight w:hRule="auto" w:val="0"/>
        </w:trPr>
        <w:tc>
          <w:tcPr>
            <w:tcW w:type="dxa" w:w="3420"/>
          </w:tcPr>
          <w:p>
            <w:pPr>
              <w:jc w:val="left"/>
            </w:pPr>
            <w:r>
              <w:rPr>
                <w:sz w:val="18"/>
              </w:rPr>
              <w:t>Computer Operations</w:t>
            </w:r>
          </w:p>
        </w:tc>
        <w:tc>
          <w:tcPr>
            <w:tcW w:type="dxa" w:w="3420"/>
          </w:tcPr>
          <w:p>
            <w:pPr>
              <w:jc w:val="left"/>
            </w:pPr>
            <w:r>
              <w:rPr>
                <w:sz w:val="18"/>
              </w:rPr>
              <w:t>CO-4: Batch processing integrity — reconciliation and completeness checks</w:t>
            </w:r>
          </w:p>
        </w:tc>
        <w:tc>
          <w:tcPr>
            <w:tcW w:type="dxa" w:w="3420"/>
          </w:tcPr>
          <w:p>
            <w:pPr>
              <w:jc w:val="left"/>
            </w:pPr>
            <w:r>
              <w:rPr>
                <w:sz w:val="18"/>
              </w:rPr>
              <w:t>ISP 3.1, ISP 4.3, ISP 4.5, ISP 5.1, ISP 6.1, IISP 1.0</w:t>
            </w:r>
          </w:p>
        </w:tc>
        <w:tc>
          <w:tcPr>
            <w:tcW w:type="dxa" w:w="3420"/>
          </w:tcPr>
          <w:p>
            <w:pPr>
              <w:jc w:val="left"/>
            </w:pPr>
            <w:r>
              <w:rPr>
                <w:sz w:val="18"/>
              </w:rPr>
              <w:t>DE.CM, RS.MA, RC.RP</w:t>
            </w:r>
          </w:p>
        </w:tc>
      </w:tr>
      <w:tr>
        <w:trPr>
          <w:trHeight w:hRule="auto" w:val="0"/>
        </w:trPr>
        <w:tc>
          <w:tcPr>
            <w:tcW w:type="dxa" w:w="3420"/>
          </w:tcPr>
          <w:p>
            <w:pPr>
              <w:jc w:val="left"/>
            </w:pPr>
            <w:r>
              <w:rPr>
                <w:sz w:val="18"/>
              </w:rPr>
              <w:t>Program Development</w:t>
            </w:r>
          </w:p>
        </w:tc>
        <w:tc>
          <w:tcPr>
            <w:tcW w:type="dxa" w:w="3420"/>
          </w:tcPr>
          <w:p>
            <w:pPr>
              <w:jc w:val="left"/>
            </w:pPr>
            <w:r>
              <w:rPr>
                <w:sz w:val="18"/>
              </w:rPr>
              <w:t>PD-1: System development lifecycle (SDLC) methodology with security requirements</w:t>
            </w:r>
          </w:p>
        </w:tc>
        <w:tc>
          <w:tcPr>
            <w:tcW w:type="dxa" w:w="3420"/>
          </w:tcPr>
          <w:p>
            <w:pPr>
              <w:jc w:val="left"/>
            </w:pPr>
            <w:r>
              <w:rPr>
                <w:sz w:val="18"/>
              </w:rPr>
              <w:t>ISP 4.4, IISP 5.0, IISP 9.0</w:t>
            </w:r>
          </w:p>
        </w:tc>
        <w:tc>
          <w:tcPr>
            <w:tcW w:type="dxa" w:w="3420"/>
          </w:tcPr>
          <w:p>
            <w:pPr>
              <w:jc w:val="left"/>
            </w:pPr>
            <w:r>
              <w:rPr>
                <w:sz w:val="18"/>
              </w:rPr>
              <w:t>PR.PS, ID.RA</w:t>
            </w:r>
          </w:p>
        </w:tc>
      </w:tr>
      <w:tr>
        <w:trPr>
          <w:trHeight w:hRule="auto" w:val="0"/>
        </w:trPr>
        <w:tc>
          <w:tcPr>
            <w:tcW w:type="dxa" w:w="3420"/>
          </w:tcPr>
          <w:p>
            <w:pPr>
              <w:jc w:val="left"/>
            </w:pPr>
            <w:r>
              <w:rPr>
                <w:sz w:val="18"/>
              </w:rPr>
              <w:t>Program Development</w:t>
            </w:r>
          </w:p>
        </w:tc>
        <w:tc>
          <w:tcPr>
            <w:tcW w:type="dxa" w:w="3420"/>
          </w:tcPr>
          <w:p>
            <w:pPr>
              <w:jc w:val="left"/>
            </w:pPr>
            <w:r>
              <w:rPr>
                <w:sz w:val="18"/>
              </w:rPr>
              <w:t>PD-2: Security testing — SAST, DAST, SCA integrated into CI/CD pipeline</w:t>
            </w:r>
          </w:p>
        </w:tc>
        <w:tc>
          <w:tcPr>
            <w:tcW w:type="dxa" w:w="3420"/>
          </w:tcPr>
          <w:p>
            <w:pPr>
              <w:jc w:val="left"/>
            </w:pPr>
            <w:r>
              <w:rPr>
                <w:sz w:val="18"/>
              </w:rPr>
              <w:t>ISP 4.4, IISP 5.0, IISP 9.0</w:t>
            </w:r>
          </w:p>
        </w:tc>
        <w:tc>
          <w:tcPr>
            <w:tcW w:type="dxa" w:w="3420"/>
          </w:tcPr>
          <w:p>
            <w:pPr>
              <w:jc w:val="left"/>
            </w:pPr>
            <w:r>
              <w:rPr>
                <w:sz w:val="18"/>
              </w:rPr>
              <w:t>PR.PS, ID.RA</w:t>
            </w:r>
          </w:p>
        </w:tc>
      </w:tr>
      <w:tr>
        <w:trPr>
          <w:trHeight w:hRule="auto" w:val="0"/>
        </w:trPr>
        <w:tc>
          <w:tcPr>
            <w:tcW w:type="dxa" w:w="3420"/>
          </w:tcPr>
          <w:p>
            <w:pPr>
              <w:jc w:val="left"/>
            </w:pPr>
            <w:r>
              <w:rPr>
                <w:sz w:val="18"/>
              </w:rPr>
              <w:t>Program Development</w:t>
            </w:r>
          </w:p>
        </w:tc>
        <w:tc>
          <w:tcPr>
            <w:tcW w:type="dxa" w:w="3420"/>
          </w:tcPr>
          <w:p>
            <w:pPr>
              <w:jc w:val="left"/>
            </w:pPr>
            <w:r>
              <w:rPr>
                <w:sz w:val="18"/>
              </w:rPr>
              <w:t>PD-3: User acceptance testing (UAT) for financially-significant system changes</w:t>
            </w:r>
          </w:p>
        </w:tc>
        <w:tc>
          <w:tcPr>
            <w:tcW w:type="dxa" w:w="3420"/>
          </w:tcPr>
          <w:p>
            <w:pPr>
              <w:jc w:val="left"/>
            </w:pPr>
            <w:r>
              <w:rPr>
                <w:sz w:val="18"/>
              </w:rPr>
              <w:t>ISP 4.4, IISP 5.0, IISP 9.0</w:t>
            </w:r>
          </w:p>
        </w:tc>
        <w:tc>
          <w:tcPr>
            <w:tcW w:type="dxa" w:w="3420"/>
          </w:tcPr>
          <w:p>
            <w:pPr>
              <w:jc w:val="left"/>
            </w:pPr>
            <w:r>
              <w:rPr>
                <w:sz w:val="18"/>
              </w:rPr>
              <w:t>PR.PS, ID.RA</w:t>
            </w:r>
          </w:p>
        </w:tc>
      </w:tr>
      <w:tr>
        <w:trPr>
          <w:trHeight w:hRule="auto" w:val="0"/>
        </w:trPr>
        <w:tc>
          <w:tcPr>
            <w:tcW w:type="dxa" w:w="3420"/>
          </w:tcPr>
          <w:p>
            <w:pPr>
              <w:jc w:val="left"/>
            </w:pPr>
            <w:r>
              <w:rPr>
                <w:sz w:val="18"/>
              </w:rPr>
              <w:t>Program Development</w:t>
            </w:r>
          </w:p>
        </w:tc>
        <w:tc>
          <w:tcPr>
            <w:tcW w:type="dxa" w:w="3420"/>
          </w:tcPr>
          <w:p>
            <w:pPr>
              <w:jc w:val="left"/>
            </w:pPr>
            <w:r>
              <w:rPr>
                <w:sz w:val="18"/>
              </w:rPr>
              <w:t>PD-4: Data migration controls with reconciliation and validation</w:t>
            </w:r>
          </w:p>
        </w:tc>
        <w:tc>
          <w:tcPr>
            <w:tcW w:type="dxa" w:w="3420"/>
          </w:tcPr>
          <w:p>
            <w:pPr>
              <w:jc w:val="left"/>
            </w:pPr>
            <w:r>
              <w:rPr>
                <w:sz w:val="18"/>
              </w:rPr>
              <w:t>ISP 4.4, IISP 5.0, IISP 9.0</w:t>
            </w:r>
          </w:p>
        </w:tc>
        <w:tc>
          <w:tcPr>
            <w:tcW w:type="dxa" w:w="3420"/>
          </w:tcPr>
          <w:p>
            <w:pPr>
              <w:jc w:val="left"/>
            </w:pPr>
            <w:r>
              <w:rPr>
                <w:sz w:val="18"/>
              </w:rPr>
              <w:t>PR.PS, ID.RA</w:t>
            </w:r>
          </w:p>
        </w:tc>
      </w:tr>
    </w:tbl>
    <w:p>
      <w:r>
        <w:br w:type="page"/>
      </w:r>
    </w:p>
    <w:p>
      <w:pPr>
        <w:pStyle w:val="Heading1"/>
      </w:pPr>
      <w:r>
        <w:t>APPENDIX C — ASR Questionnaire Coverage Gap Analysis</w:t>
      </w:r>
    </w:p>
    <w:p>
      <w:r>
        <w:t>The Application Security Review (ASR) questionnaire identifies control expectations across seven domains. This appendix maps ASR questions to existing Stride policies and highlights topics where current policy coverage is implicit, indirect, or absent — representing areas for future policy development.</w:t>
      </w:r>
    </w:p>
    <w:tbl>
      <w:tblPr>
        <w:tblStyle w:val="GridTable4-Accent1"/>
        <w:jc w:val="left"/>
        <w:tblLook w:firstColumn="1" w:firstRow="1" w:lastColumn="0" w:lastRow="0" w:noHBand="0" w:noVBand="1" w:val="04A0"/>
        <w:tblW w:type="pct" w:w="5000"/>
      </w:tblPr>
      <w:tblGrid>
        <w:gridCol w:w="2736"/>
        <w:gridCol w:w="2736"/>
        <w:gridCol w:w="2736"/>
        <w:gridCol w:w="2736"/>
        <w:gridCol w:w="2736"/>
      </w:tblGrid>
      <w:tr>
        <w:trPr>
          <w:trHeight w:hRule="auto" w:val="0"/>
        </w:trPr>
        <w:tc>
          <w:tcPr>
            <w:tcW w:type="dxa" w:w="2736"/>
          </w:tcPr>
          <w:p>
            <w:pPr>
              <w:jc w:val="left"/>
            </w:pPr>
            <w:r>
              <w:rPr>
                <w:b/>
                <w:sz w:val="18"/>
              </w:rPr>
              <w:t>Domain</w:t>
            </w:r>
          </w:p>
        </w:tc>
        <w:tc>
          <w:tcPr>
            <w:tcW w:type="dxa" w:w="2736"/>
          </w:tcPr>
          <w:p>
            <w:pPr>
              <w:jc w:val="left"/>
            </w:pPr>
            <w:r>
              <w:rPr>
                <w:b/>
                <w:sz w:val="18"/>
              </w:rPr>
              <w:t>ASR Question</w:t>
            </w:r>
          </w:p>
        </w:tc>
        <w:tc>
          <w:tcPr>
            <w:tcW w:type="dxa" w:w="2736"/>
          </w:tcPr>
          <w:p>
            <w:pPr>
              <w:jc w:val="left"/>
            </w:pPr>
            <w:r>
              <w:rPr>
                <w:b/>
                <w:sz w:val="18"/>
              </w:rPr>
              <w:t>Gap Type</w:t>
            </w:r>
          </w:p>
        </w:tc>
        <w:tc>
          <w:tcPr>
            <w:tcW w:type="dxa" w:w="2736"/>
          </w:tcPr>
          <w:p>
            <w:pPr>
              <w:jc w:val="left"/>
            </w:pPr>
            <w:r>
              <w:rPr>
                <w:b/>
                <w:sz w:val="18"/>
              </w:rPr>
              <w:t>Current Policy Coverage</w:t>
            </w:r>
          </w:p>
        </w:tc>
        <w:tc>
          <w:tcPr>
            <w:tcW w:type="dxa" w:w="2736"/>
          </w:tcPr>
          <w:p>
            <w:pPr>
              <w:jc w:val="left"/>
            </w:pPr>
            <w:r>
              <w:rPr>
                <w:b/>
                <w:sz w:val="18"/>
              </w:rPr>
              <w:t>Recommendation</w:t>
            </w:r>
          </w:p>
        </w:tc>
      </w:tr>
      <w:tr>
        <w:trPr>
          <w:trHeight w:hRule="auto" w:val="0"/>
        </w:trPr>
        <w:tc>
          <w:tcPr>
            <w:tcW w:type="dxa" w:w="2736"/>
          </w:tcPr>
          <w:p>
            <w:pPr>
              <w:jc w:val="left"/>
            </w:pPr>
            <w:r>
              <w:rPr>
                <w:sz w:val="18"/>
              </w:rPr>
              <w:t>Governance and Program Management</w:t>
            </w:r>
          </w:p>
        </w:tc>
        <w:tc>
          <w:tcPr>
            <w:tcW w:type="dxa" w:w="2736"/>
          </w:tcPr>
          <w:p>
            <w:pPr>
              <w:jc w:val="left"/>
            </w:pPr>
            <w:r>
              <w:rPr>
                <w:sz w:val="18"/>
              </w:rPr>
              <w:t>What is the business necessity classification for this application?</w:t>
            </w:r>
          </w:p>
        </w:tc>
        <w:tc>
          <w:tcPr>
            <w:tcW w:type="dxa" w:w="2736"/>
            <w:shd w:fill="FFF9C4"/>
          </w:tcPr>
          <w:p>
            <w:pPr>
              <w:jc w:val="left"/>
            </w:pPr>
            <w:r>
              <w:rPr>
                <w:sz w:val="18"/>
              </w:rPr>
              <w:t>Implicit</w:t>
            </w:r>
          </w:p>
        </w:tc>
        <w:tc>
          <w:tcPr>
            <w:tcW w:type="dxa" w:w="2736"/>
          </w:tcPr>
          <w:p>
            <w:pPr>
              <w:jc w:val="left"/>
            </w:pPr>
            <w:r>
              <w:rPr>
                <w:sz w:val="18"/>
              </w:rPr>
              <w:t>ISP 3.1 (Asset Management) identifies assets but does not define a formal business-necessity classification (KTLO / SHOULD / MAY).</w:t>
            </w:r>
          </w:p>
        </w:tc>
        <w:tc>
          <w:tcPr>
            <w:tcW w:type="dxa" w:w="2736"/>
          </w:tcPr>
          <w:p>
            <w:pPr>
              <w:jc w:val="left"/>
            </w:pPr>
            <w:r>
              <w:rPr>
                <w:sz w:val="18"/>
              </w:rPr>
              <w:t>Formalize a business-necessity taxonomy as a standard under ISP 3.1 or a new annex.</w:t>
            </w:r>
          </w:p>
        </w:tc>
      </w:tr>
      <w:tr>
        <w:trPr>
          <w:trHeight w:hRule="auto" w:val="0"/>
        </w:trPr>
        <w:tc>
          <w:tcPr>
            <w:tcW w:type="dxa" w:w="2736"/>
          </w:tcPr>
          <w:p>
            <w:pPr>
              <w:jc w:val="left"/>
            </w:pPr>
            <w:r>
              <w:rPr>
                <w:sz w:val="18"/>
              </w:rPr>
              <w:t>Governance and Program Management</w:t>
            </w:r>
          </w:p>
        </w:tc>
        <w:tc>
          <w:tcPr>
            <w:tcW w:type="dxa" w:w="2736"/>
          </w:tcPr>
          <w:p>
            <w:pPr>
              <w:jc w:val="left"/>
            </w:pPr>
            <w:r>
              <w:rPr>
                <w:sz w:val="18"/>
              </w:rPr>
              <w:t>Are productivity improvement estimates or benchmarks documented?</w:t>
            </w:r>
          </w:p>
        </w:tc>
        <w:tc>
          <w:tcPr>
            <w:tcW w:type="dxa" w:w="2736"/>
            <w:shd w:fill="FFCDD2"/>
          </w:tcPr>
          <w:p>
            <w:pPr>
              <w:jc w:val="left"/>
            </w:pPr>
            <w:r>
              <w:rPr>
                <w:sz w:val="18"/>
              </w:rPr>
              <w:t>Absent</w:t>
            </w:r>
          </w:p>
        </w:tc>
        <w:tc>
          <w:tcPr>
            <w:tcW w:type="dxa" w:w="2736"/>
          </w:tcPr>
          <w:p>
            <w:pPr>
              <w:jc w:val="left"/>
            </w:pPr>
            <w:r>
              <w:rPr>
                <w:sz w:val="18"/>
              </w:rPr>
              <w:t>No published policy addresses productivity benchmarking for technology adoption.</w:t>
            </w:r>
          </w:p>
        </w:tc>
        <w:tc>
          <w:tcPr>
            <w:tcW w:type="dxa" w:w="2736"/>
          </w:tcPr>
          <w:p>
            <w:pPr>
              <w:jc w:val="left"/>
            </w:pPr>
            <w:r>
              <w:rPr>
                <w:sz w:val="18"/>
              </w:rPr>
              <w:t>Consider adding quantitative benefit documentation requirements to the enterprise architecture governance process.</w:t>
            </w:r>
          </w:p>
        </w:tc>
      </w:tr>
      <w:tr>
        <w:trPr>
          <w:trHeight w:hRule="auto" w:val="0"/>
        </w:trPr>
        <w:tc>
          <w:tcPr>
            <w:tcW w:type="dxa" w:w="2736"/>
          </w:tcPr>
          <w:p>
            <w:pPr>
              <w:jc w:val="left"/>
            </w:pPr>
            <w:r>
              <w:rPr>
                <w:sz w:val="18"/>
              </w:rPr>
              <w:t>Governance and Program Management</w:t>
            </w:r>
          </w:p>
        </w:tc>
        <w:tc>
          <w:tcPr>
            <w:tcW w:type="dxa" w:w="2736"/>
          </w:tcPr>
          <w:p>
            <w:pPr>
              <w:jc w:val="left"/>
            </w:pPr>
            <w:r>
              <w:rPr>
                <w:sz w:val="18"/>
              </w:rPr>
              <w:t>Has legal counsel reviewed this application's terms, data handling, and IP implications?</w:t>
            </w:r>
          </w:p>
        </w:tc>
        <w:tc>
          <w:tcPr>
            <w:tcW w:type="dxa" w:w="2736"/>
            <w:shd w:fill="FFF9C4"/>
          </w:tcPr>
          <w:p>
            <w:pPr>
              <w:jc w:val="left"/>
            </w:pPr>
            <w:r>
              <w:rPr>
                <w:sz w:val="18"/>
              </w:rPr>
              <w:t>Implicit</w:t>
            </w:r>
          </w:p>
        </w:tc>
        <w:tc>
          <w:tcPr>
            <w:tcW w:type="dxa" w:w="2736"/>
          </w:tcPr>
          <w:p>
            <w:pPr>
              <w:jc w:val="left"/>
            </w:pPr>
            <w:r>
              <w:rPr>
                <w:sz w:val="18"/>
              </w:rPr>
              <w:t>IISP 5.0 (AI AUP) references legal review for AI tools. No general-purpose legal review policy exists for all application types.</w:t>
            </w:r>
          </w:p>
        </w:tc>
        <w:tc>
          <w:tcPr>
            <w:tcW w:type="dxa" w:w="2736"/>
          </w:tcPr>
          <w:p>
            <w:pPr>
              <w:jc w:val="left"/>
            </w:pPr>
            <w:r>
              <w:rPr>
                <w:sz w:val="18"/>
              </w:rPr>
              <w:t>Establish a legal/IP review gate within the application onboarding process; codify in ISP 2.4 or new standard.</w:t>
            </w:r>
          </w:p>
        </w:tc>
      </w:tr>
      <w:tr>
        <w:trPr>
          <w:trHeight w:hRule="auto" w:val="0"/>
        </w:trPr>
        <w:tc>
          <w:tcPr>
            <w:tcW w:type="dxa" w:w="2736"/>
          </w:tcPr>
          <w:p>
            <w:pPr>
              <w:jc w:val="left"/>
            </w:pPr>
            <w:r>
              <w:rPr>
                <w:sz w:val="18"/>
              </w:rPr>
              <w:t>Governance and Program Management</w:t>
            </w:r>
          </w:p>
        </w:tc>
        <w:tc>
          <w:tcPr>
            <w:tcW w:type="dxa" w:w="2736"/>
          </w:tcPr>
          <w:p>
            <w:pPr>
              <w:jc w:val="left"/>
            </w:pPr>
            <w:r>
              <w:rPr>
                <w:sz w:val="18"/>
              </w:rPr>
              <w:t>Has the application been reviewed through the enterprise architecture governance process?</w:t>
            </w:r>
          </w:p>
        </w:tc>
        <w:tc>
          <w:tcPr>
            <w:tcW w:type="dxa" w:w="2736"/>
            <w:shd w:fill="FFF9C4"/>
          </w:tcPr>
          <w:p>
            <w:pPr>
              <w:jc w:val="left"/>
            </w:pPr>
            <w:r>
              <w:rPr>
                <w:sz w:val="18"/>
              </w:rPr>
              <w:t>Implicit</w:t>
            </w:r>
          </w:p>
        </w:tc>
        <w:tc>
          <w:tcPr>
            <w:tcW w:type="dxa" w:w="2736"/>
          </w:tcPr>
          <w:p>
            <w:pPr>
              <w:jc w:val="left"/>
            </w:pPr>
            <w:r>
              <w:rPr>
                <w:sz w:val="18"/>
              </w:rPr>
              <w:t>ISP 2.5 (Oversight) addresses governance broadly. No dedicated enterprise architecture review policy or standard exists.</w:t>
            </w:r>
          </w:p>
        </w:tc>
        <w:tc>
          <w:tcPr>
            <w:tcW w:type="dxa" w:w="2736"/>
          </w:tcPr>
          <w:p>
            <w:pPr>
              <w:jc w:val="left"/>
            </w:pPr>
            <w:r>
              <w:rPr>
                <w:sz w:val="18"/>
              </w:rPr>
              <w:t>Publish an EA governance review standard linked to ISP 2.5, including defined approval gates.</w:t>
            </w:r>
          </w:p>
        </w:tc>
      </w:tr>
      <w:tr>
        <w:trPr>
          <w:trHeight w:hRule="auto" w:val="0"/>
        </w:trPr>
        <w:tc>
          <w:tcPr>
            <w:tcW w:type="dxa" w:w="2736"/>
          </w:tcPr>
          <w:p>
            <w:pPr>
              <w:jc w:val="left"/>
            </w:pPr>
            <w:r>
              <w:rPr>
                <w:sz w:val="18"/>
              </w:rPr>
              <w:t>Secure Development and Change Management</w:t>
            </w:r>
          </w:p>
        </w:tc>
        <w:tc>
          <w:tcPr>
            <w:tcW w:type="dxa" w:w="2736"/>
          </w:tcPr>
          <w:p>
            <w:pPr>
              <w:jc w:val="left"/>
            </w:pPr>
            <w:r>
              <w:rPr>
                <w:sz w:val="18"/>
              </w:rPr>
              <w:t>Does the application require an out-of-band update mechanism?</w:t>
            </w:r>
          </w:p>
        </w:tc>
        <w:tc>
          <w:tcPr>
            <w:tcW w:type="dxa" w:w="2736"/>
            <w:shd w:fill="FFE0B2"/>
          </w:tcPr>
          <w:p>
            <w:pPr>
              <w:jc w:val="left"/>
            </w:pPr>
            <w:r>
              <w:rPr>
                <w:sz w:val="18"/>
              </w:rPr>
              <w:t>Partial</w:t>
            </w:r>
          </w:p>
        </w:tc>
        <w:tc>
          <w:tcPr>
            <w:tcW w:type="dxa" w:w="2736"/>
          </w:tcPr>
          <w:p>
            <w:pPr>
              <w:jc w:val="left"/>
            </w:pPr>
            <w:r>
              <w:rPr>
                <w:sz w:val="18"/>
              </w:rPr>
              <w:t>ISP 4.4 (Platform Security) covers patching. Out-of-band update channels (CLI, vendor-pushed) lack specific controls.</w:t>
            </w:r>
          </w:p>
        </w:tc>
        <w:tc>
          <w:tcPr>
            <w:tcW w:type="dxa" w:w="2736"/>
          </w:tcPr>
          <w:p>
            <w:pPr>
              <w:jc w:val="left"/>
            </w:pPr>
            <w:r>
              <w:rPr>
                <w:sz w:val="18"/>
              </w:rPr>
              <w:t>Add out-of-band update requirements to ISP 4.4 or IISP 9.0 covering approval, validation, and rollback.</w:t>
            </w:r>
          </w:p>
        </w:tc>
      </w:tr>
      <w:tr>
        <w:trPr>
          <w:trHeight w:hRule="auto" w:val="0"/>
        </w:trPr>
        <w:tc>
          <w:tcPr>
            <w:tcW w:type="dxa" w:w="2736"/>
          </w:tcPr>
          <w:p>
            <w:pPr>
              <w:jc w:val="left"/>
            </w:pPr>
            <w:r>
              <w:rPr>
                <w:sz w:val="18"/>
              </w:rPr>
              <w:t>Secure Development and Change Management</w:t>
            </w:r>
          </w:p>
        </w:tc>
        <w:tc>
          <w:tcPr>
            <w:tcW w:type="dxa" w:w="2736"/>
          </w:tcPr>
          <w:p>
            <w:pPr>
              <w:jc w:val="left"/>
            </w:pPr>
            <w:r>
              <w:rPr>
                <w:sz w:val="18"/>
              </w:rPr>
              <w:t>Are human review and approval required before application outputs are used?</w:t>
            </w:r>
          </w:p>
        </w:tc>
        <w:tc>
          <w:tcPr>
            <w:tcW w:type="dxa" w:w="2736"/>
            <w:shd w:fill="FFE0B2"/>
          </w:tcPr>
          <w:p>
            <w:pPr>
              <w:jc w:val="left"/>
            </w:pPr>
            <w:r>
              <w:rPr>
                <w:sz w:val="18"/>
              </w:rPr>
              <w:t>Partial</w:t>
            </w:r>
          </w:p>
        </w:tc>
        <w:tc>
          <w:tcPr>
            <w:tcW w:type="dxa" w:w="2736"/>
          </w:tcPr>
          <w:p>
            <w:pPr>
              <w:jc w:val="left"/>
            </w:pPr>
            <w:r>
              <w:rPr>
                <w:sz w:val="18"/>
              </w:rPr>
              <w:t>IISP 5.0 requires human review for AI-generated outputs. No equivalent policy for non-AI application outputs that drive decisions.</w:t>
            </w:r>
          </w:p>
        </w:tc>
        <w:tc>
          <w:tcPr>
            <w:tcW w:type="dxa" w:w="2736"/>
          </w:tcPr>
          <w:p>
            <w:pPr>
              <w:jc w:val="left"/>
            </w:pPr>
            <w:r>
              <w:rPr>
                <w:sz w:val="18"/>
              </w:rPr>
              <w:t>Extend human-in-the-loop requirements beyond AI to any application generating operational or financial decisions.</w:t>
            </w:r>
          </w:p>
        </w:tc>
      </w:tr>
      <w:tr>
        <w:trPr>
          <w:trHeight w:hRule="auto" w:val="0"/>
        </w:trPr>
        <w:tc>
          <w:tcPr>
            <w:tcW w:type="dxa" w:w="2736"/>
          </w:tcPr>
          <w:p>
            <w:pPr>
              <w:jc w:val="left"/>
            </w:pPr>
            <w:r>
              <w:rPr>
                <w:sz w:val="18"/>
              </w:rPr>
              <w:t>Vulnerability and Threat Management</w:t>
            </w:r>
          </w:p>
        </w:tc>
        <w:tc>
          <w:tcPr>
            <w:tcW w:type="dxa" w:w="2736"/>
          </w:tcPr>
          <w:p>
            <w:pPr>
              <w:jc w:val="left"/>
            </w:pPr>
            <w:r>
              <w:rPr>
                <w:sz w:val="18"/>
              </w:rPr>
              <w:t>Is application usage monitored with defined KPIs?</w:t>
            </w:r>
          </w:p>
        </w:tc>
        <w:tc>
          <w:tcPr>
            <w:tcW w:type="dxa" w:w="2736"/>
            <w:shd w:fill="FFF9C4"/>
          </w:tcPr>
          <w:p>
            <w:pPr>
              <w:jc w:val="left"/>
            </w:pPr>
            <w:r>
              <w:rPr>
                <w:sz w:val="18"/>
              </w:rPr>
              <w:t>Implicit</w:t>
            </w:r>
          </w:p>
        </w:tc>
        <w:tc>
          <w:tcPr>
            <w:tcW w:type="dxa" w:w="2736"/>
          </w:tcPr>
          <w:p>
            <w:pPr>
              <w:jc w:val="left"/>
            </w:pPr>
            <w:r>
              <w:rPr>
                <w:sz w:val="18"/>
              </w:rPr>
              <w:t>ISP 5.1 (Continuous Monitoring) covers security event monitoring. Application usage telemetry and KPI reporting are not formalized.</w:t>
            </w:r>
          </w:p>
        </w:tc>
        <w:tc>
          <w:tcPr>
            <w:tcW w:type="dxa" w:w="2736"/>
          </w:tcPr>
          <w:p>
            <w:pPr>
              <w:jc w:val="left"/>
            </w:pPr>
            <w:r>
              <w:rPr>
                <w:sz w:val="18"/>
              </w:rPr>
              <w:t>Define usage monitoring and KPI requirements as a standard under ISP 5.1.</w:t>
            </w:r>
          </w:p>
        </w:tc>
      </w:tr>
      <w:tr>
        <w:trPr>
          <w:trHeight w:hRule="auto" w:val="0"/>
        </w:trPr>
        <w:tc>
          <w:tcPr>
            <w:tcW w:type="dxa" w:w="2736"/>
          </w:tcPr>
          <w:p>
            <w:pPr>
              <w:jc w:val="left"/>
            </w:pPr>
            <w:r>
              <w:rPr>
                <w:sz w:val="18"/>
              </w:rPr>
              <w:t>Third-Party and Supply Chain Risk</w:t>
            </w:r>
          </w:p>
        </w:tc>
        <w:tc>
          <w:tcPr>
            <w:tcW w:type="dxa" w:w="2736"/>
          </w:tcPr>
          <w:p>
            <w:pPr>
              <w:jc w:val="left"/>
            </w:pPr>
            <w:r>
              <w:rPr>
                <w:sz w:val="18"/>
              </w:rPr>
              <w:t>Is there a phased deployment plan with maturity-gated control enhancements?</w:t>
            </w:r>
          </w:p>
        </w:tc>
        <w:tc>
          <w:tcPr>
            <w:tcW w:type="dxa" w:w="2736"/>
            <w:shd w:fill="FFF9C4"/>
          </w:tcPr>
          <w:p>
            <w:pPr>
              <w:jc w:val="left"/>
            </w:pPr>
            <w:r>
              <w:rPr>
                <w:sz w:val="18"/>
              </w:rPr>
              <w:t>Implicit</w:t>
            </w:r>
          </w:p>
        </w:tc>
        <w:tc>
          <w:tcPr>
            <w:tcW w:type="dxa" w:w="2736"/>
          </w:tcPr>
          <w:p>
            <w:pPr>
              <w:jc w:val="left"/>
            </w:pPr>
            <w:r>
              <w:rPr>
                <w:sz w:val="18"/>
              </w:rPr>
              <w:t>IISP 5.0 references a crawl/walk/run approach for AI. No general phased deployment framework for other application types.</w:t>
            </w:r>
          </w:p>
        </w:tc>
        <w:tc>
          <w:tcPr>
            <w:tcW w:type="dxa" w:w="2736"/>
          </w:tcPr>
          <w:p>
            <w:pPr>
              <w:jc w:val="left"/>
            </w:pPr>
            <w:r>
              <w:rPr>
                <w:sz w:val="18"/>
              </w:rPr>
              <w:t>Generalize the phased deployment model from IISP 5.0 into ISP 2.6 or a new standard applicable to all third-party/SaaS onboarding.</w:t>
            </w:r>
          </w:p>
        </w:tc>
      </w:tr>
    </w:tbl>
    <w:p/>
    <w:p>
      <w:r>
        <w:rPr>
          <w:b/>
          <w:i w:val="0"/>
        </w:rPr>
        <w:t xml:space="preserve">Gap Types: </w:t>
      </w:r>
      <w:r>
        <w:t>Absent = no published policy addresses this topic. Implicit = existing policy partially relevant but not explicit. Partial = dedicated policy exists but does not fully address the ASR requirement.</w:t>
      </w:r>
    </w:p>
    <w:sectPr w:rsidR="00FC693F" w:rsidRPr="0006063C" w:rsidSect="00034616">
      <w:headerReference w:type="default" r:id="rId9"/>
      <w:footerReference w:type="default" r:id="rId10"/>
      <w:pgSz w:w="15840" w:h="12240" w:orient="landscape"/>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57575"/>
        <w:sz w:val="16"/>
      </w:rPr>
      <w:t>March 3,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757575"/>
        <w:sz w:val="16"/>
      </w:rPr>
      <w:t>Stride, Inc. — Policy Cross Reference V6</w:t>
    </w:r>
    <w:r>
      <w:rPr>
        <w:color w:val="757575"/>
        <w:sz w:val="16"/>
      </w:rPr>
      <w:tab/>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print"/>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4-Accent1">
    <w:name w:val="Grid Table 4 Accent 1"/>
    <w:basedOn w:val="TableNormal"/>
    <w:uiPriority w:val="49"/>
    <w:rsid w:val="00212614"/>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ControlTargetAlignment">
    <w:name w:val="Control Target Alignment"/>
    <w:basedOn w:val="Normal"/>
    <w:qFormat/>
    <w:rsid w:val="00970657"/>
    <w:pPr>
      <w:pBdr>
        <w:top w:val="single" w:sz="4" w:space="1" w:color="auto"/>
        <w:left w:val="single" w:sz="4" w:space="4" w:color="auto"/>
        <w:bottom w:val="single" w:sz="4" w:space="1" w:color="auto"/>
        <w:right w:val="single" w:sz="4" w:space="4" w:color="auto"/>
      </w:pBdr>
      <w:tabs>
        <w:tab w:val="left" w:leader="dot" w:pos="2880"/>
      </w:tabs>
      <w:ind w:left="2880" w:hanging="2880"/>
    </w:pPr>
    <w:rPr>
      <w:b/>
      <w:color w:val="1565C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