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3C7100" w14:textId="77777777" w:rsidR="007B198C" w:rsidRPr="000B11DB" w:rsidRDefault="007B198C" w:rsidP="00292F5D">
      <w:pPr>
        <w:pStyle w:val="Heading2"/>
        <w:spacing w:before="0"/>
        <w:rPr>
          <w:rFonts w:ascii="Times New Roman" w:hAnsi="Times New Roman" w:cs="Times New Roman"/>
          <w:sz w:val="24"/>
          <w:szCs w:val="24"/>
          <w:lang w:val="en-US"/>
        </w:rPr>
      </w:pPr>
      <w:r w:rsidRPr="000B11DB">
        <w:rPr>
          <w:rFonts w:ascii="Times New Roman" w:hAnsi="Times New Roman" w:cs="Times New Roman"/>
          <w:sz w:val="24"/>
          <w:szCs w:val="24"/>
          <w:lang w:val="en-US"/>
        </w:rPr>
        <w:t>Überlieferungsgruppe A: „Kern-Ethica“</w:t>
      </w:r>
    </w:p>
    <w:p w14:paraId="76C7E710" w14:textId="5C856171"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Darstellungen über die</w:t>
      </w:r>
      <w:r w:rsidRPr="000B11DB">
        <w:rPr>
          <w:rFonts w:cs="Times New Roman"/>
          <w:i/>
          <w:iCs/>
          <w:color w:val="343434"/>
          <w:lang w:val="en-US"/>
        </w:rPr>
        <w:t xml:space="preserve"> Ethica Complementoria</w:t>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7E166EA2" w:rsidR="00DC211F" w:rsidRPr="000B11DB" w:rsidRDefault="00DC211F" w:rsidP="00DC211F">
      <w:pPr>
        <w:widowControl w:val="0"/>
        <w:autoSpaceDE w:val="0"/>
        <w:autoSpaceDN w:val="0"/>
        <w:adjustRightInd w:val="0"/>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7B198C" w:rsidRPr="000B11DB">
        <w:rPr>
          <w:rFonts w:cs="Times New Roman"/>
          <w:color w:val="343434"/>
          <w:lang w:val="en-US"/>
        </w:rPr>
        <w:t xml:space="preserve">ist die Fraktur, </w:t>
      </w:r>
      <w:r w:rsidRPr="000B11DB">
        <w:rPr>
          <w:rFonts w:cs="Times New Roman"/>
          <w:color w:val="343434"/>
          <w:lang w:val="en-US"/>
        </w:rPr>
        <w:t xml:space="preserve">Hervorhebung einzelner </w:t>
      </w:r>
      <w:r w:rsidR="00500F3F">
        <w:rPr>
          <w:rFonts w:cs="Times New Roman"/>
          <w:color w:val="343434"/>
          <w:lang w:val="en-US"/>
        </w:rPr>
        <w:t xml:space="preserve">volkssprachiger </w:t>
      </w:r>
      <w:r w:rsidRPr="000B11DB">
        <w:rPr>
          <w:rFonts w:cs="Times New Roman"/>
          <w:color w:val="343434"/>
          <w:lang w:val="en-US"/>
        </w:rPr>
        <w:t xml:space="preserve">Wörter oder Passagen innerhalb des Frakturtextes </w:t>
      </w:r>
      <w:r>
        <w:rPr>
          <w:rFonts w:cs="Times New Roman"/>
          <w:color w:val="343434"/>
          <w:lang w:val="en-US"/>
        </w:rPr>
        <w:t xml:space="preserve">ist durch </w:t>
      </w:r>
      <w:r w:rsidR="007B198C" w:rsidRPr="000B11DB">
        <w:rPr>
          <w:rFonts w:cs="Times New Roman"/>
          <w:color w:val="343434"/>
          <w:lang w:val="en-US"/>
        </w:rPr>
        <w:t xml:space="preserve">Schwabacher </w:t>
      </w:r>
      <w:r>
        <w:rPr>
          <w:rFonts w:cs="Times New Roman"/>
          <w:color w:val="343434"/>
          <w:lang w:val="en-US"/>
        </w:rPr>
        <w:t>realisiert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7B198C" w:rsidRPr="000B11DB">
        <w:rPr>
          <w:rFonts w:cs="Times New Roman"/>
          <w:color w:val="343434"/>
          <w:lang w:val="en-US"/>
        </w:rPr>
        <w:t xml:space="preserve"> 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292F5D">
            <w:pPr>
              <w:widowControl w:val="0"/>
              <w:autoSpaceDE w:val="0"/>
              <w:autoSpaceDN w:val="0"/>
              <w:adjustRightInd w:val="0"/>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292F5D">
            <w:pPr>
              <w:widowControl w:val="0"/>
              <w:autoSpaceDE w:val="0"/>
              <w:autoSpaceDN w:val="0"/>
              <w:adjustRightInd w:val="0"/>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292F5D">
            <w:pPr>
              <w:widowControl w:val="0"/>
              <w:autoSpaceDE w:val="0"/>
              <w:autoSpaceDN w:val="0"/>
              <w:adjustRightInd w:val="0"/>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1B293FDA" w:rsidR="007B198C" w:rsidRPr="000B11DB" w:rsidRDefault="00A07927" w:rsidP="00292F5D">
      <w:pPr>
        <w:widowControl w:val="0"/>
        <w:autoSpaceDE w:val="0"/>
        <w:autoSpaceDN w:val="0"/>
        <w:adjustRightInd w:val="0"/>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in </w:t>
      </w:r>
      <w:r>
        <w:rPr>
          <w:rFonts w:cs="Times New Roman"/>
          <w:color w:val="343434"/>
          <w:lang w:val="en-US"/>
        </w:rPr>
        <w:t>der angegebenen</w:t>
      </w:r>
      <w:r w:rsidR="007B198C" w:rsidRPr="000B11DB">
        <w:rPr>
          <w:rFonts w:cs="Times New Roman"/>
          <w:color w:val="343434"/>
          <w:lang w:val="en-US"/>
        </w:rPr>
        <w:t xml:space="preserve"> Reihenfolge </w:t>
      </w:r>
      <w:r>
        <w:rPr>
          <w:rFonts w:cs="Times New Roman"/>
          <w:color w:val="343434"/>
          <w:lang w:val="en-US"/>
        </w:rPr>
        <w:t xml:space="preserve">machen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77795CB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 xml:space="preserve">editio </w:t>
      </w:r>
      <w:r w:rsidRPr="000B11DB">
        <w:rPr>
          <w:rFonts w:cs="Times New Roman"/>
          <w:i/>
          <w:iCs/>
          <w:color w:val="343434"/>
          <w:lang w:val="en-US"/>
        </w:rPr>
        <w:lastRenderedPageBreak/>
        <w:t>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292F5D">
      <w:pPr>
        <w:widowControl w:val="0"/>
        <w:autoSpaceDE w:val="0"/>
        <w:autoSpaceDN w:val="0"/>
        <w:adjustRightInd w:val="0"/>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281D6529"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Wenn man davon ausgeht, dass es sich bei der </w:t>
      </w:r>
      <w:r w:rsidRPr="003852F8">
        <w:rPr>
          <w:rFonts w:cs="Times New Roman"/>
          <w:i/>
          <w:color w:val="343434"/>
          <w:lang w:val="en-US"/>
        </w:rPr>
        <w:t>Vorrede an den Leser</w:t>
      </w:r>
      <w:r w:rsidRPr="000B11DB">
        <w:rPr>
          <w:rFonts w:cs="Times New Roman"/>
          <w:color w:val="343434"/>
          <w:lang w:val="en-US"/>
        </w:rPr>
        <w:t xml:space="preserve"> um einen Paratext zum Text der </w:t>
      </w:r>
      <w:r w:rsidRPr="000B11DB">
        <w:rPr>
          <w:rFonts w:cs="Times New Roman"/>
          <w:i/>
          <w:iCs/>
          <w:color w:val="343434"/>
          <w:lang w:val="en-US"/>
        </w:rPr>
        <w:t>Ethica</w:t>
      </w:r>
      <w:r w:rsidRPr="000B11DB">
        <w:rPr>
          <w:rFonts w:cs="Times New Roman"/>
          <w:color w:val="343434"/>
          <w:lang w:val="en-US"/>
        </w:rPr>
        <w:t xml:space="preserve"> handelt, und aus der Gattung</w:t>
      </w:r>
      <w:r w:rsidR="00A33AAA">
        <w:rPr>
          <w:rFonts w:cs="Times New Roman"/>
          <w:color w:val="343434"/>
          <w:lang w:val="en-US"/>
        </w:rPr>
        <w:t>sbezeichnung</w:t>
      </w:r>
      <w:r w:rsidR="003852F8">
        <w:rPr>
          <w:rFonts w:cs="Times New Roman"/>
          <w:color w:val="343434"/>
          <w:lang w:val="en-US"/>
        </w:rPr>
        <w:t xml:space="preserve"> ‚Ethica‘ </w:t>
      </w:r>
      <w:r w:rsidRPr="000B11DB">
        <w:rPr>
          <w:rFonts w:cs="Times New Roman"/>
          <w:color w:val="343434"/>
          <w:lang w:val="en-US"/>
        </w:rPr>
        <w:t xml:space="preserve">(Traktate und Anleitungen) darauf schließt, dass in der Vorrede und dem übrigen Paratext keine Autor- oder Herausgeber-Fiktion konstruiert wird, die eine bestimmte Rezeptionshaltung beim Leser erreichen möchte, kann man m. E. davon ausgehen, dass </w:t>
      </w:r>
      <w:r w:rsidR="00A33AAA">
        <w:rPr>
          <w:rFonts w:cs="Times New Roman"/>
          <w:color w:val="343434"/>
          <w:lang w:val="en-US"/>
        </w:rPr>
        <w:t xml:space="preserve">im Paratext zutreffende Aussagen gemacht werden. Allerdings finden sich keine Angaben zu </w:t>
      </w:r>
      <w:r w:rsidRPr="000B11DB">
        <w:rPr>
          <w:rFonts w:cs="Times New Roman"/>
          <w:color w:val="343434"/>
          <w:lang w:val="en-US"/>
        </w:rPr>
        <w:t xml:space="preserve">Zeitpunkt </w:t>
      </w:r>
      <w:r w:rsidR="00A33AAA">
        <w:rPr>
          <w:rFonts w:cs="Times New Roman"/>
          <w:color w:val="343434"/>
          <w:lang w:val="en-US"/>
        </w:rPr>
        <w:t>und</w:t>
      </w:r>
      <w:r w:rsidRPr="000B11DB">
        <w:rPr>
          <w:rFonts w:cs="Times New Roman"/>
          <w:color w:val="343434"/>
          <w:lang w:val="en-US"/>
        </w:rPr>
        <w:t xml:space="preserve"> Ort der Abfassung</w:t>
      </w:r>
      <w:r w:rsidR="00A33AAA">
        <w:rPr>
          <w:rFonts w:cs="Times New Roman"/>
          <w:color w:val="343434"/>
          <w:lang w:val="en-US"/>
        </w:rPr>
        <w:t>,</w:t>
      </w:r>
      <w:r w:rsidRPr="000B11DB">
        <w:rPr>
          <w:rFonts w:cs="Times New Roman"/>
          <w:color w:val="343434"/>
          <w:lang w:val="en-US"/>
        </w:rPr>
        <w:t xml:space="preserve"> </w:t>
      </w:r>
      <w:r w:rsidR="00A33AAA">
        <w:rPr>
          <w:rFonts w:cs="Times New Roman"/>
          <w:color w:val="343434"/>
          <w:lang w:val="en-US"/>
        </w:rPr>
        <w:t>zu</w:t>
      </w:r>
      <w:r w:rsidRPr="000B11DB">
        <w:rPr>
          <w:rFonts w:cs="Times New Roman"/>
          <w:color w:val="343434"/>
          <w:lang w:val="en-US"/>
        </w:rPr>
        <w:t>r Kompilation des Manuskripts oder </w:t>
      </w:r>
      <w:r w:rsidR="00A33AAA">
        <w:rPr>
          <w:rFonts w:cs="Times New Roman"/>
          <w:color w:val="343434"/>
          <w:lang w:val="en-US"/>
        </w:rPr>
        <w:t>zur</w:t>
      </w:r>
      <w:r w:rsidRPr="000B11DB">
        <w:rPr>
          <w:rFonts w:cs="Times New Roman"/>
          <w:color w:val="343434"/>
          <w:lang w:val="en-US"/>
        </w:rPr>
        <w:t xml:space="preserve"> Verfasser</w:t>
      </w:r>
      <w:r w:rsidR="00A33AAA">
        <w:rPr>
          <w:rFonts w:cs="Times New Roman"/>
          <w:color w:val="343434"/>
          <w:lang w:val="en-US"/>
        </w:rPr>
        <w:t>frage</w:t>
      </w:r>
      <w:r w:rsidRPr="000B11DB">
        <w:rPr>
          <w:rFonts w:cs="Times New Roman"/>
          <w:color w:val="343434"/>
          <w:lang w:val="en-US"/>
        </w:rPr>
        <w:t xml:space="preserve">. Was sich dem einleitenden Satz der Vorrede darüber hinaus entnehmen lässt, sind die pädagogische Ausrichtung der </w:t>
      </w:r>
      <w:r w:rsidRPr="000B11DB">
        <w:rPr>
          <w:rFonts w:cs="Times New Roman"/>
          <w:i/>
          <w:iCs/>
          <w:color w:val="343434"/>
          <w:lang w:val="en-US"/>
        </w:rPr>
        <w:t>Ethica</w:t>
      </w:r>
      <w:r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Pr="000B11DB">
        <w:rPr>
          <w:rFonts w:cs="Times New Roman"/>
          <w:color w:val="343434"/>
          <w:lang w:val="en-US"/>
        </w:rPr>
        <w:t>, resp. ein Bedarf an Unterweisung im Komplimentieren.</w:t>
      </w:r>
    </w:p>
    <w:p w14:paraId="582B2097" w14:textId="77777777" w:rsidR="00BD4702"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A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Pr="000B11DB">
        <w:rPr>
          <w:rFonts w:cs="Times New Roman"/>
          <w:color w:val="343434"/>
          <w:lang w:val="en-US"/>
        </w:rPr>
        <w:t xml:space="preserve">. </w:t>
      </w:r>
      <w:r w:rsidR="003B63F0">
        <w:rPr>
          <w:rFonts w:cs="Times New Roman"/>
          <w:color w:val="343434"/>
          <w:lang w:val="en-US"/>
        </w:rPr>
        <w:t>Ein</w:t>
      </w:r>
      <w:r w:rsidRPr="000B11DB">
        <w:rPr>
          <w:rFonts w:cs="Times New Roman"/>
          <w:color w:val="343434"/>
          <w:lang w:val="en-US"/>
        </w:rPr>
        <w:t xml:space="preserve"> unfirmierte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F74445E" w:rsidR="003B63F0"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 nicht offen; vermutlic</w:t>
      </w:r>
      <w:r w:rsidR="003B63F0">
        <w:rPr>
          <w:rFonts w:cs="Times New Roman"/>
          <w:color w:val="343434"/>
          <w:lang w:val="en-US"/>
        </w:rPr>
        <w:t>h ist er wie folgt vorgegangen:</w:t>
      </w:r>
    </w:p>
    <w:p w14:paraId="7F88EE8D" w14:textId="1A6F8F76" w:rsidR="00BE5E96" w:rsidRDefault="003B63F0" w:rsidP="00292F5D">
      <w:pPr>
        <w:widowControl w:val="0"/>
        <w:autoSpaceDE w:val="0"/>
        <w:autoSpaceDN w:val="0"/>
        <w:adjustRightInd w:val="0"/>
        <w:rPr>
          <w:rFonts w:cs="Times New Roman"/>
          <w:color w:val="343434"/>
          <w:lang w:val="en-US"/>
        </w:rPr>
      </w:pPr>
      <w:r>
        <w:rPr>
          <w:rFonts w:cs="Times New Roman"/>
          <w:color w:val="343434"/>
          <w:lang w:val="en-US"/>
        </w:rPr>
        <w:t>W</w:t>
      </w:r>
      <w:r w:rsidR="007B198C" w:rsidRPr="000B11DB">
        <w:rPr>
          <w:rFonts w:cs="Times New Roman"/>
          <w:color w:val="343434"/>
          <w:lang w:val="en-US"/>
        </w:rPr>
        <w:t>ir wissen, dass es einen Hamburger Druck bei Heinrich Werner gegeben hat</w:t>
      </w:r>
      <w:r>
        <w:rPr>
          <w:rFonts w:cs="Times New Roman"/>
          <w:color w:val="343434"/>
          <w:lang w:val="en-US"/>
        </w:rPr>
        <w:t xml:space="preserve"> [A2]. Wir wissen des W</w:t>
      </w:r>
      <w:r w:rsidR="007B198C" w:rsidRPr="000B11DB">
        <w:rPr>
          <w:rFonts w:cs="Times New Roman"/>
          <w:color w:val="343434"/>
          <w:lang w:val="en-US"/>
        </w:rPr>
        <w:t>eiteren, dass es einen Druck von 1645 gegeben hat</w:t>
      </w:r>
      <w:r w:rsidR="00165D58">
        <w:rPr>
          <w:rFonts w:cs="Times New Roman"/>
          <w:color w:val="343434"/>
          <w:lang w:val="en-US"/>
        </w:rPr>
        <w:t xml:space="preserve"> [A3]</w:t>
      </w:r>
      <w:r w:rsidR="00292F5D">
        <w:rPr>
          <w:rFonts w:cs="Times New Roman"/>
          <w:color w:val="343434"/>
          <w:lang w:val="en-US"/>
        </w:rPr>
        <w:t>, der typograph</w:t>
      </w:r>
      <w:r w:rsidR="007B198C" w:rsidRPr="000B11DB">
        <w:rPr>
          <w:rFonts w:cs="Times New Roman"/>
          <w:color w:val="343434"/>
          <w:lang w:val="en-US"/>
        </w:rPr>
        <w:t xml:space="preserve">isch (Buchformat, Bogenanzahl, Einrichtung der Seite etc.) </w:t>
      </w:r>
      <w:r w:rsidR="00165D58">
        <w:rPr>
          <w:rFonts w:cs="Times New Roman"/>
          <w:color w:val="343434"/>
          <w:lang w:val="en-US"/>
        </w:rPr>
        <w:t>[A2] ähnelt und bei dem</w:t>
      </w:r>
      <w:r w:rsidR="007B198C" w:rsidRPr="000B11DB">
        <w:rPr>
          <w:rFonts w:cs="Times New Roman"/>
          <w:color w:val="343434"/>
          <w:lang w:val="en-US"/>
        </w:rPr>
        <w:t xml:space="preserve"> </w:t>
      </w:r>
      <w:r w:rsidR="00165D58">
        <w:rPr>
          <w:rFonts w:cs="Times New Roman"/>
          <w:color w:val="343434"/>
          <w:lang w:val="en-US"/>
        </w:rPr>
        <w:t>d</w:t>
      </w:r>
      <w:r w:rsidR="007B198C" w:rsidRPr="000B11DB">
        <w:rPr>
          <w:rFonts w:cs="Times New Roman"/>
          <w:color w:val="343434"/>
          <w:lang w:val="en-US"/>
        </w:rPr>
        <w:t xml:space="preserve">arüber hinaus der Textbestand – beim kursorischen </w:t>
      </w:r>
      <w:r w:rsidR="00165D58">
        <w:rPr>
          <w:rFonts w:cs="Times New Roman"/>
          <w:color w:val="343434"/>
          <w:lang w:val="en-US"/>
        </w:rPr>
        <w:t>Lesen</w:t>
      </w:r>
      <w:r w:rsidR="007B198C" w:rsidRPr="000B11DB">
        <w:rPr>
          <w:rFonts w:cs="Times New Roman"/>
          <w:color w:val="343434"/>
          <w:lang w:val="en-US"/>
        </w:rPr>
        <w:t xml:space="preserve"> – </w:t>
      </w:r>
      <w:r w:rsidR="00165D58">
        <w:rPr>
          <w:rFonts w:cs="Times New Roman"/>
          <w:color w:val="343434"/>
          <w:lang w:val="en-US"/>
        </w:rPr>
        <w:t xml:space="preserve">grob </w:t>
      </w:r>
      <w:r w:rsidR="007B198C" w:rsidRPr="000B11DB">
        <w:rPr>
          <w:rFonts w:cs="Times New Roman"/>
          <w:color w:val="343434"/>
          <w:lang w:val="en-US"/>
        </w:rPr>
        <w:t xml:space="preserve">übereinstimmt. </w:t>
      </w:r>
      <w:r w:rsidR="00165D58">
        <w:rPr>
          <w:rFonts w:cs="Times New Roman"/>
          <w:color w:val="343434"/>
          <w:lang w:val="en-US"/>
        </w:rPr>
        <w:t>Sodann</w:t>
      </w:r>
      <w:r w:rsidR="007B198C" w:rsidRPr="000B11DB">
        <w:rPr>
          <w:rFonts w:cs="Times New Roman"/>
          <w:color w:val="343434"/>
          <w:lang w:val="en-US"/>
        </w:rPr>
        <w:t xml:space="preserve"> wissen wir von einer firmierten, datierten Ausgabe der Ethica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Der undatierte Druck</w:t>
      </w:r>
      <w:r w:rsidR="00BE5E96">
        <w:rPr>
          <w:rFonts w:cs="Times New Roman"/>
          <w:color w:val="343434"/>
          <w:lang w:val="en-US"/>
        </w:rPr>
        <w:t xml:space="preserve"> [A2]</w:t>
      </w:r>
      <w:r w:rsidR="007B198C" w:rsidRPr="000B11DB">
        <w:rPr>
          <w:rFonts w:cs="Times New Roman"/>
          <w:color w:val="343434"/>
          <w:lang w:val="en-US"/>
        </w:rPr>
        <w:t>, der oberflächlich dem datierten</w:t>
      </w:r>
      <w:r w:rsidR="00BE5E96">
        <w:rPr>
          <w:rFonts w:cs="Times New Roman"/>
          <w:color w:val="343434"/>
          <w:lang w:val="en-US"/>
        </w:rPr>
        <w:t xml:space="preserve"> [A3]</w:t>
      </w:r>
      <w:r w:rsidR="007B198C" w:rsidRPr="000B11DB">
        <w:rPr>
          <w:rFonts w:cs="Times New Roman"/>
          <w:color w:val="343434"/>
          <w:lang w:val="en-US"/>
        </w:rPr>
        <w:t xml:space="preserve"> stark ähnelt und ebenfalls in Hamburg gedruckt worden ist</w:t>
      </w:r>
      <w:r w:rsidR="00BE5E96">
        <w:rPr>
          <w:rFonts w:cs="Times New Roman"/>
          <w:color w:val="343434"/>
          <w:lang w:val="en-US"/>
        </w:rPr>
        <w:t>,</w:t>
      </w:r>
      <w:r w:rsidR="007B198C" w:rsidRPr="000B11DB">
        <w:rPr>
          <w:rFonts w:cs="Times New Roman"/>
          <w:color w:val="343434"/>
          <w:lang w:val="en-US"/>
        </w:rPr>
        <w:t xml:space="preserve"> ist also vermutlich </w:t>
      </w:r>
      <w:r w:rsidR="007B198C" w:rsidRPr="00BE5E96">
        <w:rPr>
          <w:rFonts w:cs="Times New Roman"/>
          <w:i/>
          <w:color w:val="343434"/>
          <w:lang w:val="en-US"/>
        </w:rPr>
        <w:t>vor</w:t>
      </w:r>
      <w:r w:rsidR="007B198C" w:rsidRPr="000B11DB">
        <w:rPr>
          <w:rFonts w:cs="Times New Roman"/>
          <w:color w:val="343434"/>
          <w:lang w:val="en-US"/>
        </w:rPr>
        <w:t xml:space="preserve"> 1647 (dem Druckdatum </w:t>
      </w:r>
      <w:r w:rsidR="00BE5E96">
        <w:rPr>
          <w:rFonts w:cs="Times New Roman"/>
          <w:color w:val="343434"/>
          <w:lang w:val="en-US"/>
        </w:rPr>
        <w:t>der Naumannschen Ausgabe [B1]) entstanden.</w:t>
      </w:r>
    </w:p>
    <w:p w14:paraId="111F7823" w14:textId="08A6F5DE" w:rsidR="007B198C" w:rsidRPr="000B11DB"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Warum er jedoch </w:t>
      </w:r>
      <w:r w:rsidRPr="00562E77">
        <w:rPr>
          <w:rFonts w:cs="Times New Roman"/>
          <w:i/>
          <w:color w:val="343434"/>
          <w:lang w:val="en-US"/>
        </w:rPr>
        <w:t>nach</w:t>
      </w:r>
      <w:r w:rsidRPr="000B11DB">
        <w:rPr>
          <w:rFonts w:cs="Times New Roman"/>
          <w:color w:val="343434"/>
          <w:lang w:val="en-US"/>
        </w:rPr>
        <w:t xml:space="preserve"> 1645 entstanden sein soll, wird nicht recht ersichtlich, zumal wenn man bedenkt, dass </w:t>
      </w:r>
      <w:r w:rsidR="00562E77">
        <w:rPr>
          <w:rFonts w:cs="Times New Roman"/>
          <w:color w:val="343434"/>
          <w:lang w:val="en-US"/>
        </w:rPr>
        <w:t xml:space="preserve">[A2] als </w:t>
      </w:r>
      <w:r w:rsidRPr="000B11DB">
        <w:rPr>
          <w:rFonts w:cs="Times New Roman"/>
          <w:color w:val="343434"/>
          <w:lang w:val="en-US"/>
        </w:rPr>
        <w:t>Titel</w:t>
      </w:r>
      <w:r w:rsidR="00562E77">
        <w:rPr>
          <w:rFonts w:cs="Times New Roman"/>
          <w:color w:val="343434"/>
          <w:lang w:val="en-US"/>
        </w:rPr>
        <w:t>zusatz</w:t>
      </w:r>
      <w:r w:rsidRPr="000B11DB">
        <w:rPr>
          <w:rFonts w:cs="Times New Roman"/>
          <w:color w:val="343434"/>
          <w:lang w:val="en-US"/>
        </w:rPr>
        <w:t xml:space="preserve"> den Hinweis „erstlich gedruckt zu Hamburg“ </w:t>
      </w:r>
      <w:r w:rsidR="00562E77">
        <w:rPr>
          <w:rFonts w:cs="Times New Roman"/>
          <w:color w:val="343434"/>
          <w:lang w:val="en-US"/>
        </w:rPr>
        <w:t>enthält</w:t>
      </w:r>
      <w:r w:rsidRPr="000B11DB">
        <w:rPr>
          <w:rFonts w:cs="Times New Roman"/>
          <w:color w:val="343434"/>
          <w:lang w:val="en-US"/>
        </w:rPr>
        <w:t>,</w:t>
      </w:r>
      <w:r w:rsidR="00562E77">
        <w:rPr>
          <w:rStyle w:val="FootnoteReference"/>
          <w:rFonts w:cs="Times New Roman"/>
          <w:color w:val="343434"/>
          <w:lang w:val="en-US"/>
        </w:rPr>
        <w:footnoteReference w:id="1"/>
      </w:r>
      <w:r w:rsidRPr="000B11DB">
        <w:rPr>
          <w:rFonts w:cs="Times New Roman"/>
          <w:color w:val="343434"/>
          <w:lang w:val="en-US"/>
        </w:rPr>
        <w:t xml:space="preserve"> was e</w:t>
      </w:r>
      <w:r w:rsidR="00562E77">
        <w:rPr>
          <w:rFonts w:cs="Times New Roman"/>
          <w:color w:val="343434"/>
          <w:lang w:val="en-US"/>
        </w:rPr>
        <w:t>he</w:t>
      </w:r>
      <w:r w:rsidRPr="000B11DB">
        <w:rPr>
          <w:rFonts w:cs="Times New Roman"/>
          <w:color w:val="343434"/>
          <w:lang w:val="en-US"/>
        </w:rPr>
        <w:t>r darauf hindeuten würde, dass es sich hierbei um den Erstdruck</w:t>
      </w:r>
      <w:r w:rsidR="00562E77">
        <w:rPr>
          <w:rFonts w:cs="Times New Roman"/>
          <w:color w:val="343434"/>
          <w:lang w:val="en-US"/>
        </w:rPr>
        <w:t>– zumindest in Hamburg –</w:t>
      </w:r>
      <w:r w:rsidRPr="000B11DB">
        <w:rPr>
          <w:rFonts w:cs="Times New Roman"/>
          <w:color w:val="343434"/>
          <w:lang w:val="en-US"/>
        </w:rPr>
        <w:t xml:space="preserve"> handelt der </w:t>
      </w:r>
      <w:r w:rsidR="00562E77">
        <w:rPr>
          <w:rFonts w:cs="Times New Roman"/>
          <w:color w:val="343434"/>
          <w:lang w:val="en-US"/>
        </w:rPr>
        <w:t xml:space="preserve">demnach </w:t>
      </w:r>
      <w:r w:rsidRPr="00562E77">
        <w:rPr>
          <w:rFonts w:cs="Times New Roman"/>
          <w:i/>
          <w:color w:val="343434"/>
          <w:lang w:val="en-US"/>
        </w:rPr>
        <w:t>vor</w:t>
      </w:r>
      <w:r w:rsidRPr="000B11DB">
        <w:rPr>
          <w:rFonts w:cs="Times New Roman"/>
          <w:color w:val="343434"/>
          <w:lang w:val="en-US"/>
        </w:rPr>
        <w:t xml:space="preserve"> </w:t>
      </w:r>
      <w:r w:rsidR="00562E77">
        <w:rPr>
          <w:rFonts w:cs="Times New Roman"/>
          <w:color w:val="343434"/>
          <w:lang w:val="en-US"/>
        </w:rPr>
        <w:t xml:space="preserve">[A3] (also </w:t>
      </w:r>
      <w:r w:rsidRPr="000B11DB">
        <w:rPr>
          <w:rFonts w:cs="Times New Roman"/>
          <w:color w:val="343434"/>
          <w:lang w:val="en-US"/>
        </w:rPr>
        <w:t>1645</w:t>
      </w:r>
      <w:r w:rsidR="00562E77">
        <w:rPr>
          <w:rFonts w:cs="Times New Roman"/>
          <w:color w:val="343434"/>
          <w:lang w:val="en-US"/>
        </w:rPr>
        <w:t>)</w:t>
      </w:r>
      <w:r w:rsidRPr="000B11DB">
        <w:rPr>
          <w:rFonts w:cs="Times New Roman"/>
          <w:color w:val="343434"/>
          <w:lang w:val="en-US"/>
        </w:rPr>
        <w:t xml:space="preserve"> hergestellt worden ist. Vermutlich gibt Dünnhaupt </w:t>
      </w:r>
      <w:r w:rsidR="00562E77">
        <w:rPr>
          <w:rFonts w:cs="Times New Roman"/>
          <w:color w:val="343434"/>
          <w:lang w:val="en-US"/>
        </w:rPr>
        <w:t xml:space="preserve">jedoch </w:t>
      </w:r>
      <w:r w:rsidRPr="000B11DB">
        <w:rPr>
          <w:rFonts w:cs="Times New Roman"/>
          <w:color w:val="343434"/>
          <w:lang w:val="en-US"/>
        </w:rPr>
        <w:t>dem datierten Druck</w:t>
      </w:r>
      <w:r w:rsidR="00562E77">
        <w:rPr>
          <w:rFonts w:cs="Times New Roman"/>
          <w:color w:val="343434"/>
          <w:lang w:val="en-US"/>
        </w:rPr>
        <w:t xml:space="preserve"> [A3]</w:t>
      </w:r>
      <w:r w:rsidRPr="000B11DB">
        <w:rPr>
          <w:rFonts w:cs="Times New Roman"/>
          <w:color w:val="343434"/>
          <w:lang w:val="en-US"/>
        </w:rPr>
        <w:t xml:space="preserve"> den Vorzug. Zusammengenommen lässt sich sagen, dass </w:t>
      </w:r>
      <w:r w:rsidR="00562E77">
        <w:rPr>
          <w:rFonts w:cs="Times New Roman"/>
          <w:color w:val="343434"/>
          <w:lang w:val="en-US"/>
        </w:rPr>
        <w:t>diese</w:t>
      </w:r>
      <w:r w:rsidRPr="000B11DB">
        <w:rPr>
          <w:rFonts w:cs="Times New Roman"/>
          <w:color w:val="343434"/>
          <w:lang w:val="en-US"/>
        </w:rPr>
        <w:t xml:space="preserve"> Argumentation (soweit sie sich überhaupt aus den spärlichen Angaben rekonstruieren lässt) nicht stichhaltig ist.</w:t>
      </w:r>
    </w:p>
    <w:p w14:paraId="7A6BB724" w14:textId="05529758" w:rsidR="001A3464"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Die Überlieferungslage hat sich jedoch mit dem Auffinden </w:t>
      </w:r>
      <w:r w:rsidR="00FF4AAE">
        <w:rPr>
          <w:rFonts w:cs="Times New Roman"/>
          <w:color w:val="343434"/>
          <w:lang w:val="en-US"/>
        </w:rPr>
        <w:t>von [A1]</w:t>
      </w:r>
      <w:r w:rsidRPr="000B11DB">
        <w:rPr>
          <w:rFonts w:cs="Times New Roman"/>
          <w:color w:val="343434"/>
          <w:lang w:val="en-US"/>
        </w:rPr>
        <w:t xml:space="preserve"> grundlegend verändert. Zunächst wird damit der Entstehungsort der </w:t>
      </w:r>
      <w:r w:rsidRPr="00FF4AAE">
        <w:rPr>
          <w:rFonts w:cs="Times New Roman"/>
          <w:i/>
          <w:color w:val="343434"/>
          <w:lang w:val="en-US"/>
        </w:rPr>
        <w:t>Ethica</w:t>
      </w:r>
      <w:r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Pr="000B11DB">
        <w:rPr>
          <w:rFonts w:cs="Times New Roman"/>
          <w:color w:val="343434"/>
          <w:lang w:val="en-US"/>
        </w:rPr>
        <w:t xml:space="preserve">, dass es eine frühere Ausgabe </w:t>
      </w:r>
      <w:r w:rsidRPr="001A3464">
        <w:rPr>
          <w:rFonts w:cs="Times New Roman"/>
          <w:i/>
          <w:color w:val="343434"/>
          <w:lang w:val="en-US"/>
        </w:rPr>
        <w:t>an einem anderen Ort</w:t>
      </w:r>
      <w:r w:rsidRPr="000B11DB">
        <w:rPr>
          <w:rFonts w:cs="Times New Roman"/>
          <w:color w:val="343434"/>
          <w:lang w:val="en-US"/>
        </w:rPr>
        <w:t xml:space="preserve"> gegeben hat, die</w:t>
      </w:r>
      <w:r w:rsidR="001A3464">
        <w:rPr>
          <w:rFonts w:cs="Times New Roman"/>
          <w:color w:val="343434"/>
          <w:lang w:val="en-US"/>
        </w:rPr>
        <w:t>,</w:t>
      </w:r>
      <w:r w:rsidRPr="000B11DB">
        <w:rPr>
          <w:rFonts w:cs="Times New Roman"/>
          <w:color w:val="343434"/>
          <w:lang w:val="en-US"/>
        </w:rPr>
        <w:t xml:space="preserve"> </w:t>
      </w:r>
      <w:commentRangeStart w:id="0"/>
      <w:r w:rsidRPr="00523E6C">
        <w:rPr>
          <w:rFonts w:cs="Times New Roman"/>
          <w:color w:val="343434"/>
          <w:highlight w:val="green"/>
          <w:lang w:val="en-US"/>
        </w:rPr>
        <w:t xml:space="preserve">auch wenn sie nicht die direkte Vorlage </w:t>
      </w:r>
      <w:r w:rsidR="001A3464" w:rsidRPr="00523E6C">
        <w:rPr>
          <w:rFonts w:cs="Times New Roman"/>
          <w:color w:val="343434"/>
          <w:highlight w:val="green"/>
          <w:lang w:val="en-US"/>
        </w:rPr>
        <w:t>von [A2]</w:t>
      </w:r>
      <w:r w:rsidRPr="00523E6C">
        <w:rPr>
          <w:rFonts w:cs="Times New Roman"/>
          <w:color w:val="343434"/>
          <w:highlight w:val="green"/>
          <w:lang w:val="en-US"/>
        </w:rPr>
        <w:t xml:space="preserve"> gewesen ist, so doch zumindest eine gewisse Bekanntheit vorausgesetzt werden kann (zumindest insoweit als dass sich der Drucker dazu veranlasst </w:t>
      </w:r>
      <w:r w:rsidR="001A3464" w:rsidRPr="00523E6C">
        <w:rPr>
          <w:rFonts w:cs="Times New Roman"/>
          <w:color w:val="343434"/>
          <w:highlight w:val="green"/>
          <w:lang w:val="en-US"/>
        </w:rPr>
        <w:t>sah</w:t>
      </w:r>
      <w:r w:rsidRPr="00523E6C">
        <w:rPr>
          <w:rFonts w:cs="Times New Roman"/>
          <w:color w:val="343434"/>
          <w:highlight w:val="green"/>
          <w:lang w:val="en-US"/>
        </w:rPr>
        <w:t xml:space="preserve"> seine Ausgabe mit einem entspr</w:t>
      </w:r>
      <w:r w:rsidR="001A3464" w:rsidRPr="00523E6C">
        <w:rPr>
          <w:rFonts w:cs="Times New Roman"/>
          <w:color w:val="343434"/>
          <w:highlight w:val="green"/>
          <w:lang w:val="en-US"/>
        </w:rPr>
        <w:t>echenden Zusatz zu markieren)</w:t>
      </w:r>
      <w:commentRangeEnd w:id="0"/>
      <w:r w:rsidR="00523E6C">
        <w:rPr>
          <w:rStyle w:val="CommentReference"/>
        </w:rPr>
        <w:commentReference w:id="0"/>
      </w:r>
      <w:r w:rsidR="001A3464">
        <w:rPr>
          <w:rFonts w:cs="Times New Roman"/>
          <w:color w:val="343434"/>
          <w:lang w:val="en-US"/>
        </w:rPr>
        <w:t>. D</w:t>
      </w:r>
      <w:r w:rsidRPr="000B11DB">
        <w:rPr>
          <w:rFonts w:cs="Times New Roman"/>
          <w:color w:val="343434"/>
          <w:lang w:val="en-US"/>
        </w:rPr>
        <w:t xml:space="preserve">amit lässt sich festhalten, dass </w:t>
      </w:r>
      <w:r w:rsidR="001A3464">
        <w:rPr>
          <w:rFonts w:cs="Times New Roman"/>
          <w:color w:val="343434"/>
          <w:lang w:val="en-US"/>
        </w:rPr>
        <w:t>[A2]</w:t>
      </w:r>
      <w:r w:rsidRPr="000B11DB">
        <w:rPr>
          <w:rFonts w:cs="Times New Roman"/>
          <w:color w:val="343434"/>
          <w:lang w:val="en-US"/>
        </w:rPr>
        <w:t xml:space="preserve"> aller Wahrscheinlichkeit </w:t>
      </w:r>
      <w:r w:rsidR="00AA5898">
        <w:rPr>
          <w:rFonts w:cs="Times New Roman"/>
          <w:color w:val="343434"/>
          <w:lang w:val="en-US"/>
        </w:rPr>
        <w:t xml:space="preserve">nach </w:t>
      </w:r>
      <w:r w:rsidRPr="00AA5898">
        <w:rPr>
          <w:rFonts w:cs="Times New Roman"/>
          <w:i/>
          <w:color w:val="343434"/>
          <w:lang w:val="en-US"/>
        </w:rPr>
        <w:t>nach</w:t>
      </w:r>
      <w:r w:rsidRPr="000B11DB">
        <w:rPr>
          <w:rFonts w:cs="Times New Roman"/>
          <w:color w:val="343434"/>
          <w:lang w:val="en-US"/>
        </w:rPr>
        <w:t xml:space="preserve"> 1</w:t>
      </w:r>
      <w:r w:rsidR="001A3464">
        <w:rPr>
          <w:rFonts w:cs="Times New Roman"/>
          <w:color w:val="343434"/>
          <w:lang w:val="en-US"/>
        </w:rPr>
        <w:t>643 entstanden sein muss</w:t>
      </w:r>
      <w:r w:rsidR="00AA5898">
        <w:rPr>
          <w:rFonts w:cs="Times New Roman"/>
          <w:color w:val="343434"/>
          <w:lang w:val="en-US"/>
        </w:rPr>
        <w:t xml:space="preserve">: </w:t>
      </w:r>
      <w:r w:rsidR="00AA5898" w:rsidRPr="00AA5898">
        <w:rPr>
          <w:rFonts w:cs="Times New Roman"/>
          <w:i/>
          <w:color w:val="343434"/>
          <w:lang w:val="en-US"/>
        </w:rPr>
        <w:t>terminus post quem</w:t>
      </w:r>
      <w:r w:rsidR="001A3464">
        <w:rPr>
          <w:rFonts w:cs="Times New Roman"/>
          <w:color w:val="343434"/>
          <w:lang w:val="en-US"/>
        </w:rPr>
        <w:t>.</w:t>
      </w:r>
    </w:p>
    <w:p w14:paraId="7F50961A" w14:textId="2F93A657" w:rsidR="007B198C" w:rsidRPr="000B11DB" w:rsidRDefault="001A3464" w:rsidP="00292F5D">
      <w:pPr>
        <w:widowControl w:val="0"/>
        <w:autoSpaceDE w:val="0"/>
        <w:autoSpaceDN w:val="0"/>
        <w:adjustRightInd w:val="0"/>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A206FA">
        <w:rPr>
          <w:rFonts w:cs="Times New Roman"/>
          <w:color w:val="343434"/>
          <w:lang w:val="en-US"/>
        </w:rPr>
        <w:t xml:space="preserve">Darüber hinaus lässt der Titelzusatz "erstlich in Hamburg gedruckt"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die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77777777" w:rsidR="00DB5633" w:rsidRDefault="007B198C" w:rsidP="00292F5D">
      <w:pPr>
        <w:widowControl w:val="0"/>
        <w:autoSpaceDE w:val="0"/>
        <w:autoSpaceDN w:val="0"/>
        <w:adjustRightInd w:val="0"/>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519B56E9" w14:textId="013DC690" w:rsidR="007B198C" w:rsidRPr="000B11DB" w:rsidRDefault="00DB5633" w:rsidP="00292F5D">
      <w:pPr>
        <w:widowControl w:val="0"/>
        <w:autoSpaceDE w:val="0"/>
        <w:autoSpaceDN w:val="0"/>
        <w:adjustRightInd w:val="0"/>
        <w:rPr>
          <w:rFonts w:cs="Times New Roman"/>
          <w:color w:val="343434"/>
          <w:lang w:val="en-US"/>
        </w:rPr>
      </w:pPr>
      <w:r>
        <w:rPr>
          <w:rFonts w:cs="Times New Roman"/>
          <w:color w:val="343434"/>
          <w:lang w:val="en-US"/>
        </w:rPr>
        <w:t>(i</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(a) in den</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 Des weiteren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mit </w:t>
      </w:r>
      <w:r>
        <w:rPr>
          <w:rFonts w:cs="Times New Roman"/>
          <w:color w:val="343434"/>
          <w:lang w:val="en-US"/>
        </w:rPr>
        <w:t>[A2]</w:t>
      </w:r>
      <w:r w:rsidR="007B198C" w:rsidRPr="000B11DB">
        <w:rPr>
          <w:rFonts w:cs="Times New Roman"/>
          <w:color w:val="343434"/>
          <w:lang w:val="en-US"/>
        </w:rPr>
        <w:t xml:space="preserve"> sind die sprachlichen Unterschiede geringer jedoch nicht weniger signifikant: im Anlaut wir</w:t>
      </w:r>
      <w:r>
        <w:rPr>
          <w:rFonts w:cs="Times New Roman"/>
          <w:color w:val="343434"/>
          <w:lang w:val="en-US"/>
        </w:rPr>
        <w:t>d d/D häufig mit t/T realisiert. Das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B77A3E" w:rsidRPr="000B11DB">
        <w:rPr>
          <w:rFonts w:cs="Times New Roman"/>
          <w:color w:val="343434"/>
          <w:lang w:val="en-US"/>
        </w:rPr>
        <w:t>gibt wenige substantielle Varianten</w:t>
      </w:r>
      <w:r w:rsidR="00B77A3E">
        <w:rPr>
          <w:rStyle w:val="FootnoteReference"/>
          <w:rFonts w:cs="Times New Roman"/>
          <w:color w:val="343434"/>
          <w:lang w:val="en-US"/>
        </w:rPr>
        <w:footnoteReference w:id="3"/>
      </w:r>
      <w:r w:rsidR="00B77A3E" w:rsidRPr="000B11DB">
        <w:rPr>
          <w:rFonts w:cs="Times New Roman"/>
          <w:color w:val="343434"/>
          <w:lang w:val="en-US"/>
        </w:rPr>
        <w:t xml:space="preserve"> zwischen </w:t>
      </w:r>
      <w:r w:rsidR="00B77A3E">
        <w:rPr>
          <w:rFonts w:cs="Times New Roman"/>
          <w:color w:val="343434"/>
          <w:lang w:val="en-US"/>
        </w:rPr>
        <w:t>[A1] und [A2]</w:t>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beiden Drucken vorkommenden Preßkorruptelen und Fehler lassen keinen konkreten Rückschluss auf die Relation zu. </w:t>
      </w:r>
      <w:r w:rsidR="00456FCD">
        <w:rPr>
          <w:rFonts w:cs="Times New Roman"/>
          <w:color w:val="343434"/>
          <w:lang w:val="en-US"/>
        </w:rPr>
        <w:t>Darüber hinaus unterscheiden sich [A1], resp. [A2] von [A3] (c) stilistisch voneinander: alle deutschen Verse und Sprichwörter sind umgearbeitet, die lateinischen Wörter und Phrasen sind getilgt.</w:t>
      </w:r>
    </w:p>
    <w:p w14:paraId="51EA15CF" w14:textId="5DB7884E" w:rsidR="007B198C" w:rsidRPr="00AE50A4" w:rsidRDefault="007B198C" w:rsidP="00AE50A4">
      <w:pPr>
        <w:widowControl w:val="0"/>
        <w:autoSpaceDE w:val="0"/>
        <w:autoSpaceDN w:val="0"/>
        <w:adjustRightInd w:val="0"/>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A argumentiere ich </w:t>
      </w:r>
      <w:r w:rsidR="003D0BEE">
        <w:rPr>
          <w:rFonts w:cs="Times New Roman"/>
          <w:color w:val="343434"/>
          <w:lang w:val="en-US"/>
        </w:rPr>
        <w:t xml:space="preserve">daher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Pr="000B11DB">
        <w:rPr>
          <w:rFonts w:cs="Times New Roman"/>
          <w:color w:val="343434"/>
          <w:lang w:val="en-US"/>
        </w:rPr>
        <w:t xml:space="preserve">. Sehr wahrscheinlich geht </w:t>
      </w:r>
      <w:r w:rsidR="004E32C7">
        <w:rPr>
          <w:rFonts w:cs="Times New Roman"/>
          <w:color w:val="343434"/>
          <w:lang w:val="en-US"/>
        </w:rPr>
        <w:t>[A2]</w:t>
      </w:r>
      <w:r w:rsidRPr="000B11DB">
        <w:rPr>
          <w:rFonts w:cs="Times New Roman"/>
          <w:color w:val="343434"/>
          <w:lang w:val="en-US"/>
        </w:rPr>
        <w:t xml:space="preserve"> bei Heinrich Werner in Hamburg, hergestellt zwischen 1643 und 1647,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3D0BEE">
        <w:rPr>
          <w:rFonts w:cs="Times New Roman"/>
          <w:color w:val="343434"/>
          <w:lang w:val="en-US"/>
        </w:rPr>
        <w:t xml:space="preserve">vmtl. aber nicht auf [A2]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r w:rsidR="003D0BEE">
        <w:rPr>
          <w:rFonts w:cs="Times New Roman"/>
          <w:color w:val="343434"/>
          <w:lang w:val="en-US"/>
        </w:rPr>
        <w:t xml:space="preserve"> [A4] ist eine unfirmierte, undatierte Ausgabe, die statt eines typographischen Titels ein Kupfertitel</w:t>
      </w:r>
      <w:r w:rsidR="00B77A3E">
        <w:rPr>
          <w:rFonts w:cs="Times New Roman"/>
          <w:color w:val="343434"/>
          <w:lang w:val="en-US"/>
        </w:rPr>
        <w:t xml:space="preserve"> </w:t>
      </w:r>
      <w:r w:rsidR="00B77A3E" w:rsidRPr="00B77A3E">
        <w:rPr>
          <w:rFonts w:cs="Times New Roman"/>
          <w:color w:val="343434"/>
          <w:highlight w:val="green"/>
          <w:lang w:val="en-US"/>
        </w:rPr>
        <w:t>(Abb.##)</w:t>
      </w:r>
      <w:r w:rsidR="003D0BEE">
        <w:rPr>
          <w:rFonts w:cs="Times New Roman"/>
          <w:color w:val="343434"/>
          <w:lang w:val="en-US"/>
        </w:rPr>
        <w:t xml:space="preserve"> mit der Ortsangabe "Núrnberg" enthält. Im Umfang</w:t>
      </w:r>
      <w:r w:rsidR="00937DAA">
        <w:rPr>
          <w:rFonts w:cs="Times New Roman"/>
          <w:color w:val="343434"/>
          <w:lang w:val="en-US"/>
        </w:rPr>
        <w:t xml:space="preserve"> sowie der Verteilung der Kapitel auf</w:t>
      </w:r>
      <w:r w:rsidR="003D0BEE">
        <w:rPr>
          <w:rFonts w:cs="Times New Roman"/>
          <w:color w:val="343434"/>
          <w:lang w:val="en-US"/>
        </w:rPr>
        <w:t xml:space="preserve"> </w:t>
      </w:r>
      <w:r w:rsidR="00937DAA">
        <w:rPr>
          <w:rFonts w:cs="Times New Roman"/>
          <w:color w:val="343434"/>
          <w:lang w:val="en-US"/>
        </w:rPr>
        <w:t xml:space="preserve">die Bogen </w:t>
      </w:r>
      <w:r w:rsidR="003D0BEE">
        <w:rPr>
          <w:rFonts w:cs="Times New Roman"/>
          <w:color w:val="343434"/>
          <w:lang w:val="en-US"/>
        </w:rPr>
        <w:t>gleicht [A4]</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4"/>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292F5D">
      <w:pPr>
        <w:pStyle w:val="Heading2"/>
        <w:spacing w:before="0"/>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292F5D">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5"/>
      </w:r>
    </w:p>
    <w:p w14:paraId="78A1910E" w14:textId="7A84ED76" w:rsidR="00B148D9" w:rsidRDefault="00B148D9" w:rsidP="00292F5D">
      <w:r>
        <w:t>Die erste Ausgabe der Gruppe [B] geht mit großer Wahrscheinlichkeit auf [A1] – nicht auf den ebenfalls in Hamburg zeitnah gedruckten [A2] – zurück</w:t>
      </w:r>
      <w:r w:rsidR="00E15ABF">
        <w:t>, wie Textkollationen der Drucke [A1], [A2], [A3] und [B1] ergeben haben.</w:t>
      </w:r>
      <w:r w:rsidR="00E15ABF">
        <w:rPr>
          <w:rStyle w:val="FootnoteReference"/>
        </w:rPr>
        <w:footnoteReference w:id="6"/>
      </w:r>
    </w:p>
    <w:p w14:paraId="06C7DFD7" w14:textId="51D3898D" w:rsidR="00DC5477" w:rsidRDefault="006E71A5" w:rsidP="00292F5D">
      <w:r>
        <w:t xml:space="preserve">Gruppe B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7AA65101" w:rsidR="00682375" w:rsidRDefault="00682375" w:rsidP="00F852F4">
      <w:r>
        <w:t>(i) [B] ist 12°, gegenüber [A] um 2 vollständige Bogen (E–F) im Umfang erweitert.</w:t>
      </w:r>
      <w:r w:rsidR="001444B8">
        <w:rPr>
          <w:rStyle w:val="FootnoteReference"/>
        </w:rPr>
        <w:footnoteReference w:id="7"/>
      </w:r>
    </w:p>
    <w:p w14:paraId="62AB07C2" w14:textId="5C0E5F21" w:rsidR="007B198C" w:rsidRPr="000B11DB" w:rsidRDefault="003977A5" w:rsidP="00F852F4">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8"/>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682375">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682375">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62094361" w:rsidR="007B198C" w:rsidRPr="0032449D" w:rsidRDefault="00600F14" w:rsidP="00292F5D">
      <w:pPr>
        <w:rPr>
          <w:rFonts w:cs="Times New Roman"/>
        </w:rPr>
      </w:pPr>
      <w:r w:rsidRPr="0032449D">
        <w:rPr>
          <w:rFonts w:cs="Times New Roman"/>
        </w:rPr>
        <w:t>(iii</w:t>
      </w:r>
      <w:r w:rsidR="007B198C" w:rsidRPr="0032449D">
        <w:rPr>
          <w:rFonts w:cs="Times New Roman"/>
        </w:rPr>
        <w:t xml:space="preserve">) </w:t>
      </w:r>
      <w:r w:rsidRPr="0032449D">
        <w:rPr>
          <w:rFonts w:cs="Times New Roman"/>
        </w:rPr>
        <w:t xml:space="preserve">Textuelle Eigenschaften der Gruppe [B] gegenüber [A] lassen sich wie folgt systematisieren. (a) </w:t>
      </w:r>
      <w:r w:rsidR="0026265F">
        <w:rPr>
          <w:rFonts w:cs="Times New Roman"/>
        </w:rPr>
        <w:t>Hinzufügungen</w:t>
      </w:r>
      <w:r w:rsidRPr="0032449D">
        <w:rPr>
          <w:rFonts w:cs="Times New Roman"/>
        </w:rPr>
        <w:t xml:space="preserve"> innerhalb des Kern-Textes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des lateinischen Spruchs am Ende,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zur Kern-Ethica:</w:t>
      </w:r>
      <w:r w:rsidRPr="0032449D">
        <w:rPr>
          <w:rFonts w:cs="Times New Roman"/>
        </w:rPr>
        <w:t xml:space="preserve"> </w:t>
      </w:r>
      <w:r w:rsidR="0032449D">
        <w:rPr>
          <w:rFonts w:cs="Times New Roman"/>
        </w:rPr>
        <w:t xml:space="preserve">(I) </w:t>
      </w:r>
      <w:r w:rsidR="001F42D5" w:rsidRPr="0032449D">
        <w:rPr>
          <w:rFonts w:cs="Times New Roman"/>
        </w:rPr>
        <w:t>219</w:t>
      </w:r>
      <w:r w:rsidR="000C41B4">
        <w:rPr>
          <w:rStyle w:val="FootnoteReference"/>
          <w:rFonts w:cs="Times New Roman"/>
        </w:rPr>
        <w:footnoteReference w:id="9"/>
      </w:r>
      <w:r w:rsidR="001F42D5" w:rsidRPr="0032449D">
        <w:rPr>
          <w:rFonts w:cs="Times New Roman"/>
        </w:rPr>
        <w:t xml:space="preserve"> </w:t>
      </w:r>
      <w:r w:rsidR="00020B1B" w:rsidRPr="0032449D">
        <w:rPr>
          <w:rFonts w:cs="Times New Roman"/>
        </w:rPr>
        <w:t xml:space="preserve">so genannte </w:t>
      </w:r>
      <w:r w:rsidR="0092068F" w:rsidRPr="0032449D">
        <w:rPr>
          <w:rFonts w:cs="Times New Roman"/>
        </w:rPr>
        <w:t xml:space="preserve">alamodische </w:t>
      </w:r>
      <w:r w:rsidR="00020B1B" w:rsidRPr="0032449D">
        <w:rPr>
          <w:rFonts w:cs="Times New Roman"/>
        </w:rPr>
        <w:t>Damensprichwörter</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FF7216">
        <w:rPr>
          <w:rFonts w:cs="Times New Roman"/>
        </w:rPr>
        <w:softHyphen/>
        <w:t xml:space="preserve"> –</w:t>
      </w:r>
      <w:r w:rsidR="00FF7216" w:rsidRPr="0032449D">
        <w:rPr>
          <w:rStyle w:val="FootnoteReference"/>
          <w:rFonts w:cs="Times New Roman"/>
        </w:rPr>
        <w:footnoteReference w:id="10"/>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0C41B4">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5F87034" w:rsidR="007B198C" w:rsidRPr="000B11DB" w:rsidRDefault="007B198C" w:rsidP="00292F5D">
      <w:pPr>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men als weitere Anhänge hinzu (II</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11"/>
      </w:r>
      <w:r w:rsidR="0032449D">
        <w:rPr>
          <w:rFonts w:cs="Times New Roman"/>
        </w:rPr>
        <w:t xml:space="preserve"> unter der Überschrift</w:t>
      </w:r>
      <w:r w:rsidRPr="0032449D">
        <w:rPr>
          <w:rFonts w:cs="Times New Roman"/>
        </w:rPr>
        <w:t>:</w:t>
      </w:r>
    </w:p>
    <w:p w14:paraId="2219EB0A" w14:textId="0B66BC11" w:rsidR="007B198C" w:rsidRPr="000C41B4" w:rsidRDefault="007B198C" w:rsidP="000C41B4">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47CDAE7E" w:rsidR="007B198C" w:rsidRPr="0010687A" w:rsidRDefault="007B198C" w:rsidP="00292F5D">
      <w:pPr>
        <w:rPr>
          <w:rFonts w:cs="Times New Roman"/>
        </w:rPr>
      </w:pPr>
      <w:r w:rsidRPr="0010687A">
        <w:rPr>
          <w:rFonts w:cs="Times New Roman"/>
        </w:rPr>
        <w:t>Sowie (</w:t>
      </w:r>
      <w:r w:rsidR="00A342C0" w:rsidRPr="0010687A">
        <w:rPr>
          <w:rFonts w:cs="Times New Roman"/>
        </w:rPr>
        <w:t>III</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292F5D">
      <w:pPr>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6FA13533" w:rsidR="00C61916" w:rsidRDefault="007E3344" w:rsidP="00C61916">
      <w:r>
        <w:t xml:space="preserve">[B2] weicht von den übrigen Ausgaben in [B] in folgender Hinsicht ab: </w:t>
      </w:r>
      <w:r w:rsidR="00C61916">
        <w:t xml:space="preserve">(i) </w:t>
      </w:r>
      <w:r>
        <w:t xml:space="preserve">[B2] ist Teil einer Druckersynthese mit </w:t>
      </w:r>
      <w:r w:rsidR="007B3BBA">
        <w:t>einem</w:t>
      </w:r>
      <w:r>
        <w:t xml:space="preserve"> satirisch-erotischen Traktat zur "Löfflerei" oder "Löffelkunst",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zurückreichenden Tradition von "Lefflereyen" und "Hasereien"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12"/>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13"/>
      </w:r>
    </w:p>
    <w:p w14:paraId="4AB5F77F" w14:textId="7CF3DE28" w:rsidR="00C61916" w:rsidRPr="000B11DB" w:rsidRDefault="00C61916" w:rsidP="00C61916">
      <w:r>
        <w:t>(ii) Im ansonsten mit [B1] identischen Titel hat [B2] keine der firmierenden Angaben.</w:t>
      </w:r>
    </w:p>
    <w:p w14:paraId="314AC185" w14:textId="77777777" w:rsidR="00AA5720" w:rsidRDefault="00C61916" w:rsidP="00C61916">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7E9CB62" w:rsidR="007B198C" w:rsidRPr="000B11DB" w:rsidRDefault="00C61916" w:rsidP="00C61916">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identisch</w:t>
      </w:r>
      <w:r w:rsidR="00967F8A">
        <w:t>.</w:t>
      </w:r>
      <w:r>
        <w:rPr>
          <w:rStyle w:val="FootnoteReference"/>
        </w:rPr>
        <w:footnoteReference w:id="14"/>
      </w:r>
    </w:p>
    <w:p w14:paraId="49EB2127" w14:textId="39932951" w:rsidR="007B198C" w:rsidRPr="000B11DB" w:rsidRDefault="006A55AD" w:rsidP="00292F5D">
      <w:pPr>
        <w:widowControl w:val="0"/>
        <w:autoSpaceDE w:val="0"/>
        <w:autoSpaceDN w:val="0"/>
        <w:adjustRightInd w:val="0"/>
        <w:rPr>
          <w:rFonts w:cs="Times New Roman"/>
          <w:color w:val="343434"/>
          <w:lang w:val="en-US"/>
        </w:rPr>
      </w:pPr>
      <w:r>
        <w:rPr>
          <w:rFonts w:cs="Times New Roman"/>
          <w:color w:val="343434"/>
          <w:lang w:val="en-US"/>
        </w:rPr>
        <w:t>Gruppe [B] stellt gegenüber Gruppe [A] eine erhebliche textliche Bearbeitung (in Form rhetorisch-stilistischer Umarbeitungen sowie erläuternden Hinzufügungen) und gleichzeitig eine konzeptionelle Erweiterung (in Form der zum scherzhaften Gesellschaftsspiel beigegebenen Sprichwörter und Reime) der Kern-Ethica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6B8479ED" w14:textId="77777777" w:rsidR="007B198C" w:rsidRDefault="007B198C" w:rsidP="00292F5D">
      <w:pPr>
        <w:pStyle w:val="Heading3"/>
        <w:spacing w:before="0"/>
        <w:rPr>
          <w:rFonts w:ascii="Times New Roman" w:hAnsi="Times New Roman" w:cs="Times New Roman"/>
          <w:lang w:val="en-US"/>
        </w:rPr>
      </w:pPr>
    </w:p>
    <w:p w14:paraId="2003CCD9" w14:textId="51DCB711" w:rsidR="005C43F3" w:rsidRPr="005C43F3" w:rsidRDefault="005C43F3" w:rsidP="005C43F3">
      <w:pPr>
        <w:pStyle w:val="Heading3"/>
      </w:pPr>
      <w:r>
        <w:t>Überlieferungsgruppe C: Druckersynthese mit Tranchierbuch und Leberreimen</w:t>
      </w:r>
    </w:p>
    <w:p w14:paraId="2F311BF9" w14:textId="7DC82A3F" w:rsidR="007B198C" w:rsidRDefault="005C43F3" w:rsidP="00292F5D">
      <w:p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w:t>
      </w:r>
    </w:p>
    <w:p w14:paraId="27281F85" w14:textId="77777777" w:rsidR="005C43F3" w:rsidRDefault="005C43F3" w:rsidP="00292F5D">
      <w:pPr>
        <w:rPr>
          <w:rFonts w:asciiTheme="majorHAnsi" w:eastAsiaTheme="majorEastAsia" w:hAnsiTheme="majorHAnsi" w:cstheme="majorBidi"/>
          <w:b/>
          <w:bCs/>
          <w:color w:val="4F81BD" w:themeColor="accent1"/>
        </w:rPr>
      </w:pPr>
    </w:p>
    <w:p w14:paraId="494DF534" w14:textId="77777777" w:rsidR="005C43F3" w:rsidRDefault="005C43F3" w:rsidP="00292F5D">
      <w:pPr>
        <w:rPr>
          <w:rFonts w:asciiTheme="majorHAnsi" w:eastAsiaTheme="majorEastAsia" w:hAnsiTheme="majorHAnsi" w:cstheme="majorBidi"/>
          <w:b/>
          <w:bCs/>
          <w:color w:val="4F81BD" w:themeColor="accent1"/>
        </w:rPr>
      </w:pPr>
    </w:p>
    <w:p w14:paraId="1B67F253" w14:textId="0309B9C3" w:rsidR="005C43F3" w:rsidRPr="000B11DB" w:rsidRDefault="005C43F3" w:rsidP="00292F5D">
      <w:pPr>
        <w:rPr>
          <w:rFonts w:cs="Times New Roman"/>
        </w:rPr>
      </w:pPr>
      <w:r>
        <w:rPr>
          <w:rFonts w:asciiTheme="majorHAnsi" w:eastAsiaTheme="majorEastAsia" w:hAnsiTheme="majorHAnsi" w:cstheme="majorBidi"/>
          <w:b/>
          <w:bCs/>
          <w:color w:val="4F81BD" w:themeColor="accent1"/>
        </w:rPr>
        <w:t xml:space="preserve">Notizen etc. </w:t>
      </w:r>
    </w:p>
    <w:p w14:paraId="0A0AE1C6" w14:textId="77777777" w:rsidR="007B198C" w:rsidRPr="000B11DB" w:rsidRDefault="007B198C" w:rsidP="00292F5D">
      <w:pPr>
        <w:pStyle w:val="Heading2"/>
        <w:spacing w:before="0"/>
        <w:rPr>
          <w:sz w:val="24"/>
          <w:szCs w:val="24"/>
        </w:rPr>
      </w:pPr>
      <w:r w:rsidRPr="000B11DB">
        <w:rPr>
          <w:sz w:val="24"/>
          <w:szCs w:val="24"/>
        </w:rPr>
        <w:t>De Arte Amandi</w:t>
      </w:r>
    </w:p>
    <w:p w14:paraId="0BD583E2" w14:textId="4EC4AC19" w:rsidR="007B198C" w:rsidRPr="000B11DB" w:rsidRDefault="007B198C" w:rsidP="00292F5D">
      <w:r w:rsidRPr="000B11DB">
        <w:t>In De Arte Amandi (Frankfurt am Main 1644) ist die "Unterweisung heimlich zu lieben" (S. 422–428) als letztes Gedicht in den "Lieb und freundlichen Reymen" enthalten. Es wird keine Herkunftsangabe gemacht.</w:t>
      </w:r>
    </w:p>
    <w:p w14:paraId="19311A6B" w14:textId="77777777" w:rsidR="007B198C" w:rsidRPr="000B11DB" w:rsidRDefault="007B198C" w:rsidP="00292F5D">
      <w:pPr>
        <w:pStyle w:val="Heading2"/>
        <w:spacing w:before="0"/>
        <w:rPr>
          <w:sz w:val="24"/>
          <w:szCs w:val="24"/>
        </w:rPr>
      </w:pPr>
      <w:r w:rsidRPr="000B11DB">
        <w:rPr>
          <w:sz w:val="24"/>
          <w:szCs w:val="24"/>
        </w:rPr>
        <w:t>Dröse zu Verfasserschaft und genealogischen Beziehungen zwischen De Arte Amandi, Löfflerey-Kunst und Ethica</w:t>
      </w:r>
    </w:p>
    <w:p w14:paraId="0BCF3FE2" w14:textId="77777777" w:rsidR="007B198C" w:rsidRPr="000B11DB" w:rsidRDefault="007B198C" w:rsidP="00292F5D">
      <w:r w:rsidRPr="000B11DB">
        <w:t>Mit dem Bekanntwerden eines Druckes der Ethica von 1643 aus Nürnberg erschwert sich Attribution des Werkes an Georg Greflinger. Dröse vermutet Greflinger als Bearbeiter der Ausgaben bei Johann Naumann in Hamburg (1647–1660) und der späteren Ausgaben mit dem fingierten Druckort Amsterdam (ab 1665), sowie Hannover und Kopenhagen. Dies liege nahe, da es sich bei Johann Naumanns Verlag um den "Hausverlag" Greflingers in Hamburg gehandelt habe und die Ausgaben ab Amsterdam et al. ab 1665 (sic!) den Namen Greflingers im Titel als Bearbeiter führen. Einen weiteren Hinweis auf die Verfasser- resp. Bearbeiterschaft Greflingers sieht Dröse in der Druckersynthese Löfflerey-Kunst &amp; Complementierbüchlein (1648). Mit Verweis auf Dünnhaupts Versuch, dass Herausgeberpseudonym "David Seladon Osnabruggensem" im Titel der Löfflerey auf Georg Greflinger zurückzuführen, spräche für eine (Mit-)Verfasserschaft Greflingers an der Löfflerey – und damit am Complementierbüchlein – noch das Folgende: (2) Die Löfflerey-Kunst stehe (thematisch und topisch) in der Tradition der Ars Amatoria von Ovid. 1644 erscheint in Frankfurt bei Matthäus Kämpffer eine Übertragung der von Paul von Aest 1604 publizierten niederdeutschen Übersetzung der Ars Amatoria mit dem Titel "De Arte Amandi" und der fingierten Ortsangabe "Liebstadt". "Liebstadt" ist auch der fingierte Druckort der Löfflerey-Kunst, so dass Dröse Matthäus Kämpffer als Initiator resp. Herausgeber der Löfflerey vermutet. (3) Darüber hinaus findet sich sowohl am Ende des Textes der Löfflerey-Kunst von 1648 als auch in De Arte Amandi das Gedicht "Unterweisung heimlich zu lieben", ein Gedicht aus der Sammlung "Seladons beständige Liebe", welches 1644 im Verlag Eduard Schleich in Frankfurt erschienen ist und damit zumindest in räumlicher Nähe zu Kämpffers Verlag. Die "Unterweisung heimlich zu lieben" ist als Addendum in den Ausgaben des Complementierbüchleins bei  Johann Naumann ab 1649 abgedruckt. Dröses Indizienschluss zur Verfasserschaft Greflingers geht wie folgt:</w:t>
      </w:r>
    </w:p>
    <w:p w14:paraId="28D27FBE" w14:textId="77777777" w:rsidR="007B198C" w:rsidRPr="000B11DB" w:rsidRDefault="007B198C" w:rsidP="00292F5D">
      <w:r w:rsidRPr="000B11DB">
        <w:t>(1) Prämisse: Autoren haben kontinuierliche Publikationsverhältnisse mit Verlegern in ihrer räumlichen Nähe ("Hausverlag", "Von Kempfer ist der Weg zu Greflinger nicht weit")</w:t>
      </w:r>
    </w:p>
    <w:p w14:paraId="2E7B702B" w14:textId="77777777" w:rsidR="007B198C" w:rsidRPr="000B11DB" w:rsidRDefault="007B198C" w:rsidP="00292F5D">
      <w:r w:rsidRPr="000B11DB">
        <w:t>(2) Prämisse: Einzeltexte oder Textteile von Autoren werden nicht ohne deren Zustimmung (oder Autorisation oder auf deren Initiative hin) in Texte anderer Autoren resp. Kompilationen übernommen [putzig: Dröse weist die Plagiatspraxis für Greflinger im Bereich der Lieder nach, scheint aber davon auszugehen, dass Greflinger die Inkorporation seiner Gedichte autorisiert oder initiiert hat]</w:t>
      </w:r>
    </w:p>
    <w:p w14:paraId="508AFAC9" w14:textId="77777777" w:rsidR="007B198C" w:rsidRPr="000B11DB" w:rsidRDefault="007B198C" w:rsidP="00292F5D">
      <w:r w:rsidRPr="000B11DB">
        <w:t>(3) Indiz #1: Das Complementierbüchlein erscheint ab 1647 bei Johann Naumann in Hamburg, der auch andere Werke Greflingers publiziert hat</w:t>
      </w:r>
    </w:p>
    <w:p w14:paraId="7EC3D0B3" w14:textId="77777777" w:rsidR="007B198C" w:rsidRPr="000B11DB" w:rsidRDefault="007B198C" w:rsidP="00292F5D">
      <w:r w:rsidRPr="000B11DB">
        <w:t>(4) Indiz #2: Im Complementierbüchlein ist "Die Unterweisung heimlich zu lieben" enthalten, die aus der Greflinger'schen Sammlung "Seladons beständige Liebe" (1644) stammt</w:t>
      </w:r>
    </w:p>
    <w:p w14:paraId="392A6182" w14:textId="77777777" w:rsidR="007B198C" w:rsidRPr="000B11DB" w:rsidRDefault="007B198C" w:rsidP="00292F5D">
      <w:r w:rsidRPr="000B11DB">
        <w:t>(5) Indiz #3: In der Löfflerey-Kunst Druckersynthese von 1648, in der auch das Complementierbüchlein enthalten ist, ist die "Unterweisung heimlich zu lieben" enthalten.</w:t>
      </w:r>
    </w:p>
    <w:p w14:paraId="29EB8315" w14:textId="77777777" w:rsidR="007B198C" w:rsidRPr="000B11DB" w:rsidRDefault="007B198C" w:rsidP="00292F5D">
      <w:r w:rsidRPr="000B11DB">
        <w:t>(6) Indiz #4: In der bei Matthäus Kämpffer herausgegebenen Übertragung "De Arte Amandi" (1644) ist die "Unterweisung heimlich zu lieben" enthalten</w:t>
      </w:r>
    </w:p>
    <w:p w14:paraId="4B1081B6" w14:textId="77777777" w:rsidR="007B198C" w:rsidRPr="000B11DB" w:rsidRDefault="007B198C" w:rsidP="00292F5D">
      <w:r w:rsidRPr="000B11DB">
        <w:t>(7) Indiz #5: "De Arte Amandi" hat den fingierten Druckort "Liebstadt"</w:t>
      </w:r>
    </w:p>
    <w:p w14:paraId="534D0F17" w14:textId="77777777" w:rsidR="007B198C" w:rsidRPr="000B11DB" w:rsidRDefault="007B198C" w:rsidP="00292F5D">
      <w:r w:rsidRPr="000B11DB">
        <w:t>(8) Indiz #6: Die Löfflerey-Kunst hat den fingierten Druckort "Liebstadt"</w:t>
      </w:r>
    </w:p>
    <w:p w14:paraId="4E48B561" w14:textId="77777777" w:rsidR="007B198C" w:rsidRPr="000B11DB" w:rsidRDefault="007B198C" w:rsidP="00292F5D">
      <w:r w:rsidRPr="000B11DB">
        <w:t>(9) Indiz #7: Die Löfflerey-Kunst steht in der "Tradition" von Ovids Ars Amatoria, die Vorlage für "De Arte Amandi" ist</w:t>
      </w:r>
    </w:p>
    <w:p w14:paraId="566323C7" w14:textId="77777777" w:rsidR="007B198C" w:rsidRPr="000B11DB" w:rsidRDefault="007B198C" w:rsidP="00292F5D">
      <w:r w:rsidRPr="000B11DB">
        <w:t>(10) Indizienschluss: Weil (7) und (8) sowie (9) ist Matthäus Kämpffer der Herausgeber (und Initiator) der Löfflereykunst.</w:t>
      </w:r>
    </w:p>
    <w:p w14:paraId="34606575" w14:textId="77777777" w:rsidR="007B198C" w:rsidRPr="000B11DB" w:rsidRDefault="007B198C" w:rsidP="00292F5D">
      <w:r w:rsidRPr="000B11DB">
        <w:t>(11) Indizienschluss: Weil (10) und weil (1) und (2) und weil (3) und (4) hat Georg Greflinger autor- resp. bearbeiterseitig mit der Löfflerey-Kunst zu tun ("Gesichtspunkt, der für seine [Greflingers] Beteiligung spricht" (Dröse 2015, S. 178))</w:t>
      </w:r>
    </w:p>
    <w:p w14:paraId="7120FD03" w14:textId="77777777" w:rsidR="007B198C" w:rsidRPr="000B11DB" w:rsidRDefault="007B198C" w:rsidP="00292F5D">
      <w:r w:rsidRPr="000B11DB">
        <w:t>(12) Prämisse: Autor- resp. Bearbeiternamen auf Titelblättern sind verlässliche Indikatoren für Autorschaft – rückwirkend. Ein starker Indikator ist hierbei Textidentität (keine, kaum oder wenige, insignifikante Bearbeitungen)</w:t>
      </w:r>
    </w:p>
    <w:p w14:paraId="19974F2F" w14:textId="77777777" w:rsidR="007B198C" w:rsidRPr="000B11DB" w:rsidRDefault="007B198C" w:rsidP="00292F5D"/>
    <w:p w14:paraId="5CC5718C" w14:textId="77777777" w:rsidR="007B198C" w:rsidRPr="000B11DB" w:rsidRDefault="007B198C" w:rsidP="00292F5D">
      <w:r w:rsidRPr="000B11DB">
        <w:t>[Hypothese: hinter dem fingierten Druckort Amsterdam steckt Frankfurt/Main. Matthäus Kämpffer als Verleger der Löfflerey-Kunst, worin die Greflingersche Bearbeitung der Ethica ab 1656 enthalten ist. Spätere, im Text weitestgehend identische Ausgaben der Ethica der Überlieferungsgruppe C mit dem fingierten Druckort Amsterdam könnten ebenfalls aus dem Verlag Kämpffer stammen. // Gegenargument: der fingierte Druckort kann jedem unrechtmäßigen Nachdruck 'Schutz' verschaffen; aus dem durchgehend verwendeten Druckort 'Amsterdam' der Gruppe C lässt sich nicht auf eine Herstellung der Drucke an ein und demselben Ort / Verlag schließen; die Praxis des seitengetreuen Nachdruckens ist ebenfalls kein Indiz für die Herstellung der späteren Ausgaben in der selben Offizin. Im Hinblick auf die Addenda und Erweiterungen weitestgehend textlich übereinstimmende Drucke mit den Orts- resp. Verlagsangaben 'Nürnberg', Frankfurt bei Georg Müller, Hannover bei Thomas von Wiering, Hamburg bei …, Kopenhagen… gehören in die Gruppe C und zeigen die weite geografische Verteilung des Ethica-Textes an. Sprachlich sind die Ethica-Ausgaben der Gruppe C (und E1) dem Mitteldeutschen und Hamburger Raum zuzurechnen; süd- resp. südwestdeutsche oder niederdeutsche Ausgaben sind nicht bekannt, die Ausgaben mit fingiertem Druckort stammen daher vermutlich nicht aus diesen Regionen. Komplimentierbücher, Anstandslehren, Briefsteller, Tranchier- und Plikaturbücher sind eine Mode des 17. und frühen 18. Jahrhunderts und stellen kein ökonomisches Risiko für Verleger und Drucker dar; als Kompilationen i.d.R. ohne Verfasserangabe ist der Nachdruck (unter juristicshen Gesichtspunkten) verhältnismäßig unproblematisch: es sind keine Druckprivilegien erteilt; eine Bearbeitung ('Verschlechterung') des Textes wird nicht den Unmut eines namentlich genannten Autors erregen, der seine Reputation als poeta doctus gefährdet sieht]</w:t>
      </w:r>
    </w:p>
    <w:p w14:paraId="1DA1FFE6" w14:textId="77777777" w:rsidR="007B198C" w:rsidRPr="000B11DB" w:rsidRDefault="007B198C" w:rsidP="00292F5D"/>
    <w:p w14:paraId="6AE2CD94" w14:textId="77777777" w:rsidR="007B198C" w:rsidRPr="000B11DB" w:rsidRDefault="007B198C" w:rsidP="00292F5D">
      <w:r w:rsidRPr="000B11DB">
        <w:t>"die beigegebenen 'Sprichwörter' stammen aus dem Neumannschen (sic!) Komplimentierbuch" (Dröse 2015, S. 177) ad Löfflerey-Kunst 1648</w:t>
      </w:r>
    </w:p>
    <w:p w14:paraId="19F59B5B" w14:textId="77777777" w:rsidR="007B198C" w:rsidRPr="000B11DB" w:rsidRDefault="007B198C" w:rsidP="00292F5D">
      <w:r w:rsidRPr="000B11DB">
        <w:t>"Greflingers Ethica Complementoria" (Dröse 2015, S. 176)</w:t>
      </w:r>
    </w:p>
    <w:p w14:paraId="7E55BDCF" w14:textId="77777777" w:rsidR="007B198C" w:rsidRPr="000B11DB" w:rsidRDefault="007B198C" w:rsidP="00292F5D">
      <w:r w:rsidRPr="000B11DB">
        <w:t>"Es ist jedoch nicht eindeutig zu klären, ob das Komplimentierbüchlein originär tatsächlich aus der Feder Greflingers stammt." (Dröse 2015, S. 177)</w:t>
      </w:r>
    </w:p>
    <w:p w14:paraId="3A5FA08A" w14:textId="77777777" w:rsidR="007B198C" w:rsidRPr="000B11DB" w:rsidRDefault="007B198C" w:rsidP="00292F5D">
      <w:r w:rsidRPr="000B11DB">
        <w:t>"Ab 1647 publiziert Greflingers Hamburger Hausverlag Johann Naumann die Ethica Complementoria. Doch auch in diesen Ausgaben tritt kein Verfasser in Erscheinung. Bis 1665 werden alle weiteren Auflagen anonym herausgegeben (sic), dann erst taucht Greflinger als Überarbeiter […] im Titel auf und zwar zuerst (sic!) in einem Amsterdamer Druck.</w:t>
      </w:r>
    </w:p>
    <w:p w14:paraId="019EAF2B" w14:textId="77777777" w:rsidR="007B198C" w:rsidRPr="000B11DB" w:rsidRDefault="007B198C" w:rsidP="00292F5D">
      <w:r w:rsidRPr="000B11DB">
        <w:t>"Die Texte aller Ausgaben [der Ethica] sind dabei seit dem ersten nachweisbaren Druck von 1643 nahezu identisch, lediglich die Anhänge variieren. So befinden sich in den Naumannschen Ausgaben der Ethica im Anhang modische Sprichwörter, der Hannoveraner (sic! = Hannoversche), Kopenhagener und Amsterdamer Druck fügen ein sogenanntes Tranchir-Büchelin sowie "züchtige Tisch- und Leberreime" bei." (Dröse 2015, S. 177)</w:t>
      </w:r>
    </w:p>
    <w:p w14:paraId="3FB2C0B7" w14:textId="77777777" w:rsidR="007B198C" w:rsidRPr="000B11DB" w:rsidRDefault="007B198C" w:rsidP="00292F5D"/>
    <w:p w14:paraId="4797F9E2" w14:textId="3D6813D8" w:rsidR="007B198C" w:rsidRDefault="005C43F3" w:rsidP="00292F5D">
      <w:pPr>
        <w:pStyle w:val="Heading3"/>
      </w:pPr>
      <w:r>
        <w:t xml:space="preserve">Diskussion der Verfasserfrage: </w:t>
      </w:r>
      <w:r w:rsidR="007B198C" w:rsidRPr="000B11DB">
        <w:t xml:space="preserve">Georg Greflingers </w:t>
      </w:r>
      <w:r>
        <w:t>als Verfasser oder Bearbeiter der Ethica Complementoria</w:t>
      </w:r>
    </w:p>
    <w:p w14:paraId="5DA4E436" w14:textId="04C05349" w:rsidR="006E1CD1" w:rsidRPr="006E1CD1" w:rsidRDefault="006E1CD1" w:rsidP="006E1CD1">
      <w:r>
        <w:t>[Überlegung zum Bearbeiter von [B]: Johann Naumann? War auch selbst als Übersetzer etc. tätig, vgl. GND-Datensatz und ggf. dort angegebenen Artikel…]</w:t>
      </w:r>
      <w:bookmarkStart w:id="1" w:name="_GoBack"/>
      <w:bookmarkEnd w:id="1"/>
    </w:p>
    <w:p w14:paraId="2C5A2A65" w14:textId="77777777" w:rsidR="007B198C" w:rsidRPr="000B11DB" w:rsidRDefault="007B198C" w:rsidP="00292F5D">
      <w:r w:rsidRPr="000B11DB">
        <w:t xml:space="preserve">Dünnhaupt schreibt die Ethica Greflinger zu; gleiches gilt für die Ausgaben der Löfflerey-Kunst ab 1648. Zur von Dünnhaupt angenommenen Erstausgabe der Ethica von 1645 (o.O.) heißt es "Greflingers Autorschaft wird erst ab 1665 im Titel </w:t>
      </w:r>
      <w:r w:rsidRPr="000B11DB">
        <w:rPr>
          <w:i/>
        </w:rPr>
        <w:t>bestätigt</w:t>
      </w:r>
      <w:r w:rsidRPr="000B11DB">
        <w:t xml:space="preserve"> [Hervorhebung AR]." (Dünnhaupt 1993, S. 1684) Zur Ausgabe Amsterdam 1665 schreibt Dünnhaupt "S. 225–232 'Reimen auf Confect-Scheiben' von Greflinger, der hier </w:t>
      </w:r>
      <w:r w:rsidRPr="000B11DB">
        <w:rPr>
          <w:i/>
        </w:rPr>
        <w:t>erstmals</w:t>
      </w:r>
      <w:r w:rsidRPr="000B11DB">
        <w:t xml:space="preserve"> im Titel zitiert ist." (Dünnhaupt 1993, S. 1686). Zur Ausgabe Amsterdam 1675 steht "Diese Ausgabe </w:t>
      </w:r>
      <w:r w:rsidRPr="000B11DB">
        <w:rPr>
          <w:i/>
        </w:rPr>
        <w:t>ausnahmsweise</w:t>
      </w:r>
      <w:r w:rsidRPr="000B11DB">
        <w:t xml:space="preserve"> mit G's vollem Namen im Titel." (Dünnhaupt 1993, S. 1687). Zur Verfasserschaft der </w:t>
      </w:r>
      <w:r w:rsidRPr="000B11DB">
        <w:rPr>
          <w:i/>
        </w:rPr>
        <w:t>Löfflerey-Kunst</w:t>
      </w:r>
      <w:r w:rsidRPr="000B11DB">
        <w:t xml:space="preserve"> argumentiert Dünnhaupt wie folgt: "Meine Attribution an Greflinger wird erhärtet durch das Ps.[eudonym] 'Seladon' im Titel sowie die beigedruckten </w:t>
      </w:r>
      <w:r w:rsidRPr="000B11DB">
        <w:rPr>
          <w:i/>
        </w:rPr>
        <w:t>Alamodischen Damen Sprüchwörter</w:t>
      </w:r>
      <w:r w:rsidRPr="000B11DB">
        <w:t>, die G. schon seiner Ethica Complementoria (Nr. 7.3 ff.) beigefügt hatte." (Dünnhaupt 1993, S. 1689)</w:t>
      </w:r>
    </w:p>
    <w:p w14:paraId="1A192F9F" w14:textId="77777777" w:rsidR="007B198C" w:rsidRPr="000B11DB" w:rsidRDefault="007B198C" w:rsidP="00292F5D"/>
    <w:p w14:paraId="5344B2D0" w14:textId="77777777" w:rsidR="007B198C" w:rsidRPr="000B11DB" w:rsidRDefault="007B198C" w:rsidP="00292F5D">
      <w:r w:rsidRPr="000B11DB">
        <w:t>Die Attribution der Autorschaft an Georg Greflinger nach Dünnhaupt geht wie folgt: Im Titel der Ausgabe Amsterdam 1665 wird Georg Greflinger namentlich genannt. Der Text der Ethica habe sich nicht wesentlich verändert in den verschiedenen Ausgaben seit der (fälschlichweise angenommenen) Erstausgabe von 1645. Ergo kann die Autorschaft am Text der Ethica dem erst später namentlich genannten Greflinger zugeschrieben werden. Dünnhaupt gibt an, dass sich die Nennung Greflingers in der Ausgabe Amsterdam 1665 auf die Erweiterung um die "Reime auf Konfektscheiben" bezieht. Dazu gibt es in dieser Ausgabe keinen Anhaltspunkt. Im Titel heißt es "</w:t>
      </w:r>
      <w:r w:rsidRPr="000B11DB">
        <w:rPr>
          <w:rFonts w:ascii="Junicode" w:hAnsi="Junicode" w:cs="Verdana"/>
          <w:u w:color="0000E9"/>
          <w:lang w:eastAsia="ja-JP"/>
        </w:rPr>
        <w:t>Neulich wider u</w:t>
      </w:r>
      <w:r w:rsidRPr="000B11DB">
        <w:rPr>
          <w:rFonts w:ascii="Junicode" w:hAnsi="Junicode" w:cs="Monaco"/>
          <w:u w:color="0000E9"/>
          <w:lang w:eastAsia="ja-JP"/>
        </w:rPr>
        <w:t>ͤ</w:t>
      </w:r>
      <w:r w:rsidRPr="000B11DB">
        <w:rPr>
          <w:rFonts w:ascii="Junicode" w:hAnsi="Junicode" w:cs="Verdana"/>
          <w:u w:color="0000E9"/>
          <w:lang w:eastAsia="ja-JP"/>
        </w:rPr>
        <w:t>berſehen / und an vielen Orten gebeſſert und vermehret / durch Georg Grefflingern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 xml:space="preserve">chlein / auch züchtigen Tiſch- und Leber-Reimen." </w:t>
      </w:r>
      <w:r w:rsidRPr="000B11DB">
        <w:t xml:space="preserve">Die </w:t>
      </w:r>
      <w:r w:rsidRPr="000B11DB">
        <w:rPr>
          <w:i/>
        </w:rPr>
        <w:t>Reime auf Konfektscheiben</w:t>
      </w:r>
      <w:r w:rsidRPr="000B11DB">
        <w:t xml:space="preserve"> selbst haben keine Verfasserangabe in der Überschrift (diese lautet einfach "Reimen auff Confect-Scheiben", Seite K5a, zitiert nach dem Münchner Exemplar). Die Reime folgen zudem </w:t>
      </w:r>
      <w:r w:rsidRPr="000B11DB">
        <w:rPr>
          <w:i/>
        </w:rPr>
        <w:t>nicht</w:t>
      </w:r>
      <w:r w:rsidRPr="000B11DB">
        <w:t xml:space="preserve"> auf den Text der </w:t>
      </w:r>
      <w:r w:rsidRPr="000B11DB">
        <w:rPr>
          <w:i/>
        </w:rPr>
        <w:t>Ethica Complementoria</w:t>
      </w:r>
      <w:r w:rsidRPr="000B11DB">
        <w:t xml:space="preserve"> (diese endet mit dem Hausführungskompliment auf Seite E5a), sondern nach den Tisch- und Leberreimen (H6a–K4b), die auf das Trenchier-Buch (E6a–H5b) folgen. Die 24 </w:t>
      </w:r>
      <w:r w:rsidRPr="000B11DB">
        <w:rPr>
          <w:i/>
        </w:rPr>
        <w:t>Reime auf Konfektscheiben</w:t>
      </w:r>
      <w:r w:rsidRPr="000B11DB">
        <w:t xml:space="preserve"> (K5a–K8b) stimmen im Text überein mit denen der Ethica in der Löfflerey-Kunst von 1656 bis auf die Erweiterung "(Einem zur ungebu</w:t>
      </w:r>
      <w:r>
        <w:t>ͤ</w:t>
      </w:r>
      <w:r w:rsidRPr="000B11DB">
        <w:t>hr Beneidete~.)" im dritten Reim "Hirsch" und der Tilgung "(Einer vielbegierigen.) im 24. Reim "Storch". Nach den Reimen auf Konfektscheiben folgen in der Ausgabe 24 Kupferstiche zum Tranchier-Buch. Dies deutet eher darauf hin, dass die Reime auf Konfektscheiben als Teil des Tranchier-Buches konzipiert worden sind und nicht als Teil der Ethica Complementoria. In der Amsterdamer Ausgabe von 1665 fehlen darüber hinaus die Alamodischen Damensprichwörter ebenso wie die Unterweisung heimlich zu lieben.</w:t>
      </w:r>
    </w:p>
    <w:p w14:paraId="0D8CBD6B" w14:textId="77777777" w:rsidR="007B198C" w:rsidRPr="000B11DB" w:rsidRDefault="007B198C" w:rsidP="00292F5D"/>
    <w:p w14:paraId="6B4B5BE7" w14:textId="77777777" w:rsidR="007B198C" w:rsidRPr="000B11DB" w:rsidRDefault="007B198C" w:rsidP="00292F5D">
      <w:pPr>
        <w:pStyle w:val="Heading3"/>
      </w:pPr>
      <w:r w:rsidRPr="000B11DB">
        <w:t>Allgemeines</w:t>
      </w:r>
    </w:p>
    <w:p w14:paraId="4511A94D" w14:textId="77777777" w:rsidR="007B198C" w:rsidRPr="000B11DB" w:rsidRDefault="007B198C" w:rsidP="00292F5D">
      <w:r w:rsidRPr="000B11DB">
        <w:t>Ich spreche dann von einer Druckersynthese, wenn es einen gemeinsamen Haupttitel gibt und/oder durchgehende Paginierung sowie durchgehende Bogensignaturen.</w:t>
      </w:r>
    </w:p>
    <w:p w14:paraId="5198B687" w14:textId="77777777" w:rsidR="007B198C" w:rsidRPr="000B11DB" w:rsidRDefault="007B198C" w:rsidP="00292F5D">
      <w:r w:rsidRPr="000B11DB">
        <w:t>Von einer Buchbindersynthese spreche ich, wenn mehrere eigenständige Werke zu einem Buch zusammengebunden sind, jedoch keine durchgehende Paginierung und Bogensignaturen haben und keinen gemeinsamen Haupttitel aufweisen. Bei B</w:t>
      </w:r>
      <w:r>
        <w:t xml:space="preserve"> vier</w:t>
      </w:r>
      <w:r w:rsidRPr="000B11DB">
        <w:t>uchbindersynthesen kann es sich um nicht-zeitgenössische Zusammenstellungen von Werken handeln; Druckersynthesen sind immer zeitgenössisch. Buchbindersynthesen haben keinen Werkstatus. Druckersynthesen sind neue Werke, die aus (ehemals oder alternativ) eigenständigen Werken bestehen. (neuer Titel, Zusammenstellung mit Werkintention seitens eines Kompilators/Verlegers/Druckers)</w:t>
      </w:r>
    </w:p>
    <w:p w14:paraId="6A9F44CA" w14:textId="77777777" w:rsidR="00263A46" w:rsidRDefault="00263A46" w:rsidP="00292F5D"/>
    <w:p w14:paraId="7B1EDADC" w14:textId="77777777" w:rsidR="007B5A98" w:rsidRDefault="007B5A98" w:rsidP="00292F5D"/>
    <w:p w14:paraId="69BF362F" w14:textId="77777777" w:rsidR="007B5A98" w:rsidRDefault="007B5A98" w:rsidP="00292F5D">
      <w:r>
        <w:t>Ad Greflinger/Löfflerey etc.</w:t>
      </w:r>
    </w:p>
    <w:p w14:paraId="678EAA79" w14:textId="77777777" w:rsidR="007B5A98" w:rsidRDefault="007B5A98" w:rsidP="00292F5D">
      <w:r w:rsidRPr="007B5A98">
        <w:rPr>
          <w:rFonts w:cs="Times New Roman"/>
          <w:sz w:val="20"/>
          <w:szCs w:val="20"/>
        </w:rPr>
        <w:t>[An entsprechender Stelle im Diskussionsteil einfügen: Hypothese: die Löfflerey-Kunst ist beim/auf Initiative des Druckers Kempffer in Frankfurt entstanden als eine "Version" (vor-terminologischer Verlegenheitsausdruck) von De Arte Amandi (1644). Wie komme ich darauf? (1) Bei Kempffer erscheint 1644 Seladonds beständige Liebe. das Gedicht "Unterweisung heimlich zu lieben" findet sich am Ende der Löfflerey-Kunst von 1648b; jedoch (noch) nicht in der ersten Naumann-schen Ausgabe des Komplimentierbuchs von 1647 (sondern erst 1649). (2) Bei Kempffer erscheint 1651 Seladons Weltliche Lieder. In der Ausgabe der Löfflerey-Kunst von 1656, die die Ethica enthält, findet sich im Anhang an die Ethica (oder: da dieser Teil der letzte Teil der Druckersynthese ist, als Anhang zu allem) 4 Lieder inkl. Noten aus Seladons Weltliche Lieder SOWIE der Autorname Greflinger (auf der Ethica). Kempffer als Hrsg. der Löfflerey-Ethica-Synthese würde ERKLÄREN, warum sich Teile aus den Seladon-Sammlungen in der Löfflerey-Kunst befinden, die sich NICHT (zumindest nicht zu Beginn) in der Ethica befinden.  Es würde auch erklären, wie der Name Greflinger auf den Titel der Ethica 1656 kommt OHNE gleichzeitig eine Autorschaft Greflingers am Text der Ethica ODER der Löffelkunst zu bedeuten. // wichtig: Referenz auf Dröse 2015, S. xx wo sie im Rückgriff auf Hesselink die Vermutung äussert, dass die Löfflerey-Kunst mit De Arte Amandi zu tun hat. Vgl. zur Zuschreibung das VD17online / Zotero; PND Kempffer: http://d-nb.info/gnd/1037507002]</w:t>
      </w:r>
    </w:p>
    <w:sectPr w:rsidR="007B5A98" w:rsidSect="007B198C">
      <w:footerReference w:type="even" r:id="rId9"/>
      <w:footerReference w:type="default" r:id="rId10"/>
      <w:pgSz w:w="11900" w:h="16840"/>
      <w:pgMar w:top="1440" w:right="1800" w:bottom="1440" w:left="180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ika Rockenberger" w:date="2016-05-05T12:06:00Z" w:initials="AR">
    <w:p w14:paraId="5D5DC4F2" w14:textId="715970EC" w:rsidR="00297A44" w:rsidRDefault="00297A44">
      <w:pPr>
        <w:pStyle w:val="CommentText"/>
      </w:pPr>
      <w:r>
        <w:rPr>
          <w:rStyle w:val="CommentReference"/>
        </w:rPr>
        <w:annotationRef/>
      </w:r>
      <w:r>
        <w:t>Der Satz ist komisch; ich bin nicht sicher, was ich habe sagen wollen. A1 ist entweder Vorlage von A2 oder eine andere, bisher unbekannte Ausgabe ist die Vorlage. Einfach aus dem Blauen heraus eine unbekannte Ausgabe, die älter als A1 ist, anzunehmen, ist sinnlos. Der Titelzusatz "erstlich in Hamburg gedruckt" in A2 weist m.E. eher darauf hin, dass es sich NICHT um die editio princeps handelt, sondern um einen Nachdruck an anderem Ort, wo der Text eine "Novität" wäre. So nach dem Motto: nun auch endlich in Hamburg zu haben!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297A44" w:rsidRDefault="00297A44" w:rsidP="00562E77">
      <w:pPr>
        <w:spacing w:line="240" w:lineRule="auto"/>
      </w:pPr>
      <w:r>
        <w:separator/>
      </w:r>
    </w:p>
  </w:endnote>
  <w:endnote w:type="continuationSeparator" w:id="0">
    <w:p w14:paraId="1B6CF269" w14:textId="77777777" w:rsidR="00297A44" w:rsidRDefault="00297A44"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Light">
    <w:panose1 w:val="020B0403020202020204"/>
    <w:charset w:val="00"/>
    <w:family w:val="auto"/>
    <w:pitch w:val="variable"/>
    <w:sig w:usb0="800000AF" w:usb1="4000204A"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297A44" w:rsidRDefault="00297A44"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297A44" w:rsidRDefault="00297A44"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297A44" w:rsidRDefault="00297A44"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1CD1">
      <w:rPr>
        <w:rStyle w:val="PageNumber"/>
        <w:noProof/>
      </w:rPr>
      <w:t>1</w:t>
    </w:r>
    <w:r>
      <w:rPr>
        <w:rStyle w:val="PageNumber"/>
      </w:rPr>
      <w:fldChar w:fldCharType="end"/>
    </w:r>
  </w:p>
  <w:p w14:paraId="1C64FE3E" w14:textId="77777777" w:rsidR="00297A44" w:rsidRDefault="00297A44"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297A44" w:rsidRDefault="00297A44" w:rsidP="00562E77">
      <w:pPr>
        <w:spacing w:line="240" w:lineRule="auto"/>
      </w:pPr>
      <w:r>
        <w:separator/>
      </w:r>
    </w:p>
  </w:footnote>
  <w:footnote w:type="continuationSeparator" w:id="0">
    <w:p w14:paraId="6BA6803E" w14:textId="77777777" w:rsidR="00297A44" w:rsidRDefault="00297A44" w:rsidP="00562E77">
      <w:pPr>
        <w:spacing w:line="240" w:lineRule="auto"/>
      </w:pPr>
      <w:r>
        <w:continuationSeparator/>
      </w:r>
    </w:p>
  </w:footnote>
  <w:footnote w:id="1">
    <w:p w14:paraId="27EAC335" w14:textId="3B96C28A" w:rsidR="00297A44" w:rsidRPr="00E15ABF" w:rsidRDefault="00297A44">
      <w:pPr>
        <w:pStyle w:val="FootnoteText"/>
        <w:rPr>
          <w:rFonts w:cs="Times New Roman"/>
          <w:sz w:val="20"/>
          <w:szCs w:val="20"/>
        </w:rPr>
      </w:pPr>
      <w:r w:rsidRPr="00E15ABF">
        <w:rPr>
          <w:rStyle w:val="FootnoteReference"/>
          <w:rFonts w:cs="Times New Roman"/>
          <w:sz w:val="20"/>
          <w:szCs w:val="20"/>
        </w:rPr>
        <w:footnoteRef/>
      </w:r>
      <w:r w:rsidRPr="00E15ABF">
        <w:rPr>
          <w:rFonts w:cs="Times New Roman"/>
          <w:sz w:val="20"/>
          <w:szCs w:val="20"/>
        </w:rPr>
        <w:t xml:space="preserve"> Eine Suche nach der Phrase im VD17online ergibt 1086 Treffer bei </w:t>
      </w:r>
      <w:r w:rsidRPr="00E15ABF">
        <w:rPr>
          <w:rFonts w:cs="Times New Roman"/>
          <w:color w:val="484439"/>
          <w:sz w:val="20"/>
          <w:szCs w:val="20"/>
          <w:lang w:val="en-US"/>
        </w:rPr>
        <w:t>294.500 Titeln mit ca. 722.300 Exemplaren (Stand: Juli 2015). Link: http://www.vd17.de/index.php?article_id=25&amp;clang=0 [gesehen am 04.05.2016]. Die Phrase ist recht selten und bezeichnet in der überwiegenden Mehrheit der Fälle Drucke, die zunächst an einem anderen Ort gedruckt worden waren.</w:t>
      </w:r>
    </w:p>
  </w:footnote>
  <w:footnote w:id="2">
    <w:p w14:paraId="4D634550" w14:textId="71BF85CC" w:rsidR="00297A44" w:rsidRPr="00E15ABF" w:rsidRDefault="00297A44" w:rsidP="001A3464">
      <w:pPr>
        <w:widowControl w:val="0"/>
        <w:autoSpaceDE w:val="0"/>
        <w:autoSpaceDN w:val="0"/>
        <w:adjustRightInd w:val="0"/>
        <w:spacing w:line="240" w:lineRule="auto"/>
        <w:rPr>
          <w:sz w:val="20"/>
          <w:szCs w:val="20"/>
        </w:rPr>
      </w:pPr>
      <w:r w:rsidRPr="00E15ABF">
        <w:rPr>
          <w:rStyle w:val="FootnoteReference"/>
          <w:sz w:val="20"/>
          <w:szCs w:val="20"/>
        </w:rPr>
        <w:footnoteRef/>
      </w:r>
      <w:r w:rsidRPr="00E15ABF">
        <w:rPr>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3">
    <w:p w14:paraId="39F728C0" w14:textId="4231B574"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Eine vollständige Dokumentation, Systematisierung und Erklärung der Varianz ist für die digitale Edition der </w:t>
      </w:r>
      <w:r w:rsidRPr="00E15ABF">
        <w:rPr>
          <w:i/>
          <w:sz w:val="20"/>
          <w:szCs w:val="20"/>
        </w:rPr>
        <w:t>Ethica Complementoria</w:t>
      </w:r>
      <w:r w:rsidRPr="00E15ABF">
        <w:rPr>
          <w:sz w:val="20"/>
          <w:szCs w:val="20"/>
        </w:rPr>
        <w:t xml:space="preserve"> vorgesehen. Zur Unterstützung der genealogisch-stemmatologischen Argumentation hier eine Auswahl: [A1] Die Verse auf C2b "Kurtzweil ohn Schaden / Frühstück im Magen / </w:t>
      </w:r>
      <w:r w:rsidRPr="00E15ABF">
        <w:rPr>
          <w:b/>
          <w:sz w:val="20"/>
          <w:szCs w:val="20"/>
        </w:rPr>
        <w:t>Peltze in Wintertagen /</w:t>
      </w:r>
      <w:r w:rsidRPr="00E15ABF">
        <w:rPr>
          <w:sz w:val="20"/>
          <w:szCs w:val="20"/>
        </w:rPr>
        <w:t xml:space="preserve"> Jst alles wol zu tragen. [A2] Kurtzweil ohn Schaden / Früstück im Magen / </w:t>
      </w:r>
      <w:r w:rsidRPr="00E15ABF">
        <w:rPr>
          <w:b/>
          <w:sz w:val="20"/>
          <w:szCs w:val="20"/>
        </w:rPr>
        <w:t>Peltz jm Winter tragen /</w:t>
      </w:r>
      <w:r w:rsidRPr="00E15ABF">
        <w:rPr>
          <w:sz w:val="20"/>
          <w:szCs w:val="20"/>
        </w:rPr>
        <w:t xml:space="preserve"> Jst alles wol zu tragen. C5b [A1] "vera literatura", [A2] re literaria. D4a [A1] "die holdsehligen Damen", [A2] die holdseligen Frawen. D4a [A1] "dasz wenn sie nur jhr Jungfräwlich Freyens-Gebet Abends vnd Morgens fleissig repetiren / zu schiessen jhnen vnd bey Edle Junggesellen anzubringen vnd zu helffen pflegen /", [A2] "dasz wenn sie nur jhr Jungfräwliches Freyens-Gebet Abends vnd Morgens fleissiglich repetiren / sie jhnen zu helffen / vnd bey den edlen Jung-Gesellen anzubringen pflegen /". [Mehr? Weniger? sind die irgendwie signifikant?]</w:t>
      </w:r>
    </w:p>
  </w:footnote>
  <w:footnote w:id="4">
    <w:p w14:paraId="6C141662" w14:textId="6F830720"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w:t>
      </w:r>
      <w:r w:rsidRPr="00E15ABF">
        <w:rPr>
          <w:i/>
          <w:sz w:val="20"/>
          <w:szCs w:val="20"/>
        </w:rPr>
        <w:t>Fingerprints</w:t>
      </w:r>
      <w:r w:rsidRPr="00E15ABF">
        <w:rPr>
          <w:sz w:val="20"/>
          <w:szCs w:val="20"/>
        </w:rPr>
        <w:t xml:space="preserve"> werden zur Identifikation von Alten Drucken eingesetzt. Das VD17 führt die fingerprints der Ausgaben [A2] </w:t>
      </w:r>
      <w:r w:rsidRPr="00E15ABF">
        <w:rPr>
          <w:rFonts w:eastAsia="Times New Roman" w:cs="Times New Roman"/>
          <w:sz w:val="20"/>
          <w:szCs w:val="20"/>
        </w:rPr>
        <w:t>e-e, n-n, mtt, SiEr C</w:t>
      </w:r>
      <w:r w:rsidRPr="00E15ABF">
        <w:rPr>
          <w:sz w:val="20"/>
          <w:szCs w:val="20"/>
        </w:rPr>
        <w:t xml:space="preserve">, [A3] </w:t>
      </w:r>
      <w:r w:rsidRPr="00E15ABF">
        <w:rPr>
          <w:rFonts w:eastAsia="Times New Roman" w:cs="Times New Roman"/>
          <w:sz w:val="20"/>
          <w:szCs w:val="20"/>
        </w:rPr>
        <w:t>e-i- r-4. i-ss labe C 1645A</w:t>
      </w:r>
      <w:r w:rsidRPr="00E15ABF">
        <w:rPr>
          <w:sz w:val="20"/>
          <w:szCs w:val="20"/>
        </w:rPr>
        <w:t xml:space="preserve"> und [A4] </w:t>
      </w:r>
      <w:r w:rsidRPr="00E15ABF">
        <w:rPr>
          <w:rFonts w:eastAsia="Times New Roman" w:cs="Times New Roman"/>
          <w:sz w:val="20"/>
          <w:szCs w:val="20"/>
        </w:rPr>
        <w:t>e.o- s:ur t.t, SiEr C</w:t>
      </w:r>
      <w:r w:rsidRPr="00E15ABF">
        <w:rPr>
          <w:sz w:val="20"/>
          <w:szCs w:val="20"/>
        </w:rPr>
        <w:t xml:space="preserve">. Den </w:t>
      </w:r>
      <w:r w:rsidRPr="00E15ABF">
        <w:rPr>
          <w:i/>
          <w:sz w:val="20"/>
          <w:szCs w:val="20"/>
        </w:rPr>
        <w:t>fingerprint</w:t>
      </w:r>
      <w:r w:rsidRPr="00E15ABF">
        <w:rPr>
          <w:sz w:val="20"/>
          <w:szCs w:val="20"/>
        </w:rPr>
        <w:t xml:space="preserve"> von [A1] habe ich selbst ermittelt.</w:t>
      </w:r>
    </w:p>
  </w:footnote>
  <w:footnote w:id="5">
    <w:p w14:paraId="76278902" w14:textId="1D0E52F1"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GND-Datensatz http://d-nb.info/gnd/128772115 [gesehen am 05.05.2016], Lebensdaten </w:t>
      </w:r>
      <w:r w:rsidRPr="00E15ABF">
        <w:rPr>
          <w:rFonts w:ascii="Verdana" w:hAnsi="Verdana" w:cs="Verdana"/>
          <w:color w:val="262626"/>
          <w:sz w:val="20"/>
          <w:szCs w:val="20"/>
          <w:lang w:val="en-US"/>
        </w:rPr>
        <w:t>1627–1668. Buchhändler in Hamburg.</w:t>
      </w:r>
    </w:p>
  </w:footnote>
  <w:footnote w:id="6">
    <w:p w14:paraId="5896C9DE" w14:textId="7B8D6473" w:rsidR="00E15ABF" w:rsidRPr="00E15ABF" w:rsidRDefault="00E15ABF">
      <w:pPr>
        <w:pStyle w:val="FootnoteText"/>
        <w:rPr>
          <w:sz w:val="20"/>
          <w:szCs w:val="20"/>
        </w:rPr>
      </w:pPr>
      <w:r w:rsidRPr="00E15ABF">
        <w:rPr>
          <w:rStyle w:val="FootnoteReference"/>
          <w:sz w:val="20"/>
          <w:szCs w:val="20"/>
        </w:rPr>
        <w:footnoteRef/>
      </w:r>
      <w:r w:rsidRPr="00E15ABF">
        <w:rPr>
          <w:sz w:val="20"/>
          <w:szCs w:val="20"/>
        </w:rPr>
        <w:t xml:space="preserve"> </w:t>
      </w:r>
      <w:r w:rsidRPr="00E15ABF">
        <w:rPr>
          <w:sz w:val="20"/>
          <w:szCs w:val="20"/>
          <w:highlight w:val="green"/>
        </w:rPr>
        <w:t>Hier Beispiele angeben?</w:t>
      </w:r>
    </w:p>
  </w:footnote>
  <w:footnote w:id="7">
    <w:p w14:paraId="597E91EA" w14:textId="14161910"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In [B1] ist der Umfang lediglich um anderthalb Bogen (E12, F6) erweitert. Ab [B3] sind es dann zwei vollständige Bogen.</w:t>
      </w:r>
    </w:p>
  </w:footnote>
  <w:footnote w:id="8">
    <w:p w14:paraId="2E6451FA" w14:textId="62E7760C"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Ab [B3] hat das Titelblatt verschiedene Druckersignets von Johann Naumann.</w:t>
      </w:r>
    </w:p>
  </w:footnote>
  <w:footnote w:id="9">
    <w:p w14:paraId="6E99D619" w14:textId="6E51DE47"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Ausschließlich [B3] hat 220 Sprichwörter.</w:t>
      </w:r>
    </w:p>
  </w:footnote>
  <w:footnote w:id="10">
    <w:p w14:paraId="291EA006" w14:textId="2070D7D4" w:rsidR="00297A44" w:rsidRPr="00E15ABF" w:rsidRDefault="00297A44" w:rsidP="00FF7216">
      <w:pPr>
        <w:pStyle w:val="FootnoteText"/>
        <w:rPr>
          <w:sz w:val="20"/>
          <w:szCs w:val="20"/>
        </w:rPr>
      </w:pPr>
      <w:r w:rsidRPr="00E15ABF">
        <w:rPr>
          <w:rStyle w:val="FootnoteReference"/>
          <w:sz w:val="20"/>
          <w:szCs w:val="20"/>
        </w:rPr>
        <w:footnoteRef/>
      </w:r>
      <w:r w:rsidRPr="00E15ABF">
        <w:rPr>
          <w:sz w:val="20"/>
          <w:szCs w:val="20"/>
        </w:rPr>
        <w:t xml:space="preserve"> </w:t>
      </w:r>
      <w:r w:rsidRPr="00E15ABF">
        <w:rPr>
          <w:rFonts w:cs="Times New Roman"/>
          <w:sz w:val="20"/>
          <w:szCs w:val="20"/>
        </w:rPr>
        <w:t xml:space="preserve">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E15ABF">
        <w:rPr>
          <w:rFonts w:cs="Times New Roman"/>
          <w:i/>
          <w:sz w:val="20"/>
          <w:szCs w:val="20"/>
        </w:rPr>
        <w:t>Damensprichwörter</w:t>
      </w:r>
      <w:r w:rsidRPr="00E15ABF">
        <w:rPr>
          <w:rFonts w:cs="Times New Roman"/>
          <w:sz w:val="20"/>
          <w:szCs w:val="20"/>
        </w:rPr>
        <w:t xml:space="preserve"> (da sie der Forschungsliteratur folgend Greflinger für den Autor der </w:t>
      </w:r>
      <w:r w:rsidRPr="00E15ABF">
        <w:rPr>
          <w:rFonts w:cs="Times New Roman"/>
          <w:i/>
          <w:sz w:val="20"/>
          <w:szCs w:val="20"/>
        </w:rPr>
        <w:t>Ethica</w:t>
      </w:r>
      <w:r w:rsidRPr="00E15ABF">
        <w:rPr>
          <w:rFonts w:cs="Times New Roman"/>
          <w:sz w:val="20"/>
          <w:szCs w:val="20"/>
        </w:rPr>
        <w:t xml:space="preserve"> resp. des </w:t>
      </w:r>
      <w:r w:rsidRPr="00E15ABF">
        <w:rPr>
          <w:rFonts w:cs="Times New Roman"/>
          <w:i/>
          <w:sz w:val="20"/>
          <w:szCs w:val="20"/>
        </w:rPr>
        <w:t>Complimentierbüchleins</w:t>
      </w:r>
      <w:r w:rsidRPr="00E15ABF">
        <w:rPr>
          <w:rFonts w:cs="Times New Roman"/>
          <w:sz w:val="20"/>
          <w:szCs w:val="20"/>
        </w:rPr>
        <w:t xml:space="preserve"> hält). Sie kennt die Ausgaben der </w:t>
      </w:r>
      <w:r w:rsidRPr="00E15ABF">
        <w:rPr>
          <w:rFonts w:cs="Times New Roman"/>
          <w:i/>
          <w:sz w:val="20"/>
          <w:szCs w:val="20"/>
        </w:rPr>
        <w:t>Löfflerey-Kunst</w:t>
      </w:r>
      <w:r w:rsidRPr="00E15ABF">
        <w:rPr>
          <w:rFonts w:cs="Times New Roman"/>
          <w:sz w:val="20"/>
          <w:szCs w:val="20"/>
        </w:rPr>
        <w:t xml:space="preserve"> von 1648 und die darin enthaltenen, identischen 219 </w:t>
      </w:r>
      <w:r w:rsidRPr="00E15ABF">
        <w:rPr>
          <w:rFonts w:cs="Times New Roman"/>
          <w:i/>
          <w:sz w:val="20"/>
          <w:szCs w:val="20"/>
        </w:rPr>
        <w:t>Damensprichwörter</w:t>
      </w:r>
      <w:r w:rsidRPr="00E15ABF">
        <w:rPr>
          <w:rFonts w:cs="Times New Roman"/>
          <w:sz w:val="20"/>
          <w:szCs w:val="20"/>
        </w:rPr>
        <w:t xml:space="preserve"> nicht.</w:t>
      </w:r>
    </w:p>
  </w:footnote>
  <w:footnote w:id="11">
    <w:p w14:paraId="06F55AF4" w14:textId="485E680C" w:rsidR="00297A44" w:rsidRPr="00E15ABF" w:rsidRDefault="00297A44">
      <w:pPr>
        <w:pStyle w:val="FootnoteText"/>
        <w:rPr>
          <w:sz w:val="20"/>
          <w:szCs w:val="20"/>
        </w:rPr>
      </w:pPr>
      <w:r w:rsidRPr="00E15ABF">
        <w:rPr>
          <w:rStyle w:val="FootnoteReference"/>
          <w:sz w:val="20"/>
          <w:szCs w:val="20"/>
        </w:rPr>
        <w:footnoteRef/>
      </w:r>
      <w:r w:rsidRPr="00E15ABF">
        <w:rPr>
          <w:sz w:val="20"/>
          <w:szCs w:val="20"/>
        </w:rPr>
        <w:t xml:space="preserve"> </w:t>
      </w:r>
      <w:r w:rsidRPr="00E15ABF">
        <w:rPr>
          <w:rFonts w:eastAsia="Times New Roman" w:cs="Times New Roman"/>
          <w:sz w:val="20"/>
          <w:szCs w:val="20"/>
          <w:highlight w:val="yellow"/>
        </w:rPr>
        <w:t xml:space="preserve">ein Gedicht aus der Sammlung </w:t>
      </w:r>
      <w:r w:rsidRPr="00E15ABF">
        <w:rPr>
          <w:rFonts w:eastAsia="Times New Roman" w:cs="Times New Roman"/>
          <w:i/>
          <w:sz w:val="20"/>
          <w:szCs w:val="20"/>
          <w:highlight w:val="yellow"/>
        </w:rPr>
        <w:t>Seladons Beständige Liebe</w:t>
      </w:r>
      <w:r w:rsidRPr="00E15ABF">
        <w:rPr>
          <w:rFonts w:eastAsia="Times New Roman" w:cs="Times New Roman"/>
          <w:sz w:val="20"/>
          <w:szCs w:val="20"/>
          <w:highlight w:val="yellow"/>
        </w:rPr>
        <w:t xml:space="preserve"> (1644)</w:t>
      </w:r>
      <w:r w:rsidRPr="00E15ABF">
        <w:rPr>
          <w:rFonts w:eastAsia="Times New Roman" w:cs="Times New Roman"/>
          <w:sz w:val="20"/>
          <w:szCs w:val="20"/>
        </w:rPr>
        <w:t xml:space="preserve"> [angeben, wo]</w:t>
      </w:r>
    </w:p>
  </w:footnote>
  <w:footnote w:id="12">
    <w:p w14:paraId="06877287" w14:textId="7219CB71" w:rsidR="00297A44" w:rsidRPr="00E15ABF" w:rsidRDefault="00297A44">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Hier einfügen kurz zur Löfflerey-Tradition. Zum Verhältnis der Ausgaben der Löfflerey-Kunst von 1648 und 1656 zur Ethica Complementoria sowie zur Diskussion der Verfasserfrage vgl. Abschnitt ## unten.</w:t>
      </w:r>
    </w:p>
  </w:footnote>
  <w:footnote w:id="13">
    <w:p w14:paraId="1682E4AF" w14:textId="6F778CAC" w:rsidR="00297A44" w:rsidRPr="00E15ABF" w:rsidRDefault="00297A44">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14">
    <w:p w14:paraId="0FD7D57B" w14:textId="5D68B473" w:rsidR="00297A44" w:rsidRPr="00E15ABF" w:rsidRDefault="00297A44">
      <w:pPr>
        <w:pStyle w:val="FootnoteText"/>
        <w:rPr>
          <w:sz w:val="20"/>
          <w:szCs w:val="20"/>
        </w:rPr>
      </w:pPr>
      <w:r w:rsidRPr="00E15ABF">
        <w:rPr>
          <w:rStyle w:val="FootnoteReference"/>
          <w:sz w:val="20"/>
          <w:szCs w:val="20"/>
          <w:highlight w:val="green"/>
        </w:rPr>
        <w:footnoteRef/>
      </w:r>
      <w:r w:rsidRPr="00E15ABF">
        <w:rPr>
          <w:sz w:val="20"/>
          <w:szCs w:val="20"/>
          <w:highlight w:val="green"/>
        </w:rPr>
        <w:t xml:space="preserve"> Achtung: ich habe das nur oberflächlich geprüft; vermute jedoch einen seitengetreuen Nachdruck von [B1]. Das kann anhand der Digitalisate von [B1] und [B2] überprüft werden.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20B1B"/>
    <w:rsid w:val="000C41B4"/>
    <w:rsid w:val="000F3149"/>
    <w:rsid w:val="0010687A"/>
    <w:rsid w:val="0014104E"/>
    <w:rsid w:val="001444B8"/>
    <w:rsid w:val="00165D58"/>
    <w:rsid w:val="001863CD"/>
    <w:rsid w:val="00191628"/>
    <w:rsid w:val="001A3464"/>
    <w:rsid w:val="001B71CE"/>
    <w:rsid w:val="001F42D5"/>
    <w:rsid w:val="00224F0C"/>
    <w:rsid w:val="0026265F"/>
    <w:rsid w:val="00263A46"/>
    <w:rsid w:val="0027798D"/>
    <w:rsid w:val="00292F5D"/>
    <w:rsid w:val="00297A44"/>
    <w:rsid w:val="00316D91"/>
    <w:rsid w:val="0032449D"/>
    <w:rsid w:val="003852F8"/>
    <w:rsid w:val="003909A5"/>
    <w:rsid w:val="00393413"/>
    <w:rsid w:val="003977A5"/>
    <w:rsid w:val="003A34BE"/>
    <w:rsid w:val="003B63F0"/>
    <w:rsid w:val="003D0BEE"/>
    <w:rsid w:val="00456FCD"/>
    <w:rsid w:val="004E32C7"/>
    <w:rsid w:val="00500F3F"/>
    <w:rsid w:val="00523E6C"/>
    <w:rsid w:val="005358B1"/>
    <w:rsid w:val="00562E77"/>
    <w:rsid w:val="00572E7F"/>
    <w:rsid w:val="00582C33"/>
    <w:rsid w:val="0058770D"/>
    <w:rsid w:val="005A3F57"/>
    <w:rsid w:val="005C43F3"/>
    <w:rsid w:val="00600F14"/>
    <w:rsid w:val="0064455D"/>
    <w:rsid w:val="00650B54"/>
    <w:rsid w:val="00682375"/>
    <w:rsid w:val="006A55AD"/>
    <w:rsid w:val="006E1CD1"/>
    <w:rsid w:val="006E71A5"/>
    <w:rsid w:val="007B198C"/>
    <w:rsid w:val="007B3BBA"/>
    <w:rsid w:val="007B5A98"/>
    <w:rsid w:val="007C2B4D"/>
    <w:rsid w:val="007E3344"/>
    <w:rsid w:val="0092068F"/>
    <w:rsid w:val="00937DAA"/>
    <w:rsid w:val="00951A0B"/>
    <w:rsid w:val="0095508E"/>
    <w:rsid w:val="00967F8A"/>
    <w:rsid w:val="009B1BFE"/>
    <w:rsid w:val="00A07927"/>
    <w:rsid w:val="00A206FA"/>
    <w:rsid w:val="00A33AAA"/>
    <w:rsid w:val="00A342C0"/>
    <w:rsid w:val="00A57C6E"/>
    <w:rsid w:val="00A744A8"/>
    <w:rsid w:val="00AA5720"/>
    <w:rsid w:val="00AA5898"/>
    <w:rsid w:val="00AE50A4"/>
    <w:rsid w:val="00B148D9"/>
    <w:rsid w:val="00B22D1E"/>
    <w:rsid w:val="00B52F15"/>
    <w:rsid w:val="00B60AF8"/>
    <w:rsid w:val="00B64E2E"/>
    <w:rsid w:val="00B664E5"/>
    <w:rsid w:val="00B77A3E"/>
    <w:rsid w:val="00BA5B82"/>
    <w:rsid w:val="00BD4702"/>
    <w:rsid w:val="00BE5E96"/>
    <w:rsid w:val="00C61916"/>
    <w:rsid w:val="00C719A3"/>
    <w:rsid w:val="00C7570A"/>
    <w:rsid w:val="00C86BCE"/>
    <w:rsid w:val="00D8665C"/>
    <w:rsid w:val="00DB5633"/>
    <w:rsid w:val="00DB7F79"/>
    <w:rsid w:val="00DC211F"/>
    <w:rsid w:val="00DC5477"/>
    <w:rsid w:val="00E15ABF"/>
    <w:rsid w:val="00E25B31"/>
    <w:rsid w:val="00EB48A2"/>
    <w:rsid w:val="00EF6D0E"/>
    <w:rsid w:val="00F852F4"/>
    <w:rsid w:val="00F94787"/>
    <w:rsid w:val="00FA2899"/>
    <w:rsid w:val="00FD6CCA"/>
    <w:rsid w:val="00FF4AAE"/>
    <w:rsid w:val="00FF721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13</Pages>
  <Words>3987</Words>
  <Characters>22731</Characters>
  <Application>Microsoft Macintosh Word</Application>
  <DocSecurity>0</DocSecurity>
  <Lines>189</Lines>
  <Paragraphs>53</Paragraphs>
  <ScaleCrop>false</ScaleCrop>
  <Company>Universitetet i Oslo</Company>
  <LinksUpToDate>false</LinksUpToDate>
  <CharactersWithSpaces>26665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68</cp:revision>
  <dcterms:created xsi:type="dcterms:W3CDTF">2016-05-04T11:02:00Z</dcterms:created>
  <dcterms:modified xsi:type="dcterms:W3CDTF">2016-05-05T13:56:00Z</dcterms:modified>
</cp:coreProperties>
</file>