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48309D38"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292F5D">
      <w:pPr>
        <w:widowControl w:val="0"/>
        <w:autoSpaceDE w:val="0"/>
        <w:autoSpaceDN w:val="0"/>
        <w:adjustRightInd w:val="0"/>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5C728520"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der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sind und – zumal in herstellungstechnischer Sicht – [A2] in zeitlicher Nähe zu [A3] erstellt wurde.</w:t>
      </w:r>
    </w:p>
    <w:p w14:paraId="637E07E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 Vermutlich scheut Dünnhaupt sich, einem nicht datierten Druck den Status der editio princeps zuzuschreiben und geht daher stillschweigend vom zeitlichen Vorrang von [A3] aus.</w:t>
      </w:r>
    </w:p>
    <w:p w14:paraId="1CACD9AD"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B557C4" w:rsidR="001A3464" w:rsidRDefault="00D31FB2" w:rsidP="00292F5D">
      <w:pPr>
        <w:widowControl w:val="0"/>
        <w:autoSpaceDE w:val="0"/>
        <w:autoSpaceDN w:val="0"/>
        <w:adjustRightInd w:val="0"/>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1"/>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51C62301"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2EA540EB"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B77A3E">
        <w:rPr>
          <w:rFonts w:cs="Times New Roman"/>
          <w:color w:val="343434"/>
          <w:lang w:val="en-US"/>
        </w:rPr>
        <w:t xml:space="preserve"> zu. </w:t>
      </w:r>
      <w:r w:rsidR="00456FCD">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sidR="00456FCD">
        <w:rPr>
          <w:rFonts w:cs="Times New Roman"/>
          <w:color w:val="343434"/>
          <w:lang w:val="en-US"/>
        </w:rPr>
        <w:t>alle d</w:t>
      </w:r>
      <w:r w:rsidR="009D174C">
        <w:rPr>
          <w:rFonts w:cs="Times New Roman"/>
          <w:color w:val="343434"/>
          <w:lang w:val="en-US"/>
        </w:rPr>
        <w:t xml:space="preserve">eutschen Verse und Sprichwörter </w:t>
      </w:r>
      <w:r w:rsidR="00456FCD">
        <w:rPr>
          <w:rFonts w:cs="Times New Roman"/>
          <w:color w:val="343434"/>
          <w:lang w:val="en-US"/>
        </w:rPr>
        <w:t>umgearbeitet, die lateinischen Wörter und Phrasen sind getilgt.</w:t>
      </w:r>
    </w:p>
    <w:p w14:paraId="51EA15CF" w14:textId="16EF87D8"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w:t>
      </w:r>
      <w:r w:rsidR="00C91757">
        <w:rPr>
          <w:rFonts w:cs="Times New Roman"/>
          <w:color w:val="343434"/>
          <w:lang w:val="en-US"/>
        </w:rPr>
        <w:t>en</w:t>
      </w:r>
      <w:r w:rsidR="003D0BEE">
        <w:rPr>
          <w:rFonts w:cs="Times New Roman"/>
          <w:color w:val="343434"/>
          <w:lang w:val="en-US"/>
        </w:rPr>
        <w:t xml:space="preserve">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sidR="003D0BEE">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6B8479ED" w14:textId="5DFCE938"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84435">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15"/>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16"/>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17"/>
      </w:r>
    </w:p>
    <w:p w14:paraId="5BDC0A25" w14:textId="5A632692" w:rsidR="00484435" w:rsidRDefault="00BD22F9" w:rsidP="00484435">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18"/>
      </w:r>
      <w:r w:rsidR="001C07B8">
        <w:t xml:space="preserve"> in den übrigen Ausgaben mit dem </w:t>
      </w:r>
      <w:r w:rsidR="001C07B8" w:rsidRPr="00DB7FF1">
        <w:rPr>
          <w:i/>
        </w:rPr>
        <w:t>Tranchier-Buch</w:t>
      </w:r>
      <w:r w:rsidR="00E77C15">
        <w:rPr>
          <w:rStyle w:val="FootnoteReference"/>
          <w:i/>
        </w:rPr>
        <w:footnoteReference w:id="19"/>
      </w:r>
      <w:r w:rsidR="001C07B8">
        <w:t xml:space="preserve"> sowie den </w:t>
      </w:r>
      <w:r w:rsidR="001C07B8" w:rsidRPr="00DB7FF1">
        <w:rPr>
          <w:i/>
        </w:rPr>
        <w:t>Tisch- und Leberreimen</w:t>
      </w:r>
      <w:r w:rsidR="001C07B8">
        <w:t>.</w:t>
      </w:r>
      <w:r w:rsidR="00EF49A1">
        <w:rPr>
          <w:rStyle w:val="FootnoteReference"/>
        </w:rPr>
        <w:footnoteReference w:id="20"/>
      </w:r>
    </w:p>
    <w:p w14:paraId="2C2608D5" w14:textId="77777777" w:rsidR="007119D6" w:rsidRDefault="001C07B8" w:rsidP="00484435">
      <w:pPr>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on genealogisch</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86D31FE" w:rsidR="001C07B8" w:rsidRDefault="00633FB4" w:rsidP="00484435">
      <w:pPr>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r w:rsidR="00B02DF5">
        <w:rPr>
          <w:rStyle w:val="FootnoteReference"/>
          <w:rFonts w:cs="Times New Roman"/>
        </w:rPr>
        <w:footnoteReference w:id="21"/>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6F27EDDE"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2"/>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3"/>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4"/>
      </w:r>
    </w:p>
    <w:p w14:paraId="7F6A9BC8" w14:textId="77777777" w:rsidR="00DB7FF1" w:rsidRDefault="00DB7FF1" w:rsidP="0090532D">
      <w:pPr>
        <w:spacing w:line="240" w:lineRule="auto"/>
      </w:pPr>
    </w:p>
    <w:p w14:paraId="4064846B" w14:textId="6255C02A" w:rsidR="0090532D" w:rsidRPr="00484435" w:rsidRDefault="0090532D" w:rsidP="001C16BF">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5"/>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26"/>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27"/>
      </w:r>
      <w:r w:rsidRPr="00484435">
        <w:rPr>
          <w:rFonts w:eastAsia="Times New Roman" w:cs="Times New Roman"/>
        </w:rPr>
        <w:t xml:space="preserve"> </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4CC0D09A"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w:t>
      </w:r>
      <w:r>
        <w:rPr>
          <w:rFonts w:cs="Times New Roman"/>
          <w:u w:color="0000E9"/>
          <w:lang w:eastAsia="ja-JP"/>
        </w:rPr>
        <w:t xml:space="preserve">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397325B6"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0"/>
      <w:r w:rsidR="00506BD7" w:rsidRPr="00AD570C">
        <w:rPr>
          <w:rFonts w:cs="Times New Roman"/>
          <w:highlight w:val="green"/>
          <w:u w:color="0000E9"/>
          <w:lang w:eastAsia="ja-JP"/>
        </w:rPr>
        <w:t>'gespiegelt' wird</w:t>
      </w:r>
      <w:commentRangeEnd w:id="0"/>
      <w:r w:rsidR="00AD570C">
        <w:rPr>
          <w:rStyle w:val="CommentReference"/>
        </w:rPr>
        <w:commentReference w:id="0"/>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8"/>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6B1B57E7" w14:textId="34F6B03D" w:rsidR="001000AC" w:rsidRDefault="001000AC" w:rsidP="008F2044">
      <w:pPr>
        <w:spacing w:line="240" w:lineRule="auto"/>
        <w:rPr>
          <w:rFonts w:cs="Times New Roman"/>
          <w:u w:color="0000E9"/>
          <w:lang w:eastAsia="ja-JP"/>
        </w:rPr>
      </w:pPr>
      <w:r>
        <w:rPr>
          <w:rFonts w:cs="Times New Roman"/>
          <w:u w:color="0000E9"/>
          <w:lang w:eastAsia="ja-JP"/>
        </w:rPr>
        <w:t>Die zwei Ausgaben [D1] und [D2] konstituieren eine eigene Gruppe aufgrund folgender Eigenschaften: (i) Gegenüber [A] unterscheiden sie sich durch das Buchformat, 8° quer</w:t>
      </w:r>
      <w:r w:rsidR="00B80A83">
        <w:rPr>
          <w:rFonts w:cs="Times New Roman"/>
          <w:u w:color="0000E9"/>
          <w:lang w:eastAsia="ja-JP"/>
        </w:rPr>
        <w:t>, aufgrund der Druckersynthese mit dem Tranchier-Buch.</w:t>
      </w:r>
      <w:r>
        <w:rPr>
          <w:rFonts w:cs="Times New Roman"/>
          <w:u w:color="0000E9"/>
          <w:lang w:eastAsia="ja-JP"/>
        </w:rPr>
        <w:t xml:space="preserve"> </w:t>
      </w:r>
    </w:p>
    <w:p w14:paraId="7F33046B" w14:textId="0D074629" w:rsidR="008F2044" w:rsidRPr="008F2044" w:rsidRDefault="008F2044" w:rsidP="008F2044">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w:t>
      </w:r>
      <w:r w:rsidR="001000AC">
        <w:t xml:space="preserve">[D1] </w:t>
      </w:r>
      <w:r w:rsidRPr="000B11DB">
        <w:rPr>
          <w:rFonts w:cs="Times New Roman"/>
          <w:u w:color="0000E9"/>
          <w:lang w:eastAsia="ja-JP"/>
        </w:rPr>
        <w:t xml:space="preserve">ist Teil einer Druckersynthese mit dem </w:t>
      </w:r>
      <w:r w:rsidRPr="000B11DB">
        <w:rPr>
          <w:rFonts w:cs="Times New Roman"/>
          <w:i/>
          <w:u w:color="0000E9"/>
          <w:lang w:eastAsia="ja-JP"/>
        </w:rPr>
        <w:t>Tranchier</w:t>
      </w:r>
      <w:r w:rsidR="001000AC">
        <w:rPr>
          <w:rFonts w:cs="Times New Roman"/>
          <w:i/>
          <w:u w:color="0000E9"/>
          <w:lang w:eastAsia="ja-JP"/>
        </w:rPr>
        <w:t>-B</w:t>
      </w:r>
      <w:r w:rsidRPr="000B11DB">
        <w:rPr>
          <w:rFonts w:cs="Times New Roman"/>
          <w:i/>
          <w:u w:color="0000E9"/>
          <w:lang w:eastAsia="ja-JP"/>
        </w:rPr>
        <w:t>uch</w:t>
      </w:r>
      <w:r>
        <w:rPr>
          <w:rFonts w:cs="Times New Roman"/>
          <w:u w:color="0000E9"/>
          <w:lang w:eastAsia="ja-JP"/>
        </w:rPr>
        <w:t xml:space="preserve">; gemeinsames </w:t>
      </w:r>
      <w:r w:rsidRPr="000B11DB">
        <w:rPr>
          <w:u w:color="0000E9"/>
          <w:lang w:eastAsia="ja-JP"/>
        </w:rPr>
        <w:t>Titelkupfer</w:t>
      </w:r>
      <w:r>
        <w:rPr>
          <w:u w:color="0000E9"/>
          <w:lang w:eastAsia="ja-JP"/>
        </w:rPr>
        <w:t xml:space="preserve"> sowie Dedicatio</w:t>
      </w:r>
      <w:r w:rsidRPr="000B11DB">
        <w:rPr>
          <w:u w:color="0000E9"/>
          <w:lang w:eastAsia="ja-JP"/>
        </w:rPr>
        <w:t xml:space="preserve"> </w:t>
      </w:r>
      <w:r>
        <w:rPr>
          <w:u w:color="0000E9"/>
          <w:lang w:eastAsia="ja-JP"/>
        </w:rPr>
        <w:t xml:space="preserve">des Druckerverlegers </w:t>
      </w:r>
      <w:r w:rsidRPr="000B11DB">
        <w:rPr>
          <w:u w:color="0000E9"/>
          <w:lang w:eastAsia="ja-JP"/>
        </w:rPr>
        <w:t xml:space="preserve">Petrus Lucius' </w:t>
      </w:r>
      <w:r w:rsidRPr="00E22270">
        <w:rPr>
          <w:highlight w:val="yellow"/>
          <w:u w:color="0000E9"/>
          <w:lang w:eastAsia="ja-JP"/>
        </w:rPr>
        <w:t>an Georg Wetzel, Obrist der schwedischen Krone und Kommandant der Festung Mansfeld, und seine Söhne Hans-Ernst und Julius Wetzel. Stell</w:t>
      </w:r>
      <w:r>
        <w:rPr>
          <w:highlight w:val="yellow"/>
          <w:u w:color="0000E9"/>
          <w:lang w:eastAsia="ja-JP"/>
        </w:rPr>
        <w:t>enweise Texterweiterungen und -e</w:t>
      </w:r>
      <w:r w:rsidRPr="00E22270">
        <w:rPr>
          <w:highlight w:val="yellow"/>
          <w:u w:color="0000E9"/>
          <w:lang w:eastAsia="ja-JP"/>
        </w:rPr>
        <w:t>rsetzungen gegenüber der 'Kern-Ethica'.</w:t>
      </w:r>
    </w:p>
    <w:p w14:paraId="633D6937" w14:textId="77777777" w:rsidR="008F2044" w:rsidRPr="000B11DB" w:rsidRDefault="008F2044" w:rsidP="008F2044">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von Paul Fürst in Nürnberg herausgegebene Ausgabe von 1642 zurück.</w:t>
      </w:r>
      <w:r w:rsidRPr="00E22270">
        <w:rPr>
          <w:rStyle w:val="FootnoteReference"/>
          <w:highlight w:val="yellow"/>
          <w:u w:color="0000E9"/>
          <w:lang w:eastAsia="ja-JP"/>
        </w:rPr>
        <w:footnoteReference w:id="29"/>
      </w:r>
    </w:p>
    <w:p w14:paraId="7E22D76E" w14:textId="19AF8FF9" w:rsidR="008F2044" w:rsidRDefault="008F2044" w:rsidP="008F2044">
      <w:pPr>
        <w:spacing w:line="240" w:lineRule="auto"/>
      </w:pPr>
    </w:p>
    <w:p w14:paraId="007DD678" w14:textId="77777777" w:rsidR="008F2044" w:rsidRPr="000B11DB" w:rsidRDefault="008F2044" w:rsidP="008F2044">
      <w:pPr>
        <w:spacing w:line="240" w:lineRule="auto"/>
      </w:pPr>
      <w:r>
        <w:t xml:space="preserve">[D2] </w:t>
      </w:r>
      <w:r w:rsidRPr="0013511F">
        <w:rPr>
          <w:highlight w:val="yellow"/>
        </w:rPr>
        <w:t>Frenzel gibt an, dass der Trincier-Teil die Ausgabe des Trincir-Büchleins von Paul Fürst, Nürnberg, 1649</w:t>
      </w:r>
      <w:r w:rsidRPr="0013511F">
        <w:rPr>
          <w:rStyle w:val="FootnoteReference"/>
          <w:highlight w:val="yellow"/>
        </w:rPr>
        <w:footnoteReference w:id="30"/>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75E82830" w14:textId="06658A78" w:rsidR="008F2044" w:rsidRDefault="008F2044" w:rsidP="008F2044"/>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0AD9D362" w14:textId="77777777" w:rsidR="00923001" w:rsidRDefault="002F00BA" w:rsidP="007955EA">
      <w:pPr>
        <w:spacing w:line="240" w:lineRule="auto"/>
      </w:pPr>
      <w:r>
        <w:t>Gruppe [E] konstituiere ich (i) aufgrund ihres Publikationsorts Kopenhagen: [E1] und [E2] erscheinen beide im Verlag Wolfgang</w:t>
      </w:r>
      <w:r w:rsidRPr="00484435">
        <w:t xml:space="preserve"> Lamprecht</w:t>
      </w:r>
      <w:r>
        <w:t>s.</w:t>
      </w:r>
      <w:r w:rsidRPr="00484435">
        <w:rPr>
          <w:rStyle w:val="FootnoteReference"/>
        </w:rPr>
        <w:footnoteReference w:id="31"/>
      </w:r>
      <w:r>
        <w:t xml:space="preserve">, [E1] zunächst in der </w:t>
      </w:r>
      <w:r w:rsidR="00D16825">
        <w:t xml:space="preserve">Offizin </w:t>
      </w:r>
      <w:r w:rsidR="00D16825" w:rsidRPr="00484435">
        <w:t>Christian Jensen Wering</w:t>
      </w:r>
      <w:r w:rsidR="00D16825">
        <w:t>s,</w:t>
      </w:r>
      <w:r w:rsidR="00D16825" w:rsidRPr="00484435">
        <w:rPr>
          <w:rStyle w:val="FootnoteReference"/>
        </w:rPr>
        <w:footnoteReference w:id="32"/>
      </w:r>
      <w:r w:rsidR="00D16825">
        <w:t xml:space="preserve"> [E2] mit Druckprivileg in der Offizin Johann Adolph Baxmann. Die späte Ausgabe [E3] (1708) ist ohne Privileg bei Johann Jacob Bornheinrich gedruckt und verlegt.</w:t>
      </w:r>
    </w:p>
    <w:p w14:paraId="2AB91C8E" w14:textId="1205F44B" w:rsidR="007955EA" w:rsidRPr="00484435" w:rsidRDefault="00923001" w:rsidP="007955EA">
      <w:pPr>
        <w:spacing w:line="240" w:lineRule="auto"/>
      </w:pPr>
      <w:r>
        <w:t xml:space="preserve">(ii) Sprache: </w:t>
      </w:r>
      <w:r w:rsidR="002B689E">
        <w:t xml:space="preserve">[E2] und der Nachdruck [E3] sind eine Übersetzung ins Dänische, wobei der Übersetzer unbekannt ist. </w:t>
      </w:r>
    </w:p>
    <w:p w14:paraId="50F4BE9B" w14:textId="097999F8" w:rsidR="007955EA" w:rsidRPr="00484435" w:rsidRDefault="007955EA" w:rsidP="007955EA">
      <w:pPr>
        <w:spacing w:line="240" w:lineRule="auto"/>
        <w:rPr>
          <w:rFonts w:eastAsia="Times New Roman" w:cs="Times New Roman"/>
        </w:rPr>
      </w:pPr>
    </w:p>
    <w:p w14:paraId="728E7632" w14:textId="435EDB79" w:rsidR="00336465" w:rsidRPr="00484435" w:rsidRDefault="00336465" w:rsidP="00336465">
      <w:pPr>
        <w:pStyle w:val="NormalWeb"/>
        <w:spacing w:before="0" w:beforeAutospacing="0" w:after="0" w:afterAutospacing="0"/>
        <w:rPr>
          <w:rFonts w:ascii="Times New Roman" w:eastAsia="Times New Roman" w:hAnsi="Times New Roman"/>
          <w:sz w:val="24"/>
          <w:szCs w:val="24"/>
        </w:rPr>
      </w:pPr>
      <w:bookmarkStart w:id="1" w:name="_GoBack"/>
      <w:bookmarkEnd w:id="1"/>
      <w:r w:rsidRPr="00484435">
        <w:rPr>
          <w:rFonts w:ascii="Helvetica Light" w:hAnsi="Helvetica Light"/>
        </w:rPr>
        <w:t xml:space="preserve">[E3] </w:t>
      </w:r>
      <w:r w:rsidRPr="00484435">
        <w:rPr>
          <w:rFonts w:ascii="Times New Roman" w:eastAsia="Times New Roman" w:hAnsi="Times New Roman"/>
          <w:sz w:val="24"/>
          <w:szCs w:val="24"/>
        </w:rPr>
        <w:t>Beide Werkteile haben neue Zwischentitel.</w:t>
      </w:r>
      <w:r w:rsidRPr="00484435">
        <w:rPr>
          <w:rStyle w:val="FootnoteReference"/>
          <w:rFonts w:ascii="Times New Roman" w:eastAsia="Times New Roman" w:hAnsi="Times New Roman"/>
          <w:sz w:val="24"/>
          <w:szCs w:val="24"/>
        </w:rPr>
        <w:footnoteReference w:id="33"/>
      </w:r>
    </w:p>
    <w:p w14:paraId="526ACBA7" w14:textId="77777777" w:rsidR="00336465" w:rsidRPr="0026194C" w:rsidRDefault="00336465" w:rsidP="00336465">
      <w:pPr>
        <w:pStyle w:val="NormalWeb"/>
        <w:spacing w:before="0" w:beforeAutospacing="0" w:after="0" w:afterAutospacing="0"/>
        <w:rPr>
          <w:rFonts w:ascii="Times New Roman" w:hAnsi="Times New Roman"/>
          <w:sz w:val="24"/>
          <w:szCs w:val="24"/>
        </w:rPr>
      </w:pPr>
      <w:r w:rsidRPr="00484435">
        <w:rPr>
          <w:rFonts w:ascii="Times New Roman" w:eastAsia="Times New Roman" w:hAnsi="Times New Roman"/>
          <w:sz w:val="24"/>
          <w:szCs w:val="24"/>
        </w:rPr>
        <w:t xml:space="preserve">Diese Ausgabe hat weder das Motto, noch die 24 </w:t>
      </w:r>
      <w:r w:rsidRPr="00484435">
        <w:rPr>
          <w:rFonts w:ascii="Times New Roman" w:eastAsia="Times New Roman" w:hAnsi="Times New Roman"/>
          <w:i/>
          <w:sz w:val="24"/>
          <w:szCs w:val="24"/>
        </w:rPr>
        <w:t>Reime auf Konfektscheiben</w:t>
      </w:r>
      <w:r w:rsidRPr="00484435">
        <w:rPr>
          <w:rFonts w:ascii="Times New Roman" w:eastAsia="Times New Roman" w:hAnsi="Times New Roman"/>
          <w:sz w:val="24"/>
          <w:szCs w:val="24"/>
        </w:rPr>
        <w:t xml:space="preserve">. Dem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sind keine zusätzlichen Kupferstiche angehängt. Im Titel der Tisch- und Leberreime fehlen die Verfasser- und Druckerfiktion "Euphrosine von Sittenbach" und "Georg Gözke". Aus den "züchtigen Tisch- und Leberreimen" werden im Dänischen "geistlige Læverrim". In diesem Exemplar (möglicherweise in dieser Ausgabe) sind anders als in der dänischen Übersetzung von 1678 keine "weltlichen Leberreime" enthalten. ––– Das eingesehene Exemplar ist beschädigt: Nach dem typographischen Titel fehlen ein oder zwei Blätter, die Vorrede "</w:t>
      </w:r>
      <w:r w:rsidRPr="00484435">
        <w:rPr>
          <w:rFonts w:ascii="Junicode" w:eastAsia="Times New Roman" w:hAnsi="Junicode"/>
          <w:sz w:val="24"/>
          <w:szCs w:val="24"/>
        </w:rPr>
        <w:t>Til den gun§tige Læ</w:t>
      </w:r>
      <w:r w:rsidRPr="00484435">
        <w:rPr>
          <w:rFonts w:ascii="Junicode" w:hAnsi="Junicode" w:cs="Verdana"/>
          <w:u w:color="0000E9"/>
          <w:lang w:eastAsia="ja-JP"/>
        </w:rPr>
        <w:t>ſ</w:t>
      </w:r>
      <w:r w:rsidRPr="00484435">
        <w:rPr>
          <w:rFonts w:ascii="Junicode" w:eastAsia="Times New Roman" w:hAnsi="Junicode"/>
          <w:sz w:val="24"/>
          <w:szCs w:val="24"/>
        </w:rPr>
        <w:t>er</w:t>
      </w:r>
      <w:r w:rsidRPr="00484435">
        <w:rPr>
          <w:rFonts w:ascii="Times New Roman" w:eastAsia="Times New Roman" w:hAnsi="Times New Roman"/>
          <w:sz w:val="24"/>
          <w:szCs w:val="24"/>
        </w:rPr>
        <w:t xml:space="preserve">" beginnt auf pag. 5, pag. 7 und 8 fehlen. Auf pag. 9 beginnt das erste Kapitel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Auf den Text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folgen das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und die </w:t>
      </w:r>
      <w:r w:rsidRPr="00484435">
        <w:rPr>
          <w:rFonts w:ascii="Times New Roman" w:eastAsia="Times New Roman" w:hAnsi="Times New Roman"/>
          <w:i/>
          <w:sz w:val="24"/>
          <w:szCs w:val="24"/>
        </w:rPr>
        <w:t>Tisch- und Leberreime</w:t>
      </w:r>
      <w:r w:rsidRPr="00484435">
        <w:rPr>
          <w:rFonts w:ascii="Times New Roman" w:eastAsia="Times New Roman" w:hAnsi="Times New Roman"/>
          <w:sz w:val="24"/>
          <w:szCs w:val="24"/>
        </w:rPr>
        <w:t>.</w:t>
      </w:r>
      <w:r>
        <w:rPr>
          <w:rFonts w:ascii="Times New Roman" w:eastAsia="Times New Roman" w:hAnsi="Times New Roman"/>
          <w:sz w:val="24"/>
          <w:szCs w:val="24"/>
        </w:rPr>
        <w:t xml:space="preserve"> </w:t>
      </w:r>
    </w:p>
    <w:p w14:paraId="5F8CB170" w14:textId="338002B6" w:rsidR="007955EA" w:rsidRPr="000B11DB" w:rsidRDefault="007955EA" w:rsidP="007955EA">
      <w:pPr>
        <w:spacing w:line="240" w:lineRule="auto"/>
      </w:pPr>
    </w:p>
    <w:p w14:paraId="32D7CA8E" w14:textId="77777777" w:rsidR="007955EA" w:rsidRDefault="007955EA" w:rsidP="00292F5D">
      <w:pPr>
        <w:rPr>
          <w:rFonts w:asciiTheme="majorHAnsi" w:eastAsiaTheme="majorEastAsia" w:hAnsiTheme="majorHAnsi" w:cstheme="majorBidi"/>
          <w:b/>
          <w:bCs/>
          <w:color w:val="4F81BD" w:themeColor="accent1"/>
        </w:rPr>
      </w:pP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Ausgaben der Ethica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34"/>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35"/>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36"/>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10T14:54:00Z" w:initials="AR">
    <w:p w14:paraId="33D4661B" w14:textId="765DFB96" w:rsidR="002B689E" w:rsidRDefault="002B689E">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2B689E" w:rsidRDefault="002B689E" w:rsidP="00562E77">
      <w:pPr>
        <w:spacing w:line="240" w:lineRule="auto"/>
      </w:pPr>
      <w:r>
        <w:separator/>
      </w:r>
    </w:p>
  </w:endnote>
  <w:endnote w:type="continuationSeparator" w:id="0">
    <w:p w14:paraId="1B6CF269" w14:textId="77777777" w:rsidR="002B689E" w:rsidRDefault="002B689E"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2B689E" w:rsidRDefault="002B689E"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2B689E" w:rsidRDefault="002B689E"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2B689E" w:rsidRDefault="002B689E"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6307">
      <w:rPr>
        <w:rStyle w:val="PageNumber"/>
        <w:noProof/>
      </w:rPr>
      <w:t>1</w:t>
    </w:r>
    <w:r>
      <w:rPr>
        <w:rStyle w:val="PageNumber"/>
      </w:rPr>
      <w:fldChar w:fldCharType="end"/>
    </w:r>
  </w:p>
  <w:p w14:paraId="1C64FE3E" w14:textId="77777777" w:rsidR="002B689E" w:rsidRDefault="002B689E"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2B689E" w:rsidRDefault="002B689E" w:rsidP="00562E77">
      <w:pPr>
        <w:spacing w:line="240" w:lineRule="auto"/>
      </w:pPr>
      <w:r>
        <w:separator/>
      </w:r>
    </w:p>
  </w:footnote>
  <w:footnote w:type="continuationSeparator" w:id="0">
    <w:p w14:paraId="6BA6803E" w14:textId="77777777" w:rsidR="002B689E" w:rsidRDefault="002B689E" w:rsidP="00562E77">
      <w:pPr>
        <w:spacing w:line="240" w:lineRule="auto"/>
      </w:pPr>
      <w:r>
        <w:continuationSeparator/>
      </w:r>
    </w:p>
  </w:footnote>
  <w:footnote w:id="1">
    <w:p w14:paraId="07AA3B3C" w14:textId="77777777" w:rsidR="002B689E" w:rsidRPr="00AF3174" w:rsidRDefault="002B689E" w:rsidP="001B6673">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Eine Suche nach der Phrase im VD17online ergibt 1086 Treffer bei </w:t>
      </w:r>
      <w:r w:rsidRPr="00AF3174">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2B689E" w:rsidRPr="00AF3174" w:rsidRDefault="002B689E" w:rsidP="001A3464">
      <w:pPr>
        <w:widowControl w:val="0"/>
        <w:autoSpaceDE w:val="0"/>
        <w:autoSpaceDN w:val="0"/>
        <w:adjustRightInd w:val="0"/>
        <w:spacing w:line="240" w:lineRule="auto"/>
        <w:rPr>
          <w:sz w:val="20"/>
          <w:szCs w:val="20"/>
        </w:rPr>
      </w:pPr>
      <w:r w:rsidRPr="00AF3174">
        <w:rPr>
          <w:rStyle w:val="FootnoteReference"/>
          <w:sz w:val="20"/>
          <w:szCs w:val="20"/>
        </w:rPr>
        <w:footnoteRef/>
      </w:r>
      <w:r w:rsidRPr="00AF3174">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Eine vollständige Dokumentation, Systematisierung und Erklärung der Varianz ist für die digitale Edition der </w:t>
      </w:r>
      <w:r w:rsidRPr="00AF3174">
        <w:rPr>
          <w:i/>
          <w:sz w:val="20"/>
          <w:szCs w:val="20"/>
        </w:rPr>
        <w:t>Ethica Complementoria</w:t>
      </w:r>
      <w:r w:rsidRPr="00AF3174">
        <w:rPr>
          <w:sz w:val="20"/>
          <w:szCs w:val="20"/>
        </w:rPr>
        <w:t xml:space="preserve"> vorgesehen. Zur Unterstützung der genealogisch-stemmatologischen Argumentation hier eine Auswahl: [A1] Die Verse auf C2b "Kurtzweil ohn Schaden / Frühstück im Magen / </w:t>
      </w:r>
      <w:r w:rsidRPr="00AF3174">
        <w:rPr>
          <w:b/>
          <w:sz w:val="20"/>
          <w:szCs w:val="20"/>
        </w:rPr>
        <w:t>Peltze in Wintertagen /</w:t>
      </w:r>
      <w:r w:rsidRPr="00AF3174">
        <w:rPr>
          <w:sz w:val="20"/>
          <w:szCs w:val="20"/>
        </w:rPr>
        <w:t xml:space="preserve"> Jst alles wol zu tragen. [A2] Kurtzweil ohn Schaden / Früstück im Magen / </w:t>
      </w:r>
      <w:r w:rsidRPr="00AF3174">
        <w:rPr>
          <w:b/>
          <w:sz w:val="20"/>
          <w:szCs w:val="20"/>
        </w:rPr>
        <w:t>Peltz jm Winter tragen /</w:t>
      </w:r>
      <w:r w:rsidRPr="00AF3174">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AF3174">
        <w:rPr>
          <w:sz w:val="20"/>
          <w:szCs w:val="20"/>
          <w:highlight w:val="green"/>
        </w:rPr>
        <w:t>[Mehr? Weniger? sind die irgendwie signifikant?]</w:t>
      </w:r>
    </w:p>
  </w:footnote>
  <w:footnote w:id="4">
    <w:p w14:paraId="6C141662" w14:textId="6F830720"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w:t>
      </w:r>
      <w:r w:rsidRPr="00AF3174">
        <w:rPr>
          <w:i/>
          <w:sz w:val="20"/>
          <w:szCs w:val="20"/>
        </w:rPr>
        <w:t>Fingerprints</w:t>
      </w:r>
      <w:r w:rsidRPr="00AF3174">
        <w:rPr>
          <w:sz w:val="20"/>
          <w:szCs w:val="20"/>
        </w:rPr>
        <w:t xml:space="preserve"> werden zur Identifikation von Alten Drucken eingesetzt. Das VD17 führt die fingerprints der Ausgaben [A2] </w:t>
      </w:r>
      <w:r w:rsidRPr="00AF3174">
        <w:rPr>
          <w:rFonts w:eastAsia="Times New Roman" w:cs="Times New Roman"/>
          <w:sz w:val="20"/>
          <w:szCs w:val="20"/>
        </w:rPr>
        <w:t>e-e, n-n, mtt, SiEr C</w:t>
      </w:r>
      <w:r w:rsidRPr="00AF3174">
        <w:rPr>
          <w:sz w:val="20"/>
          <w:szCs w:val="20"/>
        </w:rPr>
        <w:t xml:space="preserve">, [A3] </w:t>
      </w:r>
      <w:r w:rsidRPr="00AF3174">
        <w:rPr>
          <w:rFonts w:eastAsia="Times New Roman" w:cs="Times New Roman"/>
          <w:sz w:val="20"/>
          <w:szCs w:val="20"/>
        </w:rPr>
        <w:t>e-i- r-4. i-ss labe C 1645A</w:t>
      </w:r>
      <w:r w:rsidRPr="00AF3174">
        <w:rPr>
          <w:sz w:val="20"/>
          <w:szCs w:val="20"/>
        </w:rPr>
        <w:t xml:space="preserve"> und [A4] </w:t>
      </w:r>
      <w:r w:rsidRPr="00AF3174">
        <w:rPr>
          <w:rFonts w:eastAsia="Times New Roman" w:cs="Times New Roman"/>
          <w:sz w:val="20"/>
          <w:szCs w:val="20"/>
        </w:rPr>
        <w:t>e.o- s:ur t.t, SiEr C</w:t>
      </w:r>
      <w:r w:rsidRPr="00AF3174">
        <w:rPr>
          <w:sz w:val="20"/>
          <w:szCs w:val="20"/>
        </w:rPr>
        <w:t xml:space="preserve">. Den </w:t>
      </w:r>
      <w:r w:rsidRPr="00AF3174">
        <w:rPr>
          <w:i/>
          <w:sz w:val="20"/>
          <w:szCs w:val="20"/>
        </w:rPr>
        <w:t>fingerprint</w:t>
      </w:r>
      <w:r w:rsidRPr="00AF3174">
        <w:rPr>
          <w:sz w:val="20"/>
          <w:szCs w:val="20"/>
        </w:rPr>
        <w:t xml:space="preserve"> von [A1] habe ich selbst ermittelt.</w:t>
      </w:r>
    </w:p>
  </w:footnote>
  <w:footnote w:id="5">
    <w:p w14:paraId="76278902" w14:textId="1D0E52F1"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GND-Datensatz http://d-nb.info/gnd/128772115 [gesehen am 05.05.2016], Lebensdat</w:t>
      </w:r>
      <w:r w:rsidRPr="00AF3174">
        <w:rPr>
          <w:rFonts w:cs="Times New Roman"/>
          <w:sz w:val="20"/>
          <w:szCs w:val="20"/>
        </w:rPr>
        <w:t xml:space="preserve">en </w:t>
      </w:r>
      <w:r w:rsidRPr="00AF3174">
        <w:rPr>
          <w:rFonts w:cs="Times New Roman"/>
          <w:sz w:val="20"/>
          <w:szCs w:val="20"/>
          <w:lang w:val="en-US"/>
        </w:rPr>
        <w:t>1627–1668. Buchhändler in Hamburg.</w:t>
      </w:r>
    </w:p>
  </w:footnote>
  <w:footnote w:id="6">
    <w:p w14:paraId="5896C9DE" w14:textId="7B8D6473"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w:t>
      </w:r>
      <w:r w:rsidRPr="00AF3174">
        <w:rPr>
          <w:sz w:val="20"/>
          <w:szCs w:val="20"/>
          <w:highlight w:val="green"/>
        </w:rPr>
        <w:t>Hier Beispiele angeben?</w:t>
      </w:r>
    </w:p>
  </w:footnote>
  <w:footnote w:id="7">
    <w:p w14:paraId="597E91EA" w14:textId="14161910"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In [B1] ist der Umfang lediglich um anderthalb Bogen (E12, F6) erweitert. Ab [B3] sind es dann zwei vollständige Bogen.</w:t>
      </w:r>
    </w:p>
  </w:footnote>
  <w:footnote w:id="8">
    <w:p w14:paraId="2E6451FA" w14:textId="62E7760C"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Ab [B3] hat das Titelblatt verschiedene Druckersignets von Johann Naumann.</w:t>
      </w:r>
    </w:p>
  </w:footnote>
  <w:footnote w:id="9">
    <w:p w14:paraId="6E99D619" w14:textId="6E51DE47"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Ausschließlich [B3] hat 220 Sprichwörter.</w:t>
      </w:r>
    </w:p>
  </w:footnote>
  <w:footnote w:id="10">
    <w:p w14:paraId="291EA006" w14:textId="2070D7D4" w:rsidR="002B689E" w:rsidRPr="00AF3174" w:rsidRDefault="002B689E" w:rsidP="00FF7216">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AF3174">
        <w:rPr>
          <w:rFonts w:cs="Times New Roman"/>
          <w:i/>
          <w:sz w:val="20"/>
          <w:szCs w:val="20"/>
        </w:rPr>
        <w:t>Damensprichwörter</w:t>
      </w:r>
      <w:r w:rsidRPr="00AF3174">
        <w:rPr>
          <w:rFonts w:cs="Times New Roman"/>
          <w:sz w:val="20"/>
          <w:szCs w:val="20"/>
        </w:rPr>
        <w:t xml:space="preserve"> (da sie der Forschungsliteratur folgend Greflinger für den Autor der </w:t>
      </w:r>
      <w:r w:rsidRPr="00AF3174">
        <w:rPr>
          <w:rFonts w:cs="Times New Roman"/>
          <w:i/>
          <w:sz w:val="20"/>
          <w:szCs w:val="20"/>
        </w:rPr>
        <w:t>Ethica</w:t>
      </w:r>
      <w:r w:rsidRPr="00AF3174">
        <w:rPr>
          <w:rFonts w:cs="Times New Roman"/>
          <w:sz w:val="20"/>
          <w:szCs w:val="20"/>
        </w:rPr>
        <w:t xml:space="preserve"> resp. des </w:t>
      </w:r>
      <w:r w:rsidRPr="00AF3174">
        <w:rPr>
          <w:rFonts w:cs="Times New Roman"/>
          <w:i/>
          <w:sz w:val="20"/>
          <w:szCs w:val="20"/>
        </w:rPr>
        <w:t>Complimentierbüchleins</w:t>
      </w:r>
      <w:r w:rsidRPr="00AF3174">
        <w:rPr>
          <w:rFonts w:cs="Times New Roman"/>
          <w:sz w:val="20"/>
          <w:szCs w:val="20"/>
        </w:rPr>
        <w:t xml:space="preserve"> hält). Sie kennt die Ausgabe</w:t>
      </w:r>
      <w:r w:rsidRPr="00AF3174">
        <w:rPr>
          <w:rFonts w:cs="Times New Roman"/>
          <w:sz w:val="20"/>
          <w:szCs w:val="20"/>
          <w:highlight w:val="green"/>
        </w:rPr>
        <w:t>n</w:t>
      </w:r>
      <w:r w:rsidRPr="00AF3174">
        <w:rPr>
          <w:rFonts w:cs="Times New Roman"/>
          <w:sz w:val="20"/>
          <w:szCs w:val="20"/>
        </w:rPr>
        <w:t xml:space="preserve"> der </w:t>
      </w:r>
      <w:r w:rsidRPr="00AF3174">
        <w:rPr>
          <w:rFonts w:cs="Times New Roman"/>
          <w:i/>
          <w:sz w:val="20"/>
          <w:szCs w:val="20"/>
        </w:rPr>
        <w:t>Löfflerey-Kunst</w:t>
      </w:r>
      <w:r w:rsidRPr="00AF3174">
        <w:rPr>
          <w:rFonts w:cs="Times New Roman"/>
          <w:sz w:val="20"/>
          <w:szCs w:val="20"/>
        </w:rPr>
        <w:t xml:space="preserve"> von 1648 und die darin enthaltenen, identischen 219 </w:t>
      </w:r>
      <w:r w:rsidRPr="00AF3174">
        <w:rPr>
          <w:rFonts w:cs="Times New Roman"/>
          <w:i/>
          <w:sz w:val="20"/>
          <w:szCs w:val="20"/>
        </w:rPr>
        <w:t>Damensprichwörter</w:t>
      </w:r>
      <w:r w:rsidRPr="00AF3174">
        <w:rPr>
          <w:rFonts w:cs="Times New Roman"/>
          <w:sz w:val="20"/>
          <w:szCs w:val="20"/>
        </w:rPr>
        <w:t xml:space="preserve"> nicht.</w:t>
      </w:r>
    </w:p>
  </w:footnote>
  <w:footnote w:id="11">
    <w:p w14:paraId="06F55AF4" w14:textId="4AA7EB3B"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eastAsia="Times New Roman" w:cs="Times New Roman"/>
          <w:sz w:val="20"/>
          <w:szCs w:val="20"/>
          <w:highlight w:val="yellow"/>
        </w:rPr>
        <w:t xml:space="preserve">Ein Gedicht aus der Sammlung </w:t>
      </w:r>
      <w:r w:rsidRPr="00AF3174">
        <w:rPr>
          <w:rFonts w:eastAsia="Times New Roman" w:cs="Times New Roman"/>
          <w:i/>
          <w:sz w:val="20"/>
          <w:szCs w:val="20"/>
          <w:highlight w:val="yellow"/>
        </w:rPr>
        <w:t>Seladons Beständige Liebe</w:t>
      </w:r>
      <w:r w:rsidRPr="00AF3174">
        <w:rPr>
          <w:rFonts w:eastAsia="Times New Roman" w:cs="Times New Roman"/>
          <w:sz w:val="20"/>
          <w:szCs w:val="20"/>
          <w:highlight w:val="yellow"/>
        </w:rPr>
        <w:t xml:space="preserve"> (1644)</w:t>
      </w:r>
      <w:r w:rsidRPr="00AF3174">
        <w:rPr>
          <w:rFonts w:eastAsia="Times New Roman" w:cs="Times New Roman"/>
          <w:sz w:val="20"/>
          <w:szCs w:val="20"/>
        </w:rPr>
        <w:t xml:space="preserve"> [angeben, wo]</w:t>
      </w:r>
    </w:p>
  </w:footnote>
  <w:footnote w:id="12">
    <w:p w14:paraId="06877287" w14:textId="7219CB71" w:rsidR="002B689E" w:rsidRPr="00AF3174" w:rsidRDefault="002B689E">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Hier einfügen kurz zur </w:t>
      </w:r>
      <w:r w:rsidRPr="00AF3174">
        <w:rPr>
          <w:i/>
          <w:sz w:val="20"/>
          <w:szCs w:val="20"/>
          <w:highlight w:val="green"/>
        </w:rPr>
        <w:t>Löfflerey</w:t>
      </w:r>
      <w:r w:rsidRPr="00AF3174">
        <w:rPr>
          <w:sz w:val="20"/>
          <w:szCs w:val="20"/>
          <w:highlight w:val="green"/>
        </w:rPr>
        <w:t xml:space="preserve">-Tradition. Zum Verhältnis der Ausgaben der </w:t>
      </w:r>
      <w:r w:rsidRPr="00AF3174">
        <w:rPr>
          <w:i/>
          <w:sz w:val="20"/>
          <w:szCs w:val="20"/>
          <w:highlight w:val="green"/>
        </w:rPr>
        <w:t>Löfflerey-Kunst</w:t>
      </w:r>
      <w:r w:rsidRPr="00AF3174">
        <w:rPr>
          <w:sz w:val="20"/>
          <w:szCs w:val="20"/>
          <w:highlight w:val="green"/>
        </w:rPr>
        <w:t xml:space="preserve"> von 1648 und 1656 zur </w:t>
      </w:r>
      <w:r w:rsidRPr="00AF3174">
        <w:rPr>
          <w:i/>
          <w:sz w:val="20"/>
          <w:szCs w:val="20"/>
          <w:highlight w:val="green"/>
        </w:rPr>
        <w:t>Ethica Complementoria</w:t>
      </w:r>
      <w:r w:rsidRPr="00AF3174">
        <w:rPr>
          <w:sz w:val="20"/>
          <w:szCs w:val="20"/>
          <w:highlight w:val="green"/>
        </w:rPr>
        <w:t xml:space="preserve"> sowie zur Diskussion der Verfasserfrage vgl. Abschnitt ## unten.</w:t>
      </w:r>
    </w:p>
  </w:footnote>
  <w:footnote w:id="13">
    <w:p w14:paraId="1682E4AF" w14:textId="6F778CAC" w:rsidR="002B689E" w:rsidRPr="00AF3174" w:rsidRDefault="002B689E">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2B689E" w:rsidRPr="00AF3174" w:rsidRDefault="002B689E" w:rsidP="00A916B5">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Achtung: ich habe das nur oberflächlich geprüft; vermute jedoch einen seitengetreuen Nachdruck von [B1]. Das kann anhand der Digitalisate von [B1] und [B2] überprüft werden.</w:t>
      </w:r>
    </w:p>
  </w:footnote>
  <w:footnote w:id="15">
    <w:p w14:paraId="1561A9FE" w14:textId="6FA49D17"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Abmessungen von [C1] ermitteln / eintragen.</w:t>
      </w:r>
    </w:p>
  </w:footnote>
  <w:footnote w:id="16">
    <w:p w14:paraId="57A21B95" w14:textId="1390ABA9" w:rsidR="002B689E" w:rsidRPr="00AF3174" w:rsidRDefault="002B689E" w:rsidP="00A916B5">
      <w:pPr>
        <w:spacing w:line="240" w:lineRule="auto"/>
        <w:rPr>
          <w:sz w:val="20"/>
          <w:szCs w:val="20"/>
        </w:rPr>
      </w:pPr>
      <w:r w:rsidRPr="00AF3174">
        <w:rPr>
          <w:rStyle w:val="FootnoteReference"/>
          <w:sz w:val="20"/>
          <w:szCs w:val="20"/>
        </w:rPr>
        <w:footnoteRef/>
      </w:r>
      <w:r w:rsidRPr="00AF3174">
        <w:rPr>
          <w:sz w:val="20"/>
          <w:szCs w:val="20"/>
        </w:rPr>
        <w:t xml:space="preserve"> Es konnten nicht von allen Exemplaren Abmessungen genommen werden: [C2] 10,5 cm × 4,7 cm, [C3] 9,9 cm × 5,6 cm, [C4] 11,1 cm × 5,3 cm. </w:t>
      </w:r>
    </w:p>
  </w:footnote>
  <w:footnote w:id="17">
    <w:p w14:paraId="48A9CB00" w14:textId="48FDE61A"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Die überlieferten Exemplare von [C2], [C5], </w:t>
      </w:r>
      <w:r w:rsidRPr="00AF3174">
        <w:rPr>
          <w:sz w:val="20"/>
          <w:szCs w:val="20"/>
          <w:highlight w:val="green"/>
        </w:rPr>
        <w:t>[C6]?</w:t>
      </w:r>
      <w:r w:rsidRPr="00AF3174">
        <w:rPr>
          <w:sz w:val="20"/>
          <w:szCs w:val="20"/>
        </w:rPr>
        <w:t xml:space="preserve">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18">
    <w:p w14:paraId="2F284AF6" w14:textId="4CD6F2CD"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Die [C1] enthaltende </w:t>
      </w:r>
      <w:r w:rsidRPr="00AF3174">
        <w:rPr>
          <w:i/>
          <w:sz w:val="20"/>
          <w:szCs w:val="20"/>
        </w:rPr>
        <w:t>Löfflerey-Kunst</w:t>
      </w:r>
      <w:r w:rsidRPr="00AF3174">
        <w:rPr>
          <w:sz w:val="20"/>
          <w:szCs w:val="20"/>
        </w:rPr>
        <w:t xml:space="preserve">-Druckersynthese ist gegenüber der [B2] enthaltenden </w:t>
      </w:r>
      <w:r w:rsidRPr="00AF3174">
        <w:rPr>
          <w:i/>
          <w:sz w:val="20"/>
          <w:szCs w:val="20"/>
        </w:rPr>
        <w:t>Löfflerey-Kunst</w:t>
      </w:r>
      <w:r w:rsidRPr="00AF3174">
        <w:rPr>
          <w:sz w:val="20"/>
          <w:szCs w:val="20"/>
        </w:rPr>
        <w:t xml:space="preserve"> im Ganzen stark bearbeitet und erweitert, die Abfolge der Einzelteile und Anhänge ist ebenfalls verändert. Wir wissen über die </w:t>
      </w:r>
      <w:r w:rsidRPr="00AF3174">
        <w:rPr>
          <w:i/>
          <w:sz w:val="20"/>
          <w:szCs w:val="20"/>
        </w:rPr>
        <w:t>Löfflerey-Kunst</w:t>
      </w:r>
      <w:r w:rsidRPr="00AF3174">
        <w:rPr>
          <w:sz w:val="20"/>
          <w:szCs w:val="20"/>
        </w:rPr>
        <w:t xml:space="preserve">, von der insgesamt nicht mehr als sechs Exemplare in drei Ausgaben erhalten sind, sehr wenig. Eine Edition des Traktats zur </w:t>
      </w:r>
      <w:r w:rsidRPr="00AF3174">
        <w:rPr>
          <w:i/>
          <w:sz w:val="20"/>
          <w:szCs w:val="20"/>
        </w:rPr>
        <w:t>Löfflerey-Kunst</w:t>
      </w:r>
      <w:r w:rsidRPr="00AF3174">
        <w:rPr>
          <w:sz w:val="20"/>
          <w:szCs w:val="20"/>
        </w:rPr>
        <w:t xml:space="preserve"> sowie eine Studie zur Textgeschichte sind in Planung.</w:t>
      </w:r>
    </w:p>
  </w:footnote>
  <w:footnote w:id="19">
    <w:p w14:paraId="4D5C5920" w14:textId="676D362F"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Laut Frenzel 2012, S. 98–99, geht die Ausgabe des </w:t>
      </w:r>
      <w:r w:rsidRPr="00AF3174">
        <w:rPr>
          <w:rFonts w:cs="Times New Roman"/>
          <w:i/>
          <w:sz w:val="20"/>
          <w:szCs w:val="20"/>
        </w:rPr>
        <w:t>Tranchier-Buchs</w:t>
      </w:r>
      <w:r w:rsidRPr="00AF3174">
        <w:rPr>
          <w:rFonts w:cs="Times New Roman"/>
          <w:sz w:val="20"/>
          <w:szCs w:val="20"/>
        </w:rPr>
        <w:t xml:space="preserve">, die in der Druckersynthese mit der Ethica ab [C2] enthalten ist, </w:t>
      </w:r>
      <w:r w:rsidRPr="00AF3174">
        <w:rPr>
          <w:rFonts w:cs="Times New Roman"/>
          <w:sz w:val="20"/>
          <w:szCs w:val="20"/>
          <w:u w:color="0000E9"/>
          <w:lang w:eastAsia="ja-JP"/>
        </w:rPr>
        <w:t>auf die von Andreas Klett stark bearbeiteten Ausgaben Jena 1657 sowie Jena und Weimar 1659 (beide bei Kaspar Freyschmidt) zurück. [</w:t>
      </w:r>
      <w:r w:rsidRPr="00AF3174">
        <w:rPr>
          <w:rFonts w:cs="Times New Roman"/>
          <w:sz w:val="20"/>
          <w:szCs w:val="20"/>
        </w:rPr>
        <w:t xml:space="preserve">Titelkupfer] Neū-vermehrtes | </w:t>
      </w:r>
      <w:r w:rsidRPr="00AF3174">
        <w:rPr>
          <w:rFonts w:cs="Times New Roman"/>
          <w:sz w:val="20"/>
          <w:szCs w:val="20"/>
          <w:u w:val="single"/>
        </w:rPr>
        <w:t>Trenchir</w:t>
      </w:r>
      <w:r w:rsidRPr="00AF3174">
        <w:rPr>
          <w:rFonts w:cs="Times New Roman"/>
          <w:sz w:val="20"/>
          <w:szCs w:val="20"/>
        </w:rPr>
        <w:t>-Büchlein. | Das woran die Natūr hat allen fleiß gewandt, | zergliedert, Schöne, dir! deß Kün</w:t>
      </w:r>
      <w:r w:rsidRPr="00AF3174">
        <w:rPr>
          <w:rFonts w:cs="Times New Roman"/>
          <w:sz w:val="20"/>
          <w:szCs w:val="20"/>
          <w:u w:val="single"/>
        </w:rPr>
        <w:t>ſ</w:t>
      </w:r>
      <w:r w:rsidRPr="00AF3174">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AF3174">
        <w:rPr>
          <w:rFonts w:cs="Times New Roman"/>
          <w:i/>
          <w:sz w:val="20"/>
          <w:szCs w:val="20"/>
        </w:rPr>
        <w:t>Andræas</w:t>
      </w:r>
      <w:r w:rsidRPr="00AF3174">
        <w:rPr>
          <w:rFonts w:cs="Times New Roman"/>
          <w:sz w:val="20"/>
          <w:szCs w:val="20"/>
        </w:rPr>
        <w:t xml:space="preserve"> Kletten / </w:t>
      </w:r>
      <w:r w:rsidRPr="00AF3174">
        <w:rPr>
          <w:rFonts w:cs="Times New Roman"/>
          <w:i/>
          <w:sz w:val="20"/>
          <w:szCs w:val="20"/>
        </w:rPr>
        <w:t>Cyg: Miſn: &amp; Jur. Stud:</w:t>
      </w:r>
      <w:r w:rsidRPr="00AF3174">
        <w:rPr>
          <w:rFonts w:cs="Times New Roman"/>
          <w:sz w:val="20"/>
          <w:szCs w:val="20"/>
        </w:rPr>
        <w:t xml:space="preserve"> | [Linie] | JEHNA / | Druckts und verlegts </w:t>
      </w:r>
      <w:r w:rsidRPr="00AF3174">
        <w:rPr>
          <w:rFonts w:cs="Times New Roman"/>
          <w:sz w:val="20"/>
          <w:szCs w:val="20"/>
          <w:u w:val="single"/>
        </w:rPr>
        <w:t>Caſparus</w:t>
      </w:r>
      <w:r w:rsidRPr="00AF3174">
        <w:rPr>
          <w:rFonts w:cs="Times New Roman"/>
          <w:sz w:val="20"/>
          <w:szCs w:val="20"/>
        </w:rPr>
        <w:t xml:space="preserve"> Freyſchmied / | Jm Jahr </w:t>
      </w:r>
      <w:r w:rsidRPr="00AF3174">
        <w:rPr>
          <w:rFonts w:cs="Times New Roman"/>
          <w:i/>
          <w:sz w:val="20"/>
          <w:szCs w:val="20"/>
        </w:rPr>
        <w:t>M DC LVII.</w:t>
      </w:r>
      <w:r w:rsidRPr="00AF3174">
        <w:rPr>
          <w:rFonts w:cs="Times New Roman"/>
          <w:sz w:val="20"/>
          <w:szCs w:val="20"/>
        </w:rPr>
        <w:t xml:space="preserve"> – Transgraphiert nach dem Volldigitalisat des unikal überlieferten Exemplars in der Sächsischen Landesbibliothek, Staats- und Universitätsbibliothek Dresden, Signatur </w:t>
      </w:r>
      <w:r w:rsidRPr="00AF3174">
        <w:rPr>
          <w:rFonts w:eastAsia="Times New Roman" w:cs="Times New Roman"/>
          <w:sz w:val="20"/>
          <w:szCs w:val="20"/>
        </w:rPr>
        <w:t>2007 8 037840 (Sammlung Putz)</w:t>
      </w:r>
      <w:r w:rsidRPr="00AF3174">
        <w:rPr>
          <w:rFonts w:cs="Times New Roman"/>
          <w:sz w:val="20"/>
          <w:szCs w:val="20"/>
        </w:rPr>
        <w:t xml:space="preserve">; Permalink zum Digitalisat: http://digital.slub-dresden.de/id313666830. </w:t>
      </w:r>
      <w:r w:rsidRPr="00AF3174">
        <w:rPr>
          <w:sz w:val="20"/>
          <w:szCs w:val="20"/>
        </w:rPr>
        <w:t xml:space="preserve">Tranchierbücher sind eine weitere 'Mode' des 17. Jahrhunderts. Sie stammen – wie die Höflichkeitstraktate – aus dem italienischen Kulturraum und sind seit der ersten deutschen Übersetzung des </w:t>
      </w:r>
      <w:r w:rsidRPr="00AF3174">
        <w:rPr>
          <w:i/>
          <w:sz w:val="20"/>
          <w:szCs w:val="20"/>
        </w:rPr>
        <w:t>Tranchier-Buches</w:t>
      </w:r>
      <w:r w:rsidRPr="00AF3174">
        <w:rPr>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AF3174">
        <w:rPr>
          <w:i/>
          <w:sz w:val="20"/>
          <w:szCs w:val="20"/>
        </w:rPr>
        <w:t>Tranchier-Buch</w:t>
      </w:r>
      <w:r w:rsidRPr="00AF3174">
        <w:rPr>
          <w:sz w:val="20"/>
          <w:szCs w:val="20"/>
        </w:rPr>
        <w:t xml:space="preserve"> basieren sondern wesentliche konzeptionelle und inhaltliche Umarbeitungen anderer Autoren, unter anderem Andreas Kletts, sind. Eine kulturhistorische Aufarbeitung der </w:t>
      </w:r>
      <w:r w:rsidRPr="00AF3174">
        <w:rPr>
          <w:rFonts w:cs="Times New Roman"/>
          <w:i/>
          <w:sz w:val="20"/>
          <w:szCs w:val="20"/>
        </w:rPr>
        <w:t>Tranchier-Buch</w:t>
      </w:r>
      <w:r w:rsidRPr="00AF3174">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AF3174">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20">
    <w:p w14:paraId="19832A56" w14:textId="1292798C" w:rsidR="002B689E" w:rsidRPr="00AF3174" w:rsidRDefault="002B689E" w:rsidP="00CE4525">
      <w:pPr>
        <w:spacing w:line="240" w:lineRule="auto"/>
        <w:ind w:hanging="480"/>
        <w:rPr>
          <w:rFonts w:eastAsia="Times New Roman" w:cs="Times New Roman"/>
          <w:sz w:val="20"/>
          <w:szCs w:val="20"/>
        </w:rPr>
      </w:pPr>
      <w:r w:rsidRPr="00AF3174">
        <w:rPr>
          <w:sz w:val="20"/>
          <w:szCs w:val="20"/>
        </w:rPr>
        <w:tab/>
      </w:r>
      <w:r w:rsidRPr="00AF3174">
        <w:rPr>
          <w:rStyle w:val="FootnoteReference"/>
          <w:sz w:val="20"/>
          <w:szCs w:val="20"/>
        </w:rPr>
        <w:footnoteRef/>
      </w:r>
      <w:r w:rsidRPr="00AF3174">
        <w:rPr>
          <w:sz w:val="20"/>
          <w:szCs w:val="20"/>
        </w:rPr>
        <w:t xml:space="preserve"> </w:t>
      </w:r>
      <w:r w:rsidRPr="00AF3174">
        <w:rPr>
          <w:i/>
          <w:sz w:val="20"/>
          <w:szCs w:val="20"/>
        </w:rPr>
        <w:t>Tisch- und Leberreime</w:t>
      </w:r>
      <w:r w:rsidRPr="00AF3174">
        <w:rPr>
          <w:sz w:val="20"/>
          <w:szCs w:val="20"/>
        </w:rPr>
        <w:t xml:space="preserve"> haben eine lange Tradition vor allem im niederdeutschen Sprachraum. </w:t>
      </w:r>
      <w:r w:rsidRPr="00AF3174">
        <w:rPr>
          <w:rFonts w:cs="Times New Roman"/>
          <w:sz w:val="20"/>
          <w:szCs w:val="20"/>
        </w:rPr>
        <w:t xml:space="preserve">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w:t>
      </w:r>
      <w:r w:rsidRPr="00AF3174">
        <w:rPr>
          <w:sz w:val="20"/>
          <w:szCs w:val="20"/>
        </w:rPr>
        <w:t>Euphrosine von Sittenbach ist nach</w:t>
      </w:r>
      <w:r w:rsidRPr="00AF3174">
        <w:rPr>
          <w:rFonts w:cs="Times New Roman"/>
          <w:sz w:val="20"/>
          <w:szCs w:val="20"/>
          <w:u w:color="0000E9"/>
          <w:lang w:eastAsia="ja-JP"/>
        </w:rPr>
        <w:t xml:space="preserve"> Dünnhaupt (1993, S. ##) Pseudonym von Heinrich Schaevius.</w:t>
      </w:r>
      <w:r w:rsidRPr="00AF3174">
        <w:rPr>
          <w:rFonts w:cs="Times New Roman"/>
          <w:sz w:val="20"/>
          <w:szCs w:val="20"/>
        </w:rPr>
        <w:t xml:space="preserve"> Problematisch ist die Zuschreibung da Dünnhaupt keine Begründung angibt </w:t>
      </w:r>
      <w:r w:rsidRPr="00AF3174">
        <w:rPr>
          <w:rFonts w:cs="Times New Roman"/>
          <w:sz w:val="20"/>
          <w:szCs w:val="20"/>
          <w:highlight w:val="green"/>
        </w:rPr>
        <w:t>(angbl. nach Weller, Pseudonyme??)</w:t>
      </w:r>
      <w:r w:rsidRPr="00AF3174">
        <w:rPr>
          <w:rFonts w:cs="Times New Roman"/>
          <w:sz w:val="20"/>
          <w:szCs w:val="20"/>
        </w:rPr>
        <w:t xml:space="preserve">. </w:t>
      </w:r>
      <w:r w:rsidRPr="00AF3174">
        <w:rPr>
          <w:sz w:val="20"/>
          <w:szCs w:val="20"/>
        </w:rPr>
        <w:t xml:space="preserve">Vgl. allgemein zu den </w:t>
      </w:r>
      <w:r w:rsidRPr="00AF3174">
        <w:rPr>
          <w:i/>
          <w:sz w:val="20"/>
          <w:szCs w:val="20"/>
        </w:rPr>
        <w:t>Leberreimen</w:t>
      </w:r>
      <w:r w:rsidRPr="00AF3174">
        <w:rPr>
          <w:sz w:val="20"/>
          <w:szCs w:val="20"/>
        </w:rPr>
        <w:t xml:space="preserve"> </w:t>
      </w:r>
      <w:r w:rsidRPr="00AF3174">
        <w:rPr>
          <w:rFonts w:eastAsia="Times New Roman" w:cs="Times New Roman"/>
          <w:sz w:val="20"/>
          <w:szCs w:val="20"/>
        </w:rPr>
        <w:t xml:space="preserve">Herman Brandes: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92–95, L. H. Fischer: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95–99 sowie D.F. Gruppe: Die Leberreime. In: </w:t>
      </w:r>
      <w:r w:rsidRPr="00AF3174">
        <w:rPr>
          <w:rFonts w:eastAsia="Times New Roman" w:cs="Times New Roman"/>
          <w:i/>
          <w:iCs/>
          <w:sz w:val="20"/>
          <w:szCs w:val="20"/>
        </w:rPr>
        <w:t>Leben und Werke deutscher Dichter. Geschichte der deutschen Poesie in den drei letzten Jahrhunderten</w:t>
      </w:r>
      <w:r w:rsidRPr="00AF3174">
        <w:rPr>
          <w:rFonts w:eastAsia="Times New Roman" w:cs="Times New Roman"/>
          <w:sz w:val="20"/>
          <w:szCs w:val="20"/>
        </w:rPr>
        <w:t>, hrsg. v. dems. 2. Aufl., Leipzig 1872, S. 680–688.</w:t>
      </w:r>
    </w:p>
  </w:footnote>
  <w:footnote w:id="21">
    <w:p w14:paraId="60239B63" w14:textId="19852594"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22">
    <w:p w14:paraId="439F1511" w14:textId="363061DB" w:rsidR="002B689E" w:rsidRPr="00AF3174" w:rsidRDefault="002B689E" w:rsidP="008510EE">
      <w:pPr>
        <w:pStyle w:val="FootnoteText"/>
        <w:rPr>
          <w:sz w:val="20"/>
          <w:szCs w:val="20"/>
        </w:rPr>
      </w:pPr>
      <w:r w:rsidRPr="00AF3174">
        <w:rPr>
          <w:rStyle w:val="FootnoteReference"/>
          <w:sz w:val="20"/>
          <w:szCs w:val="20"/>
        </w:rPr>
        <w:footnoteRef/>
      </w:r>
      <w:r w:rsidRPr="00AF3174">
        <w:rPr>
          <w:sz w:val="20"/>
          <w:szCs w:val="20"/>
        </w:rPr>
        <w:t xml:space="preserve"> In der geplanten Edition der </w:t>
      </w:r>
      <w:r w:rsidRPr="00AF3174">
        <w:rPr>
          <w:i/>
          <w:sz w:val="20"/>
          <w:szCs w:val="20"/>
        </w:rPr>
        <w:t>Ethica Complementoria</w:t>
      </w:r>
      <w:r w:rsidRPr="00AF3174">
        <w:rPr>
          <w:sz w:val="20"/>
          <w:szCs w:val="20"/>
        </w:rPr>
        <w:t xml:space="preserve"> wird auf die Bearbeitungspraxis des Näheren eingegangen werden. </w:t>
      </w:r>
      <w:r w:rsidRPr="00AF3174">
        <w:rPr>
          <w:sz w:val="20"/>
          <w:szCs w:val="20"/>
          <w:highlight w:val="green"/>
        </w:rPr>
        <w:t>Siehe dazu Abschnitt ##.</w:t>
      </w:r>
    </w:p>
  </w:footnote>
  <w:footnote w:id="23">
    <w:p w14:paraId="1AFF87E3" w14:textId="2C39E2AF"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[C1] </w:t>
      </w:r>
      <w:r w:rsidRPr="00AF3174">
        <w:rPr>
          <w:rFonts w:eastAsia="Times New Roman"/>
          <w:sz w:val="20"/>
          <w:szCs w:val="20"/>
        </w:rPr>
        <w:t xml:space="preserve">enthält dagegen einen Anhang mit vier Liedern einschließlich musikalischer Notation: </w:t>
      </w:r>
      <w:r w:rsidRPr="00AF3174">
        <w:rPr>
          <w:rFonts w:eastAsia="Times New Roman" w:cs="Times New Roman"/>
          <w:i/>
          <w:sz w:val="20"/>
          <w:szCs w:val="20"/>
        </w:rPr>
        <w:t>Des Coridons Traum</w:t>
      </w:r>
      <w:r w:rsidRPr="00AF3174">
        <w:rPr>
          <w:rFonts w:eastAsia="Times New Roman" w:cs="Times New Roman"/>
          <w:sz w:val="20"/>
          <w:szCs w:val="20"/>
        </w:rPr>
        <w:t xml:space="preserve"> (pag. 348–350); </w:t>
      </w:r>
      <w:r w:rsidRPr="00AF3174">
        <w:rPr>
          <w:rFonts w:eastAsia="Times New Roman" w:cs="Times New Roman"/>
          <w:i/>
          <w:sz w:val="20"/>
          <w:szCs w:val="20"/>
        </w:rPr>
        <w:t>Hans ohn Sorge</w:t>
      </w:r>
      <w:r w:rsidRPr="00AF3174">
        <w:rPr>
          <w:rFonts w:eastAsia="Times New Roman" w:cs="Times New Roman"/>
          <w:sz w:val="20"/>
          <w:szCs w:val="20"/>
        </w:rPr>
        <w:t xml:space="preserve"> (pag. 351–353), </w:t>
      </w:r>
      <w:r w:rsidRPr="00AF3174">
        <w:rPr>
          <w:rFonts w:eastAsia="Times New Roman" w:cs="Times New Roman"/>
          <w:i/>
          <w:sz w:val="20"/>
          <w:szCs w:val="20"/>
        </w:rPr>
        <w:t>Der Ehelichen Liebe Nuzen</w:t>
      </w:r>
      <w:r w:rsidRPr="00AF3174">
        <w:rPr>
          <w:rFonts w:eastAsia="Times New Roman" w:cs="Times New Roman"/>
          <w:sz w:val="20"/>
          <w:szCs w:val="20"/>
        </w:rPr>
        <w:t xml:space="preserve"> (pag. 354–356) und </w:t>
      </w:r>
      <w:r w:rsidRPr="00AF3174">
        <w:rPr>
          <w:rFonts w:eastAsia="Times New Roman" w:cs="Times New Roman"/>
          <w:i/>
          <w:sz w:val="20"/>
          <w:szCs w:val="20"/>
        </w:rPr>
        <w:t>Der unbeständige Liebhaber</w:t>
      </w:r>
      <w:r w:rsidRPr="00AF3174">
        <w:rPr>
          <w:rFonts w:eastAsia="Times New Roman" w:cs="Times New Roman"/>
          <w:sz w:val="20"/>
          <w:szCs w:val="20"/>
        </w:rPr>
        <w:t xml:space="preserve"> (pag. 357–360)</w:t>
      </w:r>
      <w:r w:rsidRPr="00AF3174">
        <w:rPr>
          <w:rFonts w:eastAsia="Times New Roman"/>
          <w:sz w:val="20"/>
          <w:szCs w:val="20"/>
        </w:rPr>
        <w:t xml:space="preserve">. Sie stammen aus der von Georg Greflinger unter seinem Schäfernamen </w:t>
      </w:r>
      <w:r w:rsidRPr="00AF3174">
        <w:rPr>
          <w:rFonts w:eastAsia="Times New Roman"/>
          <w:i/>
          <w:sz w:val="20"/>
          <w:szCs w:val="20"/>
        </w:rPr>
        <w:t>Seladon</w:t>
      </w:r>
      <w:r w:rsidRPr="00AF3174">
        <w:rPr>
          <w:rFonts w:eastAsia="Times New Roman"/>
          <w:sz w:val="20"/>
          <w:szCs w:val="20"/>
        </w:rPr>
        <w:t xml:space="preserve"> herausgegebenen Sammlung </w:t>
      </w:r>
      <w:r w:rsidRPr="00AF3174">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4">
    <w:p w14:paraId="463E5C82" w14:textId="74E16058"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In [C9] (Amsterdam 1717) sind die </w:t>
      </w:r>
      <w:r w:rsidRPr="00AF3174">
        <w:rPr>
          <w:i/>
          <w:sz w:val="20"/>
          <w:szCs w:val="20"/>
        </w:rPr>
        <w:t>Reime auf Konfektscheiben</w:t>
      </w:r>
      <w:r w:rsidRPr="00AF3174">
        <w:rPr>
          <w:sz w:val="20"/>
          <w:szCs w:val="20"/>
        </w:rPr>
        <w:t xml:space="preserve"> nicht mehr enthalten</w:t>
      </w:r>
    </w:p>
  </w:footnote>
  <w:footnote w:id="25">
    <w:p w14:paraId="7F105018" w14:textId="4B513E4C" w:rsidR="002B689E" w:rsidRPr="00AF3174" w:rsidRDefault="002B689E"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In der Bibliographie steht hierzu lediglich „gleiche Kollation“ [12° A-F] in Bezug auf die datierte und firmierte Ausgabe von Naumann 1658 (Dünnhaupt 7.11). Eine Überprüfung anhand des </w:t>
      </w:r>
      <w:r w:rsidRPr="00AF3174">
        <w:rPr>
          <w:rFonts w:cs="Times New Roman"/>
          <w:i/>
          <w:sz w:val="20"/>
          <w:szCs w:val="20"/>
        </w:rPr>
        <w:t>Dresdner Exemplars</w:t>
      </w:r>
      <w:r w:rsidRPr="00AF3174">
        <w:rPr>
          <w:rFonts w:cs="Times New Roman"/>
          <w:sz w:val="20"/>
          <w:szCs w:val="20"/>
        </w:rPr>
        <w:t xml:space="preserve"> hat demgegenüber ergeben, dass der </w:t>
      </w:r>
      <w:r w:rsidRPr="00AF3174">
        <w:rPr>
          <w:rFonts w:cs="Times New Roman"/>
          <w:i/>
          <w:sz w:val="20"/>
          <w:szCs w:val="20"/>
        </w:rPr>
        <w:t>Ethica</w:t>
      </w:r>
      <w:r w:rsidRPr="00AF3174">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6">
    <w:p w14:paraId="2FDDB31D" w14:textId="503AAA17" w:rsidR="002B689E" w:rsidRPr="00AF3174" w:rsidRDefault="002B689E"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27">
    <w:p w14:paraId="0EBA0791" w14:textId="4164FEBD" w:rsidR="002B689E" w:rsidRPr="00AF3174" w:rsidRDefault="002B689E">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eastAsia="Times New Roman" w:cs="Times New Roman"/>
          <w:sz w:val="20"/>
          <w:szCs w:val="20"/>
        </w:rPr>
        <w:t xml:space="preserve">Dünnhaupt war 1991 lediglich das </w:t>
      </w:r>
      <w:r w:rsidRPr="00AF3174">
        <w:rPr>
          <w:rFonts w:eastAsia="Times New Roman" w:cs="Times New Roman"/>
          <w:i/>
          <w:sz w:val="20"/>
          <w:szCs w:val="20"/>
        </w:rPr>
        <w:t>Londoner Exemplar</w:t>
      </w:r>
      <w:r w:rsidRPr="00AF3174">
        <w:rPr>
          <w:rFonts w:eastAsia="Times New Roman" w:cs="Times New Roman"/>
          <w:sz w:val="20"/>
          <w:szCs w:val="20"/>
        </w:rPr>
        <w:t xml:space="preserve"> von [C2] bekannt (welches er vermutlich nicht im Original hat einsehen können), das </w:t>
      </w:r>
      <w:r w:rsidRPr="00AF3174">
        <w:rPr>
          <w:rFonts w:eastAsia="Times New Roman" w:cs="Times New Roman"/>
          <w:i/>
          <w:sz w:val="20"/>
          <w:szCs w:val="20"/>
        </w:rPr>
        <w:t>Dresdner Exemplar</w:t>
      </w:r>
      <w:r w:rsidRPr="00AF3174">
        <w:rPr>
          <w:rFonts w:eastAsia="Times New Roman" w:cs="Times New Roman"/>
          <w:sz w:val="20"/>
          <w:szCs w:val="20"/>
        </w:rPr>
        <w:t xml:space="preserve"> ist erst zusammen mit anderen Ausgaben des </w:t>
      </w:r>
      <w:r w:rsidRPr="00AF3174">
        <w:rPr>
          <w:rFonts w:eastAsia="Times New Roman" w:cs="Times New Roman"/>
          <w:i/>
          <w:sz w:val="20"/>
          <w:szCs w:val="20"/>
        </w:rPr>
        <w:t>Tranchierbuchs</w:t>
      </w:r>
      <w:r w:rsidRPr="00AF3174">
        <w:rPr>
          <w:rFonts w:eastAsia="Times New Roman" w:cs="Times New Roman"/>
          <w:sz w:val="20"/>
          <w:szCs w:val="20"/>
        </w:rPr>
        <w:t xml:space="preserve"> aus der Sammlung Walter Putz im Jahr 2007 in den Bestand der SLUB Dresden übergegangen.</w:t>
      </w:r>
    </w:p>
  </w:footnote>
  <w:footnote w:id="28">
    <w:p w14:paraId="117A8113" w14:textId="6EB6DE9E" w:rsidR="002B689E" w:rsidRPr="00AF3174" w:rsidRDefault="002B689E">
      <w:pPr>
        <w:pStyle w:val="FootnoteText"/>
        <w:rPr>
          <w:sz w:val="20"/>
          <w:szCs w:val="20"/>
        </w:rPr>
      </w:pPr>
      <w:r w:rsidRPr="00AF3174">
        <w:rPr>
          <w:rStyle w:val="FootnoteReference"/>
          <w:sz w:val="20"/>
          <w:szCs w:val="20"/>
        </w:rPr>
        <w:footnoteRef/>
      </w:r>
      <w:r>
        <w:rPr>
          <w:sz w:val="20"/>
          <w:szCs w:val="20"/>
        </w:rPr>
        <w:t xml:space="preserve"> Dünnhaupt 1991</w:t>
      </w:r>
      <w:r w:rsidRPr="00AF3174">
        <w:rPr>
          <w:sz w:val="20"/>
          <w:szCs w:val="20"/>
        </w:rPr>
        <w:t xml:space="preserve">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29">
    <w:p w14:paraId="45FA55FF" w14:textId="77777777" w:rsidR="002B689E" w:rsidRPr="00AF3174" w:rsidRDefault="002B689E" w:rsidP="008F2044">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Frenzel 2012, S. 29. </w:t>
      </w:r>
    </w:p>
  </w:footnote>
  <w:footnote w:id="30">
    <w:p w14:paraId="769967E5" w14:textId="0DDAFB16" w:rsidR="002B689E" w:rsidRPr="00AF3174" w:rsidRDefault="002B689E" w:rsidP="008F2044">
      <w:pPr>
        <w:pStyle w:val="FootnoteText"/>
        <w:rPr>
          <w:rFonts w:ascii="Junicode" w:hAnsi="Junicode"/>
          <w:sz w:val="20"/>
          <w:szCs w:val="20"/>
        </w:rPr>
      </w:pPr>
      <w:r w:rsidRPr="00AF3174">
        <w:rPr>
          <w:rStyle w:val="FootnoteReference"/>
          <w:sz w:val="20"/>
          <w:szCs w:val="20"/>
        </w:rPr>
        <w:footnoteRef/>
      </w:r>
      <w:r w:rsidRPr="00AF3174">
        <w:rPr>
          <w:sz w:val="20"/>
          <w:szCs w:val="20"/>
        </w:rPr>
        <w:t xml:space="preserve"> Es handelt sich hier nach Frenzel</w:t>
      </w:r>
      <w:r>
        <w:rPr>
          <w:sz w:val="20"/>
          <w:szCs w:val="20"/>
        </w:rPr>
        <w:t xml:space="preserve"> 2012</w:t>
      </w:r>
      <w:r w:rsidRPr="00AF3174">
        <w:rPr>
          <w:sz w:val="20"/>
          <w:szCs w:val="20"/>
        </w:rPr>
        <w:t xml:space="preserve"> um eine bisher nicht im VD17 oder bei Dünnhaupt nachgewiesene Ausgabe, </w:t>
      </w:r>
      <w:r>
        <w:rPr>
          <w:sz w:val="20"/>
          <w:szCs w:val="20"/>
        </w:rPr>
        <w:t>wobei sich</w:t>
      </w:r>
      <w:r w:rsidRPr="00AF3174">
        <w:rPr>
          <w:sz w:val="20"/>
          <w:szCs w:val="20"/>
        </w:rPr>
        <w:t xml:space="preserve"> das unikal überlieferte Exemplar in Privatbesitz </w:t>
      </w:r>
      <w:r>
        <w:rPr>
          <w:sz w:val="20"/>
          <w:szCs w:val="20"/>
        </w:rPr>
        <w:t>befindet</w:t>
      </w:r>
      <w:r w:rsidRPr="00AF3174">
        <w:rPr>
          <w:sz w:val="20"/>
          <w:szCs w:val="20"/>
        </w:rPr>
        <w:t xml:space="preserve">: [Kupfertitel] </w:t>
      </w:r>
      <w:r w:rsidRPr="00AF3174">
        <w:rPr>
          <w:rFonts w:cs="Times New Roman"/>
          <w:sz w:val="20"/>
          <w:szCs w:val="20"/>
        </w:rPr>
        <w:t xml:space="preserve">Vollſtändiges | </w:t>
      </w:r>
      <w:r w:rsidRPr="00AF3174">
        <w:rPr>
          <w:rFonts w:cs="Times New Roman"/>
          <w:i/>
          <w:smallCaps/>
          <w:sz w:val="20"/>
          <w:szCs w:val="20"/>
        </w:rPr>
        <w:t>Trincir-</w:t>
      </w:r>
      <w:r w:rsidRPr="00AF3174">
        <w:rPr>
          <w:rFonts w:cs="Times New Roman"/>
          <w:sz w:val="20"/>
          <w:szCs w:val="20"/>
        </w:rPr>
        <w:t xml:space="preserve">| Buch: | Von Tafeldecken Vor-| ſchneiden und Zeiti-| gung der Mundkoſte | Zufinden | Bey Paulus Fürſten | in Nürnberg. [typografischer Titel] Vollſtaͤndiges | </w:t>
      </w:r>
      <w:r w:rsidRPr="00AF3174">
        <w:rPr>
          <w:rFonts w:cs="Times New Roman"/>
          <w:i/>
          <w:sz w:val="20"/>
          <w:szCs w:val="20"/>
        </w:rPr>
        <w:t>TRINCIR-</w:t>
      </w:r>
      <w:r w:rsidRPr="00AF3174">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w:t>
      </w:r>
      <w:r w:rsidRPr="00AF3174">
        <w:rPr>
          <w:sz w:val="20"/>
          <w:szCs w:val="20"/>
        </w:rPr>
        <w:t>finden sich in Frenzel 2012, S. 32–34; eine bibliografische Beschreibung des Druckes ebd., S. 35.</w:t>
      </w:r>
    </w:p>
  </w:footnote>
  <w:footnote w:id="31">
    <w:p w14:paraId="314DB689" w14:textId="77777777" w:rsidR="002B689E" w:rsidRPr="00AF3174" w:rsidRDefault="002B689E" w:rsidP="002F00BA">
      <w:pPr>
        <w:pStyle w:val="FootnoteText"/>
        <w:rPr>
          <w:sz w:val="20"/>
          <w:szCs w:val="20"/>
        </w:rPr>
      </w:pPr>
      <w:r w:rsidRPr="00AF3174">
        <w:rPr>
          <w:rStyle w:val="FootnoteReference"/>
          <w:sz w:val="20"/>
          <w:szCs w:val="20"/>
        </w:rPr>
        <w:footnoteRef/>
      </w:r>
      <w:r w:rsidRPr="00AF3174">
        <w:rPr>
          <w:sz w:val="20"/>
          <w:szCs w:val="20"/>
        </w:rPr>
        <w:t xml:space="preserve"> GND http://d-nb.info/gnd/1042224471. </w:t>
      </w:r>
    </w:p>
  </w:footnote>
  <w:footnote w:id="32">
    <w:p w14:paraId="6400FA04" w14:textId="77777777" w:rsidR="002B689E" w:rsidRPr="00AF3174" w:rsidRDefault="002B689E" w:rsidP="00D16825">
      <w:pPr>
        <w:pStyle w:val="FootnoteText"/>
        <w:rPr>
          <w:sz w:val="20"/>
          <w:szCs w:val="20"/>
        </w:rPr>
      </w:pPr>
      <w:r w:rsidRPr="00AF3174">
        <w:rPr>
          <w:rStyle w:val="FootnoteReference"/>
          <w:sz w:val="20"/>
          <w:szCs w:val="20"/>
        </w:rPr>
        <w:footnoteRef/>
      </w:r>
      <w:r w:rsidRPr="00AF3174">
        <w:rPr>
          <w:sz w:val="20"/>
          <w:szCs w:val="20"/>
        </w:rPr>
        <w:t xml:space="preserve"> GND http://d-nb.info/gnd/1037548647. Wirkungszeit in Kopenhagen 1653–1692.</w:t>
      </w:r>
    </w:p>
  </w:footnote>
  <w:footnote w:id="33">
    <w:p w14:paraId="25AC4EB9" w14:textId="120AE1BB" w:rsidR="002B689E" w:rsidRPr="00AF3174" w:rsidRDefault="002B689E" w:rsidP="00336465">
      <w:pPr>
        <w:pStyle w:val="NormalWeb"/>
        <w:spacing w:before="0" w:beforeAutospacing="0" w:after="0" w:afterAutospacing="0"/>
        <w:rPr>
          <w:rFonts w:ascii="Times New Roman" w:hAnsi="Times New Roman"/>
        </w:rPr>
      </w:pPr>
      <w:r w:rsidRPr="00AF3174">
        <w:rPr>
          <w:rStyle w:val="FootnoteReference"/>
          <w:rFonts w:ascii="Times New Roman" w:hAnsi="Times New Roman"/>
        </w:rPr>
        <w:footnoteRef/>
      </w:r>
      <w:r w:rsidRPr="00AF3174">
        <w:rPr>
          <w:rFonts w:ascii="Times New Roman" w:hAnsi="Times New Roman"/>
        </w:rPr>
        <w:t xml:space="preserve"> [Zwischentitel des Tranchierbuchs] Ny | </w:t>
      </w:r>
      <w:r w:rsidRPr="00AF3174">
        <w:rPr>
          <w:rFonts w:ascii="Times New Roman" w:hAnsi="Times New Roman"/>
          <w:i/>
        </w:rPr>
        <w:t>Trencher</w:t>
      </w:r>
      <w:r w:rsidRPr="00AF3174">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E54E42D" w14:textId="77777777" w:rsidR="002B689E" w:rsidRPr="00AF3174" w:rsidRDefault="002B689E" w:rsidP="00336465">
      <w:pPr>
        <w:spacing w:line="240" w:lineRule="auto"/>
        <w:rPr>
          <w:rFonts w:cs="Times New Roman"/>
          <w:sz w:val="20"/>
          <w:szCs w:val="20"/>
        </w:rPr>
      </w:pPr>
      <w:r w:rsidRPr="00AF3174">
        <w:rPr>
          <w:rFonts w:cs="Times New Roman"/>
          <w:sz w:val="20"/>
          <w:szCs w:val="20"/>
        </w:rPr>
        <w:t>S. 263 med nyt titelblad, Geistlige Lever-Rim at bruge over Borde og ellers udi anden Samqvem, Tryckt i Kiøbenhafn, 1708</w:t>
      </w:r>
    </w:p>
  </w:footnote>
  <w:footnote w:id="34">
    <w:p w14:paraId="063F23C3" w14:textId="77777777" w:rsidR="002B689E" w:rsidRPr="00AF3174" w:rsidRDefault="002B689E" w:rsidP="006E7FCA">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Der typografische Titel der </w:t>
      </w:r>
      <w:r w:rsidRPr="00AF3174">
        <w:rPr>
          <w:rFonts w:cs="Times New Roman"/>
          <w:i/>
          <w:sz w:val="20"/>
          <w:szCs w:val="20"/>
        </w:rPr>
        <w:t>Leberreime</w:t>
      </w:r>
      <w:r w:rsidRPr="00AF3174">
        <w:rPr>
          <w:rFonts w:cs="Times New Roman"/>
          <w:sz w:val="20"/>
          <w:szCs w:val="20"/>
        </w:rPr>
        <w:t xml:space="preserve"> beginnt auf der unpaginierten Seite 109. Der Druck hat insgesamt 232 paginierte Seiten. </w:t>
      </w:r>
    </w:p>
  </w:footnote>
  <w:footnote w:id="35">
    <w:p w14:paraId="3F4BB3BA" w14:textId="77777777" w:rsidR="002B689E" w:rsidRPr="00AF3174" w:rsidRDefault="002B689E" w:rsidP="006E7FCA">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Georg Müller, Drucker in Frankfurt am Main zwischen </w:t>
      </w:r>
      <w:r w:rsidRPr="00AF3174">
        <w:rPr>
          <w:rFonts w:cs="Times New Roman"/>
          <w:sz w:val="20"/>
          <w:szCs w:val="20"/>
          <w:lang w:val="en-US"/>
        </w:rPr>
        <w:t xml:space="preserve">1652–1678. Permalink zur GND </w:t>
      </w:r>
      <w:hyperlink r:id="rId1" w:history="1">
        <w:r w:rsidRPr="00AF3174">
          <w:rPr>
            <w:rStyle w:val="Hyperlink"/>
            <w:rFonts w:eastAsia="Times New Roman" w:cs="Times New Roman"/>
            <w:color w:val="auto"/>
            <w:sz w:val="20"/>
            <w:szCs w:val="20"/>
          </w:rPr>
          <w:t>http://d-nb.info/gnd/1037659422</w:t>
        </w:r>
      </w:hyperlink>
    </w:p>
  </w:footnote>
  <w:footnote w:id="36">
    <w:p w14:paraId="0D914FE7" w14:textId="77777777" w:rsidR="002B689E" w:rsidRPr="00AF3174" w:rsidRDefault="002B689E" w:rsidP="006733E9">
      <w:pPr>
        <w:pStyle w:val="FootnoteText"/>
        <w:rPr>
          <w:sz w:val="20"/>
          <w:szCs w:val="20"/>
        </w:rPr>
      </w:pPr>
      <w:r w:rsidRPr="00AF3174">
        <w:rPr>
          <w:rStyle w:val="FootnoteReference"/>
          <w:sz w:val="20"/>
          <w:szCs w:val="20"/>
        </w:rPr>
        <w:footnoteRef/>
      </w:r>
      <w:r w:rsidRPr="00AF3174">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A09F1"/>
    <w:rsid w:val="000B4C2C"/>
    <w:rsid w:val="000C41B4"/>
    <w:rsid w:val="000E32A8"/>
    <w:rsid w:val="000F2831"/>
    <w:rsid w:val="000F3149"/>
    <w:rsid w:val="001000AC"/>
    <w:rsid w:val="0010687A"/>
    <w:rsid w:val="0014104E"/>
    <w:rsid w:val="001444B8"/>
    <w:rsid w:val="001618E1"/>
    <w:rsid w:val="00165D58"/>
    <w:rsid w:val="00166307"/>
    <w:rsid w:val="00177C42"/>
    <w:rsid w:val="001863CD"/>
    <w:rsid w:val="00191628"/>
    <w:rsid w:val="00194E5C"/>
    <w:rsid w:val="001A3464"/>
    <w:rsid w:val="001B6673"/>
    <w:rsid w:val="001B71CE"/>
    <w:rsid w:val="001C07B8"/>
    <w:rsid w:val="001C16BF"/>
    <w:rsid w:val="001C46BD"/>
    <w:rsid w:val="001F42D5"/>
    <w:rsid w:val="002003ED"/>
    <w:rsid w:val="0021754E"/>
    <w:rsid w:val="00224F0C"/>
    <w:rsid w:val="00257C35"/>
    <w:rsid w:val="002601D5"/>
    <w:rsid w:val="0026265F"/>
    <w:rsid w:val="00263A46"/>
    <w:rsid w:val="0027539D"/>
    <w:rsid w:val="0027798D"/>
    <w:rsid w:val="00292F5D"/>
    <w:rsid w:val="00297A44"/>
    <w:rsid w:val="002B689E"/>
    <w:rsid w:val="002F00BA"/>
    <w:rsid w:val="002F3923"/>
    <w:rsid w:val="003061F2"/>
    <w:rsid w:val="00316D91"/>
    <w:rsid w:val="0032449D"/>
    <w:rsid w:val="00336465"/>
    <w:rsid w:val="003379E8"/>
    <w:rsid w:val="00350647"/>
    <w:rsid w:val="003615D8"/>
    <w:rsid w:val="003852F8"/>
    <w:rsid w:val="00390578"/>
    <w:rsid w:val="003909A5"/>
    <w:rsid w:val="00393413"/>
    <w:rsid w:val="003977A5"/>
    <w:rsid w:val="003A34BE"/>
    <w:rsid w:val="003B23CC"/>
    <w:rsid w:val="003B63F0"/>
    <w:rsid w:val="003C11F7"/>
    <w:rsid w:val="003D0BEE"/>
    <w:rsid w:val="00405EBA"/>
    <w:rsid w:val="00453712"/>
    <w:rsid w:val="00456FCD"/>
    <w:rsid w:val="0046503C"/>
    <w:rsid w:val="00466472"/>
    <w:rsid w:val="00484435"/>
    <w:rsid w:val="004929B2"/>
    <w:rsid w:val="00497058"/>
    <w:rsid w:val="004A6A20"/>
    <w:rsid w:val="004E32C7"/>
    <w:rsid w:val="00500F3F"/>
    <w:rsid w:val="00506BD7"/>
    <w:rsid w:val="005173EA"/>
    <w:rsid w:val="00523E6C"/>
    <w:rsid w:val="005358B1"/>
    <w:rsid w:val="00562E77"/>
    <w:rsid w:val="00570F5A"/>
    <w:rsid w:val="00572E7F"/>
    <w:rsid w:val="00582C33"/>
    <w:rsid w:val="0058770D"/>
    <w:rsid w:val="005A11A0"/>
    <w:rsid w:val="005A3F57"/>
    <w:rsid w:val="005B0C1B"/>
    <w:rsid w:val="005C43F3"/>
    <w:rsid w:val="00600F14"/>
    <w:rsid w:val="0060771A"/>
    <w:rsid w:val="00615D4F"/>
    <w:rsid w:val="00633FB4"/>
    <w:rsid w:val="0064455D"/>
    <w:rsid w:val="00650B54"/>
    <w:rsid w:val="006733E9"/>
    <w:rsid w:val="006818A1"/>
    <w:rsid w:val="00682375"/>
    <w:rsid w:val="006A55AD"/>
    <w:rsid w:val="006B7A9F"/>
    <w:rsid w:val="006D5E56"/>
    <w:rsid w:val="006E1CD1"/>
    <w:rsid w:val="006E71A5"/>
    <w:rsid w:val="006E7FCA"/>
    <w:rsid w:val="00700175"/>
    <w:rsid w:val="007119D6"/>
    <w:rsid w:val="0071555C"/>
    <w:rsid w:val="00716A81"/>
    <w:rsid w:val="00730A7E"/>
    <w:rsid w:val="00752FC4"/>
    <w:rsid w:val="0077658F"/>
    <w:rsid w:val="00786708"/>
    <w:rsid w:val="007955EA"/>
    <w:rsid w:val="00796242"/>
    <w:rsid w:val="0079755A"/>
    <w:rsid w:val="007B198C"/>
    <w:rsid w:val="007B3BBA"/>
    <w:rsid w:val="007B5A98"/>
    <w:rsid w:val="007B70AB"/>
    <w:rsid w:val="007C2B4D"/>
    <w:rsid w:val="007D1A29"/>
    <w:rsid w:val="007E3344"/>
    <w:rsid w:val="007F79A0"/>
    <w:rsid w:val="0080789B"/>
    <w:rsid w:val="008117D1"/>
    <w:rsid w:val="00842F16"/>
    <w:rsid w:val="008510EE"/>
    <w:rsid w:val="0087417B"/>
    <w:rsid w:val="008A05E6"/>
    <w:rsid w:val="008D0DCD"/>
    <w:rsid w:val="008D1E6A"/>
    <w:rsid w:val="008F2044"/>
    <w:rsid w:val="0090532D"/>
    <w:rsid w:val="009151D1"/>
    <w:rsid w:val="0092068F"/>
    <w:rsid w:val="00923001"/>
    <w:rsid w:val="00937DAA"/>
    <w:rsid w:val="00951A0B"/>
    <w:rsid w:val="0095508E"/>
    <w:rsid w:val="00967F8A"/>
    <w:rsid w:val="009B1BFE"/>
    <w:rsid w:val="009D174C"/>
    <w:rsid w:val="009F120F"/>
    <w:rsid w:val="00A07927"/>
    <w:rsid w:val="00A11DE6"/>
    <w:rsid w:val="00A206FA"/>
    <w:rsid w:val="00A20F02"/>
    <w:rsid w:val="00A33AAA"/>
    <w:rsid w:val="00A342C0"/>
    <w:rsid w:val="00A37F48"/>
    <w:rsid w:val="00A403DF"/>
    <w:rsid w:val="00A42E4C"/>
    <w:rsid w:val="00A44306"/>
    <w:rsid w:val="00A525B4"/>
    <w:rsid w:val="00A57C6E"/>
    <w:rsid w:val="00A744A8"/>
    <w:rsid w:val="00A916B5"/>
    <w:rsid w:val="00AA5720"/>
    <w:rsid w:val="00AA5898"/>
    <w:rsid w:val="00AC32EA"/>
    <w:rsid w:val="00AD570C"/>
    <w:rsid w:val="00AE50A4"/>
    <w:rsid w:val="00AF3174"/>
    <w:rsid w:val="00B02DF5"/>
    <w:rsid w:val="00B138E5"/>
    <w:rsid w:val="00B148D9"/>
    <w:rsid w:val="00B22D1E"/>
    <w:rsid w:val="00B52F15"/>
    <w:rsid w:val="00B57077"/>
    <w:rsid w:val="00B60AF8"/>
    <w:rsid w:val="00B64E2E"/>
    <w:rsid w:val="00B664E5"/>
    <w:rsid w:val="00B77A3E"/>
    <w:rsid w:val="00B80A83"/>
    <w:rsid w:val="00B80EA6"/>
    <w:rsid w:val="00BA5B82"/>
    <w:rsid w:val="00BD22F9"/>
    <w:rsid w:val="00BD4702"/>
    <w:rsid w:val="00BD5423"/>
    <w:rsid w:val="00BE5E96"/>
    <w:rsid w:val="00C009A3"/>
    <w:rsid w:val="00C04FEB"/>
    <w:rsid w:val="00C43D13"/>
    <w:rsid w:val="00C551CC"/>
    <w:rsid w:val="00C61916"/>
    <w:rsid w:val="00C66CDE"/>
    <w:rsid w:val="00C719A3"/>
    <w:rsid w:val="00C7570A"/>
    <w:rsid w:val="00C86BCE"/>
    <w:rsid w:val="00C91757"/>
    <w:rsid w:val="00C96371"/>
    <w:rsid w:val="00CA5E23"/>
    <w:rsid w:val="00CB64A3"/>
    <w:rsid w:val="00CE4525"/>
    <w:rsid w:val="00D16825"/>
    <w:rsid w:val="00D31FB2"/>
    <w:rsid w:val="00D40E0A"/>
    <w:rsid w:val="00D4424A"/>
    <w:rsid w:val="00D7186B"/>
    <w:rsid w:val="00D8665C"/>
    <w:rsid w:val="00D97FF3"/>
    <w:rsid w:val="00DA10B9"/>
    <w:rsid w:val="00DA7CD2"/>
    <w:rsid w:val="00DB5633"/>
    <w:rsid w:val="00DB7F79"/>
    <w:rsid w:val="00DB7FF1"/>
    <w:rsid w:val="00DC211F"/>
    <w:rsid w:val="00DC36D7"/>
    <w:rsid w:val="00DC5477"/>
    <w:rsid w:val="00DE5205"/>
    <w:rsid w:val="00E0455F"/>
    <w:rsid w:val="00E125D3"/>
    <w:rsid w:val="00E15ABF"/>
    <w:rsid w:val="00E25B31"/>
    <w:rsid w:val="00E77C15"/>
    <w:rsid w:val="00E96C37"/>
    <w:rsid w:val="00EA304E"/>
    <w:rsid w:val="00EB48A2"/>
    <w:rsid w:val="00EB5406"/>
    <w:rsid w:val="00EE5C46"/>
    <w:rsid w:val="00EF49A1"/>
    <w:rsid w:val="00EF6D0E"/>
    <w:rsid w:val="00F10602"/>
    <w:rsid w:val="00F479FF"/>
    <w:rsid w:val="00F806DD"/>
    <w:rsid w:val="00F852F4"/>
    <w:rsid w:val="00F937C2"/>
    <w:rsid w:val="00F94787"/>
    <w:rsid w:val="00FA2899"/>
    <w:rsid w:val="00FA4AA4"/>
    <w:rsid w:val="00FA65B4"/>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6280</Words>
  <Characters>35797</Characters>
  <Application>Microsoft Macintosh Word</Application>
  <DocSecurity>0</DocSecurity>
  <Lines>298</Lines>
  <Paragraphs>83</Paragraphs>
  <ScaleCrop>false</ScaleCrop>
  <Company>Universitetet i Oslo</Company>
  <LinksUpToDate>false</LinksUpToDate>
  <CharactersWithSpaces>41994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26</cp:revision>
  <dcterms:created xsi:type="dcterms:W3CDTF">2016-05-11T08:44:00Z</dcterms:created>
  <dcterms:modified xsi:type="dcterms:W3CDTF">2016-05-11T15:15:00Z</dcterms:modified>
</cp:coreProperties>
</file>