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pPr>
      <w:r>
        <w:rPr>
          <w:b/>
          <w:sz w:val="16"/>
          <w:szCs w:val="16"/>
          <w:color w:val="0F766E"/>
        </w:rPr>
        <w:t xml:space="preserve">Content Automation → LMS · Reply to Content-Write Contract v1</w:t>
      </w:r>
    </w:p>
    <w:p>
      <w:pPr>
        <w:spacing w:before="0" w:after="60"/>
      </w:pPr>
      <w:r>
        <w:rPr>
          <w:b/>
          <w:sz w:val="42"/>
          <w:szCs w:val="42"/>
          <w:color w:val="2B2724"/>
        </w:rPr>
        <w:t xml:space="preserve">Content Automation — Confirmation, Answers &amp; Asks</w:t>
      </w:r>
    </w:p>
    <w:p>
      <w:pPr>
        <w:spacing w:before="0" w:after="160"/>
        <w:ind w:left="120"/>
        <w:shd w:val="clear" w:color="auto" w:fill="F3EFE8"/>
      </w:pPr>
      <w:r>
        <w:rPr>
          <w:b/>
          <w:sz w:val="19"/>
          <w:szCs w:val="19"/>
          <w:color w:val="0F766E"/>
        </w:rPr>
        <w:t xml:space="preserve">To: </w:t>
      </w:r>
      <w:r>
        <w:rPr>
          <w:sz w:val="19"/>
          <w:szCs w:val="19"/>
        </w:rPr>
        <w:t xml:space="preserve">Abdulrehman Siddiqi (LMS / "NAZIM")   </w:t>
      </w:r>
      <w:r>
        <w:rPr>
          <w:b/>
          <w:sz w:val="19"/>
          <w:szCs w:val="19"/>
          <w:color w:val="0F766E"/>
        </w:rPr>
        <w:t xml:space="preserve">From: </w:t>
      </w:r>
      <w:r>
        <w:rPr>
          <w:sz w:val="19"/>
          <w:szCs w:val="19"/>
        </w:rPr>
        <w:t xml:space="preserve">Content Automation — aroma.tahir@taleemabad.com   </w:t>
      </w:r>
      <w:r>
        <w:rPr>
          <w:b/>
          <w:sz w:val="19"/>
          <w:szCs w:val="19"/>
          <w:color w:val="0F766E"/>
        </w:rPr>
        <w:t xml:space="preserve">Re: </w:t>
      </w:r>
      <w:r>
        <w:rPr>
          <w:sz w:val="19"/>
          <w:szCs w:val="19"/>
        </w:rPr>
        <w:t xml:space="preserve">Content-write contract v1   </w:t>
      </w:r>
      <w:r>
        <w:rPr>
          <w:b/>
          <w:sz w:val="19"/>
          <w:szCs w:val="19"/>
          <w:color w:val="0F766E"/>
        </w:rPr>
        <w:t xml:space="preserve">Date: </w:t>
      </w:r>
      <w:r>
        <w:rPr>
          <w:sz w:val="19"/>
          <w:szCs w:val="19"/>
        </w:rPr>
        <w:t xml:space="preserve">2026-08-10   </w:t>
      </w:r>
    </w:p>
    <w:p>
      <w:pPr>
        <w:spacing w:before="0" w:after="120"/>
      </w:pPr>
      <w:r>
        <w:rPr>
          <w:sz w:val="21"/>
          <w:szCs w:val="21"/>
        </w:rPr>
        <w:t xml:space="preserve">Thank you — the contract is clear and we are building against it as-is. Before replying we also read the LMS repo end to end, so the answers below are grounded in your actual code, not assumptions. Where it helps, we cite the files, both to show our working and to make your build cheaper.</w:t>
      </w:r>
    </w:p>
    <w:p>
      <w:pPr>
        <w:spacing w:before="280" w:after="110"/>
        <w:keepNext/>
      </w:pPr>
      <w:r>
        <w:rPr>
          <w:b/>
          <w:sz w:val="26"/>
          <w:szCs w:val="26"/>
          <w:color w:val="0F766E"/>
        </w:rPr>
        <w:t xml:space="preserve">1 · We confirm the contract as the build target</w:t>
      </w:r>
    </w:p>
    <w:p>
      <w:pPr>
        <w:spacing w:before="0" w:after="120"/>
      </w:pPr>
      <w:r>
        <w:rPr>
          <w:sz w:val="21"/>
          <w:szCs w:val="21"/>
        </w:rPr>
        <w:t xml:space="preserve">We will build our client against §3 (host + auth), §4 (schema), §6 (idempotency + read-back) and §7 (errors) exactly as written. Confirmed on our side:</w:t>
      </w:r>
    </w:p>
    <w:p>
      <w:pPr>
        <w:spacing w:before="0" w:after="60"/>
        <w:ind w:left="340" w:hanging="220"/>
      </w:pPr>
      <w:r>
        <w:rPr>
          <w:sz w:val="21"/>
          <w:szCs w:val="21"/>
        </w:rPr>
        <w:t xml:space="preserve">•  Host is the API host directly — capacitylab-api.onrender.com (prod) / the Railway host (staging). Not api.taleemabad.com; we are deleting that scaffolding. Confirmed against render.yaml (service capacitylab-api).</w:t>
      </w:r>
    </w:p>
    <w:p>
      <w:pPr>
        <w:spacing w:before="0" w:after="60"/>
        <w:ind w:left="340" w:hanging="220"/>
      </w:pPr>
      <w:r>
        <w:rPr>
          <w:sz w:val="21"/>
          <w:szCs w:val="21"/>
        </w:rPr>
        <w:t xml:space="preserve">•  POST /api/content-automation/v1/submissions creates a submission in a review queue; a human publishes it. Our key never publishes and never reads learner data — we want it exactly that narrow.</w:t>
      </w:r>
    </w:p>
    <w:p>
      <w:pPr>
        <w:spacing w:before="0" w:after="60"/>
        <w:ind w:left="340" w:hanging="220"/>
      </w:pPr>
      <w:r>
        <w:rPr>
          <w:sz w:val="21"/>
          <w:szCs w:val="21"/>
        </w:rPr>
        <w:t xml:space="preserve">•  external_ref is required and is our idempotency key. We treat 201 as created and 200 as “already existed”, both success; we never mint a fresh external_ref to force a 201.</w:t>
      </w:r>
    </w:p>
    <w:p>
      <w:pPr>
        <w:spacing w:before="0" w:after="60"/>
        <w:ind w:left="340" w:hanging="220"/>
      </w:pPr>
      <w:r>
        <w:rPr>
          <w:sz w:val="21"/>
          <w:szCs w:val="21"/>
        </w:rPr>
        <w:t xml:space="preserve">•  We read the outcome via GET /submissions/{external_ref}; we do not (and cannot) mark anything. Understood and preferred.</w:t>
      </w:r>
    </w:p>
    <w:p>
      <w:pPr>
        <w:spacing w:before="0" w:after="60"/>
        <w:ind w:left="340" w:hanging="220"/>
      </w:pPr>
      <w:r>
        <w:rPr>
          <w:sz w:val="21"/>
          <w:szCs w:val="21"/>
        </w:rPr>
        <w:t xml:space="preserve">•  status is yours; we never send it. duration_seconds / thumbnail_url / language are submission-only; that is fine.</w:t>
      </w:r>
    </w:p>
    <w:p>
      <w:pPr>
        <w:spacing w:before="40" w:after="160"/>
        <w:ind w:left="260"/>
        <w:pBdr>
          <w:left w:val="single" w:sz="20" w:space="10" w:color="B45309"/>
        </w:pBdr>
        <w:shd w:val="clear" w:color="auto" w:fill="FBF3EA"/>
      </w:pPr>
      <w:r>
        <w:rPr>
          <w:b/>
          <w:sz w:val="21"/>
          <w:szCs w:val="21"/>
          <w:color w:val="B45309"/>
        </w:rPr>
        <w:t xml:space="preserve">We checked §2.3 in your code and agree — </w:t>
      </w:r>
      <w:r>
        <w:rPr>
          <w:sz w:val="21"/>
          <w:szCs w:val="21"/>
        </w:rPr>
        <w:t xml:space="preserve">a “provisional but already a block” would have been unsafe: an unpublished video block counts as required for module unlock (routes/modules.ts:217 and :320), lands in progress/partner denominators (modules.ts:476, intelligence-report-data.ts:214), and a due-dated block triggers a worker that notifies the whole cohort (workers/assignment-due-reminder.ts:88-118). The review-queue is the right shape; no pushback from us.</w:t>
      </w:r>
    </w:p>
    <w:p>
      <w:pPr>
        <w:spacing w:before="280" w:after="110"/>
        <w:keepNext/>
      </w:pPr>
      <w:r>
        <w:rPr>
          <w:b/>
          <w:sz w:val="26"/>
          <w:szCs w:val="26"/>
          <w:color w:val="0F766E"/>
        </w:rPr>
        <w:t xml:space="preserve">2 · Our answers to your open questions</w:t>
      </w:r>
    </w:p>
    <w:p>
      <w:pPr>
        <w:spacing w:before="0" w:after="60"/>
        <w:ind w:left="340" w:hanging="220"/>
      </w:pPr>
      <w:r>
        <w:rPr>
          <w:sz w:val="21"/>
          <w:szCs w:val="21"/>
        </w:rPr>
        <w:t xml:space="preserve">•  external_ref scheme: run-YYYY-MM-DD-NNNN — stable across retries of one run, unique across runs.</w:t>
      </w:r>
    </w:p>
    <w:p>
      <w:pPr>
        <w:spacing w:before="0" w:after="60"/>
        <w:ind w:left="340" w:hanging="220"/>
      </w:pPr>
      <w:r>
        <w:rPr>
          <w:sz w:val="21"/>
          <w:szCs w:val="21"/>
        </w:rPr>
        <w:t xml:space="preserve">•  We do NOT check-before-create; we POST and rely on your unique-index dedupe, treating 200 as success-already-existed (§6.2).</w:t>
      </w:r>
    </w:p>
    <w:p>
      <w:pPr>
        <w:spacing w:before="0" w:after="60"/>
        <w:ind w:left="340" w:hanging="220"/>
      </w:pPr>
      <w:r>
        <w:rPr>
          <w:sz w:val="21"/>
          <w:szCs w:val="21"/>
        </w:rPr>
        <w:t xml:space="preserve">•  Write-back: we POLL GET /submissions/{external_ref} on our daily cycle (§6.3). Happy to switch to a push callback later if you would rather build one — your call, not blocking.</w:t>
      </w:r>
    </w:p>
    <w:p>
      <w:pPr>
        <w:spacing w:before="0" w:after="60"/>
        <w:ind w:left="340" w:hanging="220"/>
      </w:pPr>
      <w:r>
        <w:rPr>
          <w:sz w:val="21"/>
          <w:szCs w:val="21"/>
        </w:rPr>
        <w:t xml:space="preserve">•  module and topic_id: we send them as free-text hints for the reviewer for now (see §4 of this doc for the routing plan).</w:t>
      </w:r>
    </w:p>
    <w:p>
      <w:pPr>
        <w:spacing w:before="0" w:after="60"/>
        <w:ind w:left="340" w:hanging="220"/>
      </w:pPr>
      <w:r>
        <w:rPr>
          <w:sz w:val="21"/>
          <w:szCs w:val="21"/>
        </w:rPr>
        <w:t xml:space="preserve">•  source: we send "aroma-content-stage".</w:t>
      </w:r>
    </w:p>
    <w:p>
      <w:pPr>
        <w:spacing w:before="0" w:after="60"/>
        <w:ind w:left="340" w:hanging="220"/>
      </w:pPr>
      <w:r>
        <w:rPr>
          <w:sz w:val="21"/>
          <w:szCs w:val="21"/>
        </w:rPr>
        <w:t xml:space="preserve">•  YouTube: we publish the video (unlisted) BEFORE we POST, per your §8 note that you do not validate the URL resolves.</w:t>
      </w:r>
    </w:p>
    <w:p>
      <w:pPr>
        <w:spacing w:before="0" w:after="60"/>
        <w:ind w:left="340" w:hanging="220"/>
      </w:pPr>
      <w:r>
        <w:rPr>
          <w:sz w:val="21"/>
          <w:szCs w:val="21"/>
        </w:rPr>
        <w:t xml:space="preserve">•  We store your submission_id against our run id so support has a shared handle (your §8 note).</w:t>
      </w:r>
    </w:p>
    <w:p>
      <w:pPr>
        <w:spacing w:before="280" w:after="110"/>
        <w:keepNext/>
      </w:pPr>
      <w:r>
        <w:rPr>
          <w:b/>
          <w:sz w:val="26"/>
          <w:szCs w:val="26"/>
          <w:color w:val="0F766E"/>
        </w:rPr>
        <w:t xml:space="preserve">3 · Calling host for the staging key (your §9 #2)</w:t>
      </w:r>
    </w:p>
    <w:p>
      <w:pPr>
        <w:spacing w:before="0" w:after="120"/>
      </w:pPr>
      <w:r>
        <w:rPr>
          <w:sz w:val="21"/>
          <w:szCs w:val="21"/>
        </w:rPr>
        <w:t xml:space="preserve">For staging we will call from a local/dev host for now, so we can test end to end before our production home (Railway, inside the Intelligence Layer) is provisioned. Please scope the staging CONTENT_AUTOMATION_API_KEY to the host below.</w:t>
      </w:r>
    </w:p>
    <w:p>
      <w:pPr>
        <w:spacing w:before="60" w:after="120"/>
        <w:ind w:left="200"/>
        <w:shd w:val="clear" w:color="auto" w:fill="F1EEE8"/>
      </w:pPr>
      <w:r>
        <w:rPr>
          <w:rFonts w:ascii="Consolas" w:hAnsi="Consolas" w:cs="Consolas"/>
          <w:sz w:val="17"/>
          <w:szCs w:val="17"/>
          <w:color w:val="2B2724"/>
        </w:rPr>
        <w:t xml:space="preserve">Staging calling host / egress:  &lt;FILL IN — our dev host or egress IP&gt;</w:t>
      </w:r>
    </w:p>
    <w:p>
      <w:pPr>
        <w:spacing w:before="20" w:after="140"/>
        <w:ind w:left="200"/>
        <w:shd w:val="clear" w:color="auto" w:fill="EFF4F3"/>
      </w:pPr>
      <w:r>
        <w:rPr>
          <w:i/>
          <w:sz w:val="20"/>
          <w:szCs w:val="20"/>
          <w:color w:val="2B2724"/>
        </w:rPr>
        <w:t xml:space="preserve">Per your render.yaml note (:98-102), this must be a NEW secret, scoped like USTAAD_API_KEY — never a copy of LMS_API_KEY. Agreed. We store it in an env var only and never commit it.</w:t>
      </w:r>
    </w:p>
    <w:p>
      <w:pPr>
        <w:spacing w:before="280" w:after="110"/>
        <w:keepNext/>
      </w:pPr>
      <w:r>
        <w:rPr>
          <w:b/>
          <w:sz w:val="26"/>
          <w:szCs w:val="26"/>
          <w:color w:val="0F766E"/>
        </w:rPr>
        <w:t xml:space="preserve">4 · The routing gap — we want topic_id to become resolvable (your §9 #7 = yes)</w:t>
      </w:r>
    </w:p>
    <w:p>
      <w:pPr>
        <w:spacing w:before="0" w:after="120"/>
      </w:pPr>
      <w:r>
        <w:rPr>
          <w:sz w:val="21"/>
          <w:szCs w:val="21"/>
        </w:rPr>
        <w:t xml:space="preserve">We read that module and topic_id cannot route today: there is no topics or SLO table, learning outcomes are free text on modules.slo, and module_code is a nullable, non-unique string that the Intelligence Layer and Ustaad already key on by position agreement. We opt IN to building a real mapping rather than leaning on a human forever.</w:t>
      </w:r>
    </w:p>
    <w:p>
      <w:pPr>
        <w:spacing w:before="150" w:after="70"/>
        <w:keepNext/>
      </w:pPr>
      <w:r>
        <w:rPr>
          <w:b/>
          <w:sz w:val="21"/>
          <w:szCs w:val="21"/>
          <w:color w:val="2B2724"/>
        </w:rPr>
        <w:t xml:space="preserve">Proposed approach (for your input)</w:t>
      </w:r>
    </w:p>
    <w:p>
      <w:pPr>
        <w:spacing w:before="0" w:after="60"/>
        <w:ind w:left="340" w:hanging="220"/>
      </w:pPr>
      <w:r>
        <w:rPr>
          <w:sz w:val="21"/>
          <w:szCs w:val="21"/>
        </w:rPr>
        <w:t xml:space="preserve">•  Key the mapping on module_code — the same convention the Intelligence Layer and Ustaad already use — not on a new id.</w:t>
      </w:r>
    </w:p>
    <w:p>
      <w:pPr>
        <w:spacing w:before="0" w:after="60"/>
        <w:ind w:left="340" w:hanging="220"/>
      </w:pPr>
      <w:r>
        <w:rPr>
          <w:sz w:val="21"/>
          <w:szCs w:val="21"/>
        </w:rPr>
        <w:t xml:space="preserve">•  Default: WE hold a topic_id → module_code map on our side and send a resolved module_code as the hint, so no schema change is forced on you.</w:t>
      </w:r>
    </w:p>
    <w:p>
      <w:pPr>
        <w:spacing w:before="0" w:after="60"/>
        <w:ind w:left="340" w:hanging="220"/>
      </w:pPr>
      <w:r>
        <w:rPr>
          <w:sz w:val="21"/>
          <w:szCs w:val="21"/>
        </w:rPr>
        <w:t xml:space="preserve">•  Alternative: if you would rather own it, a minimal topics table on your side that we both write against. Your call.</w:t>
      </w:r>
    </w:p>
    <w:p>
      <w:pPr>
        <w:spacing w:before="0" w:after="60"/>
        <w:ind w:left="340" w:hanging="220"/>
      </w:pPr>
      <w:r>
        <w:rPr>
          <w:sz w:val="21"/>
          <w:szCs w:val="21"/>
        </w:rPr>
        <w:t xml:space="preserve">•  Either way this needs the live module list (next section); the mapping is only as good as the codes it points at.</w:t>
      </w:r>
    </w:p>
    <w:p>
      <w:pPr>
        <w:spacing w:before="280" w:after="110"/>
        <w:keepNext/>
      </w:pPr>
      <w:r>
        <w:rPr>
          <w:b/>
          <w:sz w:val="26"/>
          <w:szCs w:val="26"/>
          <w:color w:val="0F766E"/>
        </w:rPr>
        <w:t xml:space="preserve">5 · What we need from you</w:t>
      </w:r>
    </w:p>
    <w:p>
      <w:pPr>
        <w:spacing w:before="0" w:after="70"/>
        <w:ind w:left="360" w:hanging="280"/>
      </w:pPr>
      <w:r>
        <w:rPr>
          <w:sz w:val="21"/>
          <w:szCs w:val="21"/>
        </w:rPr>
        <w:t xml:space="preserve">1.  Build the two endpoints (POST /submissions + GET /submissions/{external_ref}) and the review queue. Good news: your Ustaad partner integration (docs/ustaad/ + the ustaad router/middleware) is the same shape — cloning requireUstaadKey (middleware/ustaad-auth.ts) and that router pattern should make this adapt-not-greenfield.</w:t>
      </w:r>
    </w:p>
    <w:p>
      <w:pPr>
        <w:spacing w:before="0" w:after="70"/>
        <w:ind w:left="360" w:hanging="280"/>
      </w:pPr>
      <w:r>
        <w:rPr>
          <w:sz w:val="21"/>
          <w:szCs w:val="21"/>
        </w:rPr>
        <w:t xml:space="preserve">2.  Mint the staging CONTENT_AUTOMATION_API_KEY scoped to our calling host (§3 above). Same same-day gate you used for Ustaad.</w:t>
      </w:r>
    </w:p>
    <w:p>
      <w:pPr>
        <w:spacing w:before="0" w:after="70"/>
        <w:ind w:left="360" w:hanging="280"/>
      </w:pPr>
      <w:r>
        <w:rPr>
          <w:sz w:val="21"/>
          <w:szCs w:val="21"/>
        </w:rPr>
        <w:t xml:space="preserve">3.  The live module list: full M01–M10 codes + titles AND the 11th module’s real code + title (added 2026-08-07). This is a query against the live modules table — it is not in the repo, so only you can give it to us.</w:t>
      </w:r>
    </w:p>
    <w:p>
      <w:pPr>
        <w:spacing w:before="0" w:after="70"/>
        <w:ind w:left="360" w:hanging="280"/>
      </w:pPr>
      <w:r>
        <w:rPr>
          <w:sz w:val="21"/>
          <w:szCs w:val="21"/>
        </w:rPr>
        <w:t xml:space="preserve">4.  The mapping decision (§4 above): we hold the map and send a resolved module_code, or you add a topics table.</w:t>
      </w:r>
    </w:p>
    <w:p>
      <w:pPr>
        <w:spacing w:before="0" w:after="70"/>
        <w:ind w:left="360" w:hanging="280"/>
      </w:pPr>
      <w:r>
        <w:rPr>
          <w:sz w:val="21"/>
          <w:szCs w:val="21"/>
        </w:rPr>
        <w:t xml:space="preserve">5.  Poll vs callback (§6.3): we default to a daily poll; tell us if you prefer to build a callback.</w:t>
      </w:r>
    </w:p>
    <w:p>
      <w:pPr>
        <w:spacing w:before="0" w:after="70"/>
        <w:ind w:left="360" w:hanging="280"/>
      </w:pPr>
      <w:r>
        <w:rPr>
          <w:sz w:val="21"/>
          <w:szCs w:val="21"/>
        </w:rPr>
        <w:t xml:space="preserve">6.  Volume: we expect ~a handful of submissions a day, one POST per video. Please confirm no rate limiter is needed yet, or give us the budget if you add one.</w:t>
      </w:r>
    </w:p>
    <w:p>
      <w:pPr>
        <w:spacing w:before="0" w:after="70"/>
        <w:ind w:left="360" w:hanging="280"/>
      </w:pPr>
      <w:r>
        <w:rPr>
          <w:sz w:val="21"/>
          <w:szCs w:val="21"/>
        </w:rPr>
        <w:t xml:space="preserve">7.  WAF (§9 #8): non-blocking for us (we use the direct API host). We will flag any 403 with an HTML body as the WAF, not you.</w:t>
      </w:r>
    </w:p>
    <w:p>
      <w:pPr>
        <w:spacing w:before="0" w:after="70"/>
        <w:ind w:left="360" w:hanging="280"/>
      </w:pPr>
      <w:r>
        <w:rPr>
          <w:sz w:val="21"/>
          <w:szCs w:val="21"/>
        </w:rPr>
        <w:t xml:space="preserve">8.  A sample submission created together in staging, end to end (§9 #5) — POST → it appears in your review queue → you publish → our GET flips to published with created_block_id.</w:t>
      </w:r>
    </w:p>
    <w:p>
      <w:pPr>
        <w:spacing w:before="280" w:after="110"/>
        <w:keepNext/>
      </w:pPr>
      <w:r>
        <w:rPr>
          <w:b/>
          <w:sz w:val="26"/>
          <w:szCs w:val="26"/>
          <w:color w:val="0F766E"/>
        </w:rPr>
        <w:t xml:space="preserve">6 · What we are building on our side (so you have the full picture)</w:t>
      </w:r>
    </w:p>
    <w:p>
      <w:pPr>
        <w:spacing w:before="0" w:after="120"/>
      </w:pPr>
      <w:r>
        <w:rPr>
          <w:sz w:val="21"/>
          <w:szCs w:val="21"/>
        </w:rPr>
        <w:t xml:space="preserve">For transparency, our stage around this integration:</w:t>
      </w:r>
    </w:p>
    <w:p>
      <w:pPr>
        <w:spacing w:before="0" w:after="60"/>
        <w:ind w:left="340" w:hanging="220"/>
      </w:pPr>
      <w:r>
        <w:rPr>
          <w:sz w:val="21"/>
          <w:szCs w:val="21"/>
        </w:rPr>
        <w:t xml:space="preserve">•  An LMS client (submit + read-back) built to this contract; 201/200 both success; 503 “Service not configured” treated as “contact you”, never retried.</w:t>
      </w:r>
    </w:p>
    <w:p>
      <w:pPr>
        <w:spacing w:before="0" w:after="60"/>
        <w:ind w:left="340" w:hanging="220"/>
      </w:pPr>
      <w:r>
        <w:rPr>
          <w:sz w:val="21"/>
          <w:szCs w:val="21"/>
        </w:rPr>
        <w:t xml:space="preserve">•  A YouTube uploader that posts each video UNLISTED and returns the link we then submit to you.</w:t>
      </w:r>
    </w:p>
    <w:p>
      <w:pPr>
        <w:spacing w:before="0" w:after="60"/>
        <w:ind w:left="340" w:hanging="220"/>
      </w:pPr>
      <w:r>
        <w:rPr>
          <w:sz w:val="21"/>
          <w:szCs w:val="21"/>
        </w:rPr>
        <w:t xml:space="preserve">•  An orchestrator that produces a video, runs our own quality gate, uploads to YouTube, POSTs the submission, and polls the outcome daily — it never blocks on your reviewer.</w:t>
      </w:r>
    </w:p>
    <w:p>
      <w:pPr>
        <w:spacing w:before="0" w:after="60"/>
        <w:ind w:left="340" w:hanging="220"/>
      </w:pPr>
      <w:r>
        <w:rPr>
          <w:sz w:val="21"/>
          <w:szCs w:val="21"/>
        </w:rPr>
        <w:t xml:space="preserve">•  A 7-factor auto-QA gate on our side: nothing is even submitted to your queue unless it clears our bar, so your reviewers should mostly see publish-ready videos.</w:t>
      </w:r>
    </w:p>
    <w:p>
      <w:pPr>
        <w:spacing w:before="0" w:after="60"/>
        <w:ind w:left="340" w:hanging="220"/>
      </w:pPr>
      <w:r>
        <w:rPr>
          <w:sz w:val="21"/>
          <w:szCs w:val="21"/>
        </w:rPr>
        <w:t xml:space="preserve">•  Deleting our old, wrong api.taleemabad.com scaffolding.</w:t>
      </w:r>
    </w:p>
    <w:p>
      <w:pPr>
        <w:spacing w:before="20" w:after="140"/>
        <w:ind w:left="200"/>
        <w:shd w:val="clear" w:color="auto" w:fill="EFF4F3"/>
      </w:pPr>
      <w:r>
        <w:rPr>
          <w:i/>
          <w:sz w:val="20"/>
          <w:szCs w:val="20"/>
          <w:color w:val="2B2724"/>
        </w:rPr>
        <w:t xml:space="preserve">By design our key can only ever create a submission. It cannot publish and cannot read enrolments, grades, progress, emails or names — matching the boundary you set in §3. “The pipeline posted straight to learners” is not a failure mode our credential can produce.</w:t>
      </w:r>
    </w:p>
    <w:p>
      <w:pPr>
        <w:spacing w:before="280" w:after="110"/>
        <w:keepNext/>
      </w:pPr>
      <w:r>
        <w:rPr>
          <w:b/>
          <w:sz w:val="26"/>
          <w:szCs w:val="26"/>
          <w:color w:val="0F766E"/>
        </w:rPr>
        <w:t xml:space="preserve">7 · Open items &amp; owners</w:t>
      </w:r>
    </w:p>
    <w:tbl>
      <w:tblPr>
        <w:tblW w:w="9700" w:type="dxa"/>
        <w:tblBorders>
          <w:top w:val="single" w:sz="4" w:color="E7DDCF"/>
          <w:left w:val="single" w:sz="4" w:color="E7DDCF"/>
          <w:bottom w:val="single" w:sz="4" w:color="E7DDCF"/>
          <w:right w:val="single" w:sz="4" w:color="E7DDCF"/>
          <w:insideH w:val="single" w:sz="4" w:color="E7DDCF"/>
          <w:insideV w:val="single" w:sz="4" w:color="E7DDCF"/>
        </w:tblBorders>
      </w:tblPr>
      <w:tblGrid>
        <w:gridCol w:w="600"/>
        <w:gridCol w:w="5400"/>
        <w:gridCol w:w="1900"/>
        <w:gridCol w:w="1800"/>
      </w:tblGrid>
      <w:tr>
        <w:tc>
          <w:tcPr>
            <w:tcW w:w="600" w:type="dxa"/>
            <w:shd w:val="clear" w:color="auto" w:fill="EFE7DA"/>
          </w:tcPr>
          <w:p>
            <w:pPr>
              <w:spacing w:before="0" w:after="20"/>
            </w:pPr>
            <w:r>
              <w:rPr>
                <w:b/>
                <w:sz w:val="18"/>
                <w:szCs w:val="18"/>
              </w:rPr>
              <w:t xml:space="preserve">#</w:t>
            </w:r>
          </w:p>
        </w:tc>
        <w:tc>
          <w:tcPr>
            <w:tcW w:w="5400" w:type="dxa"/>
            <w:shd w:val="clear" w:color="auto" w:fill="EFE7DA"/>
          </w:tcPr>
          <w:p>
            <w:pPr>
              <w:spacing w:before="0" w:after="20"/>
            </w:pPr>
            <w:r>
              <w:rPr>
                <w:b/>
                <w:sz w:val="18"/>
                <w:szCs w:val="18"/>
              </w:rPr>
              <w:t xml:space="preserve">Item</w:t>
            </w:r>
          </w:p>
        </w:tc>
        <w:tc>
          <w:tcPr>
            <w:tcW w:w="1900" w:type="dxa"/>
            <w:shd w:val="clear" w:color="auto" w:fill="EFE7DA"/>
          </w:tcPr>
          <w:p>
            <w:pPr>
              <w:spacing w:before="0" w:after="20"/>
            </w:pPr>
            <w:r>
              <w:rPr>
                <w:b/>
                <w:sz w:val="18"/>
                <w:szCs w:val="18"/>
              </w:rPr>
              <w:t xml:space="preserve">Owner</w:t>
            </w:r>
          </w:p>
        </w:tc>
        <w:tc>
          <w:tcPr>
            <w:tcW w:w="1800" w:type="dxa"/>
            <w:shd w:val="clear" w:color="auto" w:fill="EFE7DA"/>
          </w:tcPr>
          <w:p>
            <w:pPr>
              <w:spacing w:before="0" w:after="20"/>
            </w:pPr>
            <w:r>
              <w:rPr>
                <w:b/>
                <w:sz w:val="18"/>
                <w:szCs w:val="18"/>
              </w:rPr>
              <w:t xml:space="preserve">When</w:t>
            </w:r>
          </w:p>
        </w:tc>
      </w:tr>
      <w:tr>
        <w:tc>
          <w:tcPr>
            <w:tcW w:w="600" w:type="dxa"/>
          </w:tcPr>
          <w:p>
            <w:pPr>
              <w:spacing w:before="0" w:after="20"/>
            </w:pPr>
            <w:r>
              <w:rPr>
                <w:sz w:val="17"/>
                <w:szCs w:val="17"/>
              </w:rPr>
              <w:t xml:space="preserve">1</w:t>
            </w:r>
          </w:p>
        </w:tc>
        <w:tc>
          <w:tcPr>
            <w:tcW w:w="5400" w:type="dxa"/>
          </w:tcPr>
          <w:p>
            <w:pPr>
              <w:spacing w:before="0" w:after="20"/>
            </w:pPr>
            <w:r>
              <w:rPr>
                <w:sz w:val="17"/>
                <w:szCs w:val="17"/>
              </w:rPr>
              <w:t xml:space="preserve">Confirm this reply / the contract</w:t>
            </w:r>
          </w:p>
        </w:tc>
        <w:tc>
          <w:tcPr>
            <w:tcW w:w="1900" w:type="dxa"/>
          </w:tcPr>
          <w:p>
            <w:pPr>
              <w:spacing w:before="0" w:after="20"/>
            </w:pPr>
            <w:r>
              <w:rPr>
                <w:sz w:val="17"/>
                <w:szCs w:val="17"/>
              </w:rPr>
              <w:t xml:space="preserve">Both</w:t>
            </w:r>
          </w:p>
        </w:tc>
        <w:tc>
          <w:tcPr>
            <w:tcW w:w="1800" w:type="dxa"/>
          </w:tcPr>
          <w:p>
            <w:pPr>
              <w:spacing w:before="0" w:after="20"/>
            </w:pPr>
            <w:r>
              <w:rPr>
                <w:sz w:val="17"/>
                <w:szCs w:val="17"/>
              </w:rPr>
              <w:t xml:space="preserve">This exchange</w:t>
            </w:r>
          </w:p>
        </w:tc>
      </w:tr>
      <w:tr>
        <w:tc>
          <w:tcPr>
            <w:tcW w:w="600" w:type="dxa"/>
          </w:tcPr>
          <w:p>
            <w:pPr>
              <w:spacing w:before="0" w:after="20"/>
            </w:pPr>
            <w:r>
              <w:rPr>
                <w:sz w:val="17"/>
                <w:szCs w:val="17"/>
              </w:rPr>
              <w:t xml:space="preserve">2</w:t>
            </w:r>
          </w:p>
        </w:tc>
        <w:tc>
          <w:tcPr>
            <w:tcW w:w="5400" w:type="dxa"/>
          </w:tcPr>
          <w:p>
            <w:pPr>
              <w:spacing w:before="0" w:after="20"/>
            </w:pPr>
            <w:r>
              <w:rPr>
                <w:sz w:val="17"/>
                <w:szCs w:val="17"/>
              </w:rPr>
              <w:t xml:space="preserve">Send our staging calling host</w:t>
            </w:r>
          </w:p>
        </w:tc>
        <w:tc>
          <w:tcPr>
            <w:tcW w:w="1900" w:type="dxa"/>
          </w:tcPr>
          <w:p>
            <w:pPr>
              <w:spacing w:before="0" w:after="20"/>
            </w:pPr>
            <w:r>
              <w:rPr>
                <w:sz w:val="17"/>
                <w:szCs w:val="17"/>
              </w:rPr>
              <w:t xml:space="preserve">Content Automation</w:t>
            </w:r>
          </w:p>
        </w:tc>
        <w:tc>
          <w:tcPr>
            <w:tcW w:w="1800" w:type="dxa"/>
          </w:tcPr>
          <w:p>
            <w:pPr>
              <w:spacing w:before="0" w:after="20"/>
            </w:pPr>
            <w:r>
              <w:rPr>
                <w:sz w:val="17"/>
                <w:szCs w:val="17"/>
              </w:rPr>
              <w:t xml:space="preserve">With this doc (fill §3)</w:t>
            </w:r>
          </w:p>
        </w:tc>
      </w:tr>
      <w:tr>
        <w:tc>
          <w:tcPr>
            <w:tcW w:w="600" w:type="dxa"/>
          </w:tcPr>
          <w:p>
            <w:pPr>
              <w:spacing w:before="0" w:after="20"/>
            </w:pPr>
            <w:r>
              <w:rPr>
                <w:sz w:val="17"/>
                <w:szCs w:val="17"/>
              </w:rPr>
              <w:t xml:space="preserve">3</w:t>
            </w:r>
          </w:p>
        </w:tc>
        <w:tc>
          <w:tcPr>
            <w:tcW w:w="5400" w:type="dxa"/>
          </w:tcPr>
          <w:p>
            <w:pPr>
              <w:spacing w:before="0" w:after="20"/>
            </w:pPr>
            <w:r>
              <w:rPr>
                <w:sz w:val="17"/>
                <w:szCs w:val="17"/>
              </w:rPr>
              <w:t xml:space="preserve">Build /submissions + GET + review queue + tests</w:t>
            </w:r>
          </w:p>
        </w:tc>
        <w:tc>
          <w:tcPr>
            <w:tcW w:w="1900" w:type="dxa"/>
          </w:tcPr>
          <w:p>
            <w:pPr>
              <w:spacing w:before="0" w:after="20"/>
            </w:pPr>
            <w:r>
              <w:rPr>
                <w:sz w:val="17"/>
                <w:szCs w:val="17"/>
              </w:rPr>
              <w:t xml:space="preserve">LMS</w:t>
            </w:r>
          </w:p>
        </w:tc>
        <w:tc>
          <w:tcPr>
            <w:tcW w:w="1800" w:type="dxa"/>
          </w:tcPr>
          <w:p>
            <w:pPr>
              <w:spacing w:before="0" w:after="20"/>
            </w:pPr>
            <w:r>
              <w:rPr>
                <w:sz w:val="17"/>
                <w:szCs w:val="17"/>
              </w:rPr>
              <w:t xml:space="preserve">On confirm</w:t>
            </w:r>
          </w:p>
        </w:tc>
      </w:tr>
      <w:tr>
        <w:tc>
          <w:tcPr>
            <w:tcW w:w="600" w:type="dxa"/>
          </w:tcPr>
          <w:p>
            <w:pPr>
              <w:spacing w:before="0" w:after="20"/>
            </w:pPr>
            <w:r>
              <w:rPr>
                <w:sz w:val="17"/>
                <w:szCs w:val="17"/>
              </w:rPr>
              <w:t xml:space="preserve">4</w:t>
            </w:r>
          </w:p>
        </w:tc>
        <w:tc>
          <w:tcPr>
            <w:tcW w:w="5400" w:type="dxa"/>
          </w:tcPr>
          <w:p>
            <w:pPr>
              <w:spacing w:before="0" w:after="20"/>
            </w:pPr>
            <w:r>
              <w:rPr>
                <w:sz w:val="17"/>
                <w:szCs w:val="17"/>
              </w:rPr>
              <w:t xml:space="preserve">Mint + send staging CONTENT_AUTOMATION_API_KEY</w:t>
            </w:r>
          </w:p>
        </w:tc>
        <w:tc>
          <w:tcPr>
            <w:tcW w:w="1900" w:type="dxa"/>
          </w:tcPr>
          <w:p>
            <w:pPr>
              <w:spacing w:before="0" w:after="20"/>
            </w:pPr>
            <w:r>
              <w:rPr>
                <w:sz w:val="17"/>
                <w:szCs w:val="17"/>
              </w:rPr>
              <w:t xml:space="preserve">LMS</w:t>
            </w:r>
          </w:p>
        </w:tc>
        <w:tc>
          <w:tcPr>
            <w:tcW w:w="1800" w:type="dxa"/>
          </w:tcPr>
          <w:p>
            <w:pPr>
              <w:spacing w:before="0" w:after="20"/>
            </w:pPr>
            <w:r>
              <w:rPr>
                <w:sz w:val="17"/>
                <w:szCs w:val="17"/>
              </w:rPr>
              <w:t xml:space="preserve">Same day host arrives</w:t>
            </w:r>
          </w:p>
        </w:tc>
      </w:tr>
      <w:tr>
        <w:tc>
          <w:tcPr>
            <w:tcW w:w="600" w:type="dxa"/>
          </w:tcPr>
          <w:p>
            <w:pPr>
              <w:spacing w:before="0" w:after="20"/>
            </w:pPr>
            <w:r>
              <w:rPr>
                <w:sz w:val="17"/>
                <w:szCs w:val="17"/>
              </w:rPr>
              <w:t xml:space="preserve">5</w:t>
            </w:r>
          </w:p>
        </w:tc>
        <w:tc>
          <w:tcPr>
            <w:tcW w:w="5400" w:type="dxa"/>
          </w:tcPr>
          <w:p>
            <w:pPr>
              <w:spacing w:before="0" w:after="20"/>
            </w:pPr>
            <w:r>
              <w:rPr>
                <w:sz w:val="17"/>
                <w:szCs w:val="17"/>
              </w:rPr>
              <w:t xml:space="preserve">Live module list incl. the 11th code + title</w:t>
            </w:r>
          </w:p>
        </w:tc>
        <w:tc>
          <w:tcPr>
            <w:tcW w:w="1900" w:type="dxa"/>
          </w:tcPr>
          <w:p>
            <w:pPr>
              <w:spacing w:before="0" w:after="20"/>
            </w:pPr>
            <w:r>
              <w:rPr>
                <w:sz w:val="17"/>
                <w:szCs w:val="17"/>
              </w:rPr>
              <w:t xml:space="preserve">LMS</w:t>
            </w:r>
          </w:p>
        </w:tc>
        <w:tc>
          <w:tcPr>
            <w:tcW w:w="1800" w:type="dxa"/>
          </w:tcPr>
          <w:p>
            <w:pPr>
              <w:spacing w:before="0" w:after="20"/>
            </w:pPr>
            <w:r>
              <w:rPr>
                <w:sz w:val="17"/>
                <w:szCs w:val="17"/>
              </w:rPr>
              <w:t xml:space="preserve">With the build</w:t>
            </w:r>
          </w:p>
        </w:tc>
      </w:tr>
      <w:tr>
        <w:tc>
          <w:tcPr>
            <w:tcW w:w="600" w:type="dxa"/>
          </w:tcPr>
          <w:p>
            <w:pPr>
              <w:spacing w:before="0" w:after="20"/>
            </w:pPr>
            <w:r>
              <w:rPr>
                <w:sz w:val="17"/>
                <w:szCs w:val="17"/>
              </w:rPr>
              <w:t xml:space="preserve">6</w:t>
            </w:r>
          </w:p>
        </w:tc>
        <w:tc>
          <w:tcPr>
            <w:tcW w:w="5400" w:type="dxa"/>
          </w:tcPr>
          <w:p>
            <w:pPr>
              <w:spacing w:before="0" w:after="20"/>
            </w:pPr>
            <w:r>
              <w:rPr>
                <w:sz w:val="17"/>
                <w:szCs w:val="17"/>
              </w:rPr>
              <w:t xml:space="preserve">Mapping decision (we hold map vs you add topics table)</w:t>
            </w:r>
          </w:p>
        </w:tc>
        <w:tc>
          <w:tcPr>
            <w:tcW w:w="1900" w:type="dxa"/>
          </w:tcPr>
          <w:p>
            <w:pPr>
              <w:spacing w:before="0" w:after="20"/>
            </w:pPr>
            <w:r>
              <w:rPr>
                <w:sz w:val="17"/>
                <w:szCs w:val="17"/>
              </w:rPr>
              <w:t xml:space="preserve">Both</w:t>
            </w:r>
          </w:p>
        </w:tc>
        <w:tc>
          <w:tcPr>
            <w:tcW w:w="1800" w:type="dxa"/>
          </w:tcPr>
          <w:p>
            <w:pPr>
              <w:spacing w:before="0" w:after="20"/>
            </w:pPr>
            <w:r>
              <w:rPr>
                <w:sz w:val="17"/>
                <w:szCs w:val="17"/>
              </w:rPr>
              <w:t xml:space="preserve">With the build</w:t>
            </w:r>
          </w:p>
        </w:tc>
      </w:tr>
      <w:tr>
        <w:tc>
          <w:tcPr>
            <w:tcW w:w="600" w:type="dxa"/>
          </w:tcPr>
          <w:p>
            <w:pPr>
              <w:spacing w:before="0" w:after="20"/>
            </w:pPr>
            <w:r>
              <w:rPr>
                <w:sz w:val="17"/>
                <w:szCs w:val="17"/>
              </w:rPr>
              <w:t xml:space="preserve">7</w:t>
            </w:r>
          </w:p>
        </w:tc>
        <w:tc>
          <w:tcPr>
            <w:tcW w:w="5400" w:type="dxa"/>
          </w:tcPr>
          <w:p>
            <w:pPr>
              <w:spacing w:before="0" w:after="20"/>
            </w:pPr>
            <w:r>
              <w:rPr>
                <w:sz w:val="17"/>
                <w:szCs w:val="17"/>
              </w:rPr>
              <w:t xml:space="preserve">Poll vs callback for read-back</w:t>
            </w:r>
          </w:p>
        </w:tc>
        <w:tc>
          <w:tcPr>
            <w:tcW w:w="1900" w:type="dxa"/>
          </w:tcPr>
          <w:p>
            <w:pPr>
              <w:spacing w:before="0" w:after="20"/>
            </w:pPr>
            <w:r>
              <w:rPr>
                <w:sz w:val="17"/>
                <w:szCs w:val="17"/>
              </w:rPr>
              <w:t xml:space="preserve">Both</w:t>
            </w:r>
          </w:p>
        </w:tc>
        <w:tc>
          <w:tcPr>
            <w:tcW w:w="1800" w:type="dxa"/>
          </w:tcPr>
          <w:p>
            <w:pPr>
              <w:spacing w:before="0" w:after="20"/>
            </w:pPr>
            <w:r>
              <w:rPr>
                <w:sz w:val="17"/>
                <w:szCs w:val="17"/>
              </w:rPr>
              <w:t xml:space="preserve">Non-blocking</w:t>
            </w:r>
          </w:p>
        </w:tc>
      </w:tr>
      <w:tr>
        <w:tc>
          <w:tcPr>
            <w:tcW w:w="600" w:type="dxa"/>
          </w:tcPr>
          <w:p>
            <w:pPr>
              <w:spacing w:before="0" w:after="20"/>
            </w:pPr>
            <w:r>
              <w:rPr>
                <w:sz w:val="17"/>
                <w:szCs w:val="17"/>
              </w:rPr>
              <w:t xml:space="preserve">8</w:t>
            </w:r>
          </w:p>
        </w:tc>
        <w:tc>
          <w:tcPr>
            <w:tcW w:w="5400" w:type="dxa"/>
          </w:tcPr>
          <w:p>
            <w:pPr>
              <w:spacing w:before="0" w:after="20"/>
            </w:pPr>
            <w:r>
              <w:rPr>
                <w:sz w:val="17"/>
                <w:szCs w:val="17"/>
              </w:rPr>
              <w:t xml:space="preserve">Joint staging sample, end to end</w:t>
            </w:r>
          </w:p>
        </w:tc>
        <w:tc>
          <w:tcPr>
            <w:tcW w:w="1900" w:type="dxa"/>
          </w:tcPr>
          <w:p>
            <w:pPr>
              <w:spacing w:before="0" w:after="20"/>
            </w:pPr>
            <w:r>
              <w:rPr>
                <w:sz w:val="17"/>
                <w:szCs w:val="17"/>
              </w:rPr>
              <w:t xml:space="preserve">Both</w:t>
            </w:r>
          </w:p>
        </w:tc>
        <w:tc>
          <w:tcPr>
            <w:tcW w:w="1800" w:type="dxa"/>
          </w:tcPr>
          <w:p>
            <w:pPr>
              <w:spacing w:before="0" w:after="20"/>
            </w:pPr>
            <w:r>
              <w:rPr>
                <w:sz w:val="17"/>
                <w:szCs w:val="17"/>
              </w:rPr>
              <w:t xml:space="preserve">With the key</w:t>
            </w:r>
          </w:p>
        </w:tc>
      </w:tr>
      <w:tr>
        <w:tc>
          <w:tcPr>
            <w:tcW w:w="600" w:type="dxa"/>
          </w:tcPr>
          <w:p>
            <w:pPr>
              <w:spacing w:before="0" w:after="20"/>
            </w:pPr>
            <w:r>
              <w:rPr>
                <w:sz w:val="17"/>
                <w:szCs w:val="17"/>
              </w:rPr>
              <w:t xml:space="preserve">9</w:t>
            </w:r>
          </w:p>
        </w:tc>
        <w:tc>
          <w:tcPr>
            <w:tcW w:w="5400" w:type="dxa"/>
          </w:tcPr>
          <w:p>
            <w:pPr>
              <w:spacing w:before="0" w:after="20"/>
            </w:pPr>
            <w:r>
              <w:rPr>
                <w:sz w:val="17"/>
                <w:szCs w:val="17"/>
              </w:rPr>
              <w:t xml:space="preserve">WAF rule scoped so the web host is usable too</w:t>
            </w:r>
          </w:p>
        </w:tc>
        <w:tc>
          <w:tcPr>
            <w:tcW w:w="1900" w:type="dxa"/>
          </w:tcPr>
          <w:p>
            <w:pPr>
              <w:spacing w:before="0" w:after="20"/>
            </w:pPr>
            <w:r>
              <w:rPr>
                <w:sz w:val="17"/>
                <w:szCs w:val="17"/>
              </w:rPr>
              <w:t xml:space="preserve">LMS</w:t>
            </w:r>
          </w:p>
        </w:tc>
        <w:tc>
          <w:tcPr>
            <w:tcW w:w="1800" w:type="dxa"/>
          </w:tcPr>
          <w:p>
            <w:pPr>
              <w:spacing w:before="0" w:after="20"/>
            </w:pPr>
            <w:r>
              <w:rPr>
                <w:sz w:val="17"/>
                <w:szCs w:val="17"/>
              </w:rPr>
              <w:t xml:space="preserve">Not blocking</w:t>
            </w:r>
          </w:p>
        </w:tc>
      </w:tr>
    </w:tbl>
    <w:p>
      <w:pPr>
        <w:spacing w:before="260" w:after="120"/>
      </w:pPr>
      <w:r>
        <w:rPr>
          <w:sz w:val="15"/>
          <w:szCs w:val="15"/>
          <w:color w:val="7C736B"/>
        </w:rPr>
        <w:t xml:space="preserve">Content Automation stage · aroma.tahir@taleemabad.com. Code citations are from the Orenda-Project/Taleemabad-University repo as read on 2026-08-10. One thing to fill before sending: the staging calling host in §3.</w:t>
      </w:r>
    </w:p>
    <w:sectPr>
      <w:pgSz w:w="11906" w:h="16838"/>
      <w:pgMar w:top="1134" w:right="1134" w:bottom="1134" w:left="1134" w:header="708" w:footer="708" w:gutter="0"/>
    </w:sectPr>
  </w:body>
</w:document>
</file>