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8395" w14:textId="77777777" w:rsidR="00790310" w:rsidRPr="00790310" w:rsidRDefault="00790310" w:rsidP="00790310">
      <w:pPr>
        <w:ind w:hanging="42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90310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Risk Assessment</w:t>
      </w:r>
    </w:p>
    <w:p w14:paraId="3217AAB9" w14:textId="3433FE38" w:rsidR="00D57108" w:rsidRPr="00790310" w:rsidRDefault="00C3708E" w:rsidP="00C3708E">
      <w:pPr>
        <w:ind w:hanging="426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0310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and Technology Risk Assessment</w:t>
      </w:r>
    </w:p>
    <w:tbl>
      <w:tblPr>
        <w:tblStyle w:val="TableGrid"/>
        <w:tblW w:w="10162" w:type="dxa"/>
        <w:tblInd w:w="-459" w:type="dxa"/>
        <w:tblLook w:val="04A0" w:firstRow="1" w:lastRow="0" w:firstColumn="1" w:lastColumn="0" w:noHBand="0" w:noVBand="1"/>
      </w:tblPr>
      <w:tblGrid>
        <w:gridCol w:w="1761"/>
        <w:gridCol w:w="4200"/>
        <w:gridCol w:w="4201"/>
      </w:tblGrid>
      <w:tr w:rsidR="00C3708E" w:rsidRPr="00790310" w14:paraId="3C781252" w14:textId="77777777" w:rsidTr="00790310">
        <w:trPr>
          <w:trHeight w:val="526"/>
        </w:trPr>
        <w:tc>
          <w:tcPr>
            <w:tcW w:w="1761" w:type="dxa"/>
          </w:tcPr>
          <w:p w14:paraId="63BFFF13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90310">
              <w:rPr>
                <w:rFonts w:ascii="Times New Roman" w:hAnsi="Times New Roman" w:cs="Times New Roman"/>
                <w:b/>
                <w:sz w:val="22"/>
                <w:szCs w:val="22"/>
              </w:rPr>
              <w:t>Risk Area</w:t>
            </w:r>
          </w:p>
        </w:tc>
        <w:tc>
          <w:tcPr>
            <w:tcW w:w="4200" w:type="dxa"/>
          </w:tcPr>
          <w:p w14:paraId="57A97882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hAnsi="Times New Roman" w:cs="Times New Roman"/>
                <w:b/>
                <w:sz w:val="22"/>
                <w:szCs w:val="22"/>
              </w:rPr>
              <w:t>Risk Definition</w:t>
            </w:r>
          </w:p>
        </w:tc>
        <w:tc>
          <w:tcPr>
            <w:tcW w:w="4201" w:type="dxa"/>
          </w:tcPr>
          <w:p w14:paraId="1B80EFB1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90310">
              <w:rPr>
                <w:rFonts w:ascii="Times New Roman" w:hAnsi="Times New Roman" w:cs="Times New Roman"/>
                <w:b/>
                <w:sz w:val="22"/>
                <w:szCs w:val="22"/>
              </w:rPr>
              <w:t>Proposed Mitigation Strategy</w:t>
            </w:r>
          </w:p>
        </w:tc>
      </w:tr>
      <w:tr w:rsidR="00C3708E" w:rsidRPr="00790310" w14:paraId="5A590F78" w14:textId="77777777" w:rsidTr="00790310">
        <w:trPr>
          <w:trHeight w:val="1454"/>
        </w:trPr>
        <w:tc>
          <w:tcPr>
            <w:tcW w:w="1761" w:type="dxa"/>
          </w:tcPr>
          <w:p w14:paraId="6563B665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hAnsi="Times New Roman" w:cs="Times New Roman"/>
                <w:sz w:val="22"/>
                <w:szCs w:val="22"/>
              </w:rPr>
              <w:t>Data sources</w:t>
            </w:r>
          </w:p>
        </w:tc>
        <w:tc>
          <w:tcPr>
            <w:tcW w:w="4200" w:type="dxa"/>
          </w:tcPr>
          <w:p w14:paraId="3D591C08" w14:textId="77777777" w:rsidR="00C3708E" w:rsidRPr="00790310" w:rsidRDefault="00C3708E" w:rsidP="00C86957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If we don’t have reliable, high-quality satellite data, our AI model won’t be able to predict space debris accurately.</w:t>
            </w:r>
          </w:p>
        </w:tc>
        <w:tc>
          <w:tcPr>
            <w:tcW w:w="4201" w:type="dxa"/>
          </w:tcPr>
          <w:p w14:paraId="1E95227E" w14:textId="77777777" w:rsidR="00C3708E" w:rsidRPr="00790310" w:rsidRDefault="00C3708E" w:rsidP="00C86957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Build strong partnerships with space agencies (NASA, ESA, ISRO) and private satellite operators. Set up backup data sources to ensure continuous data flow.</w:t>
            </w:r>
          </w:p>
        </w:tc>
      </w:tr>
      <w:tr w:rsidR="00C3708E" w:rsidRPr="00790310" w14:paraId="555C229D" w14:textId="77777777" w:rsidTr="00790310">
        <w:trPr>
          <w:trHeight w:val="1508"/>
        </w:trPr>
        <w:tc>
          <w:tcPr>
            <w:tcW w:w="1761" w:type="dxa"/>
          </w:tcPr>
          <w:p w14:paraId="25B34450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hAnsi="Times New Roman" w:cs="Times New Roman"/>
                <w:sz w:val="22"/>
                <w:szCs w:val="22"/>
              </w:rPr>
              <w:t>Privacy concerns</w:t>
            </w:r>
          </w:p>
        </w:tc>
        <w:tc>
          <w:tcPr>
            <w:tcW w:w="4200" w:type="dxa"/>
          </w:tcPr>
          <w:p w14:paraId="6950831B" w14:textId="77777777" w:rsidR="00C3708E" w:rsidRPr="00790310" w:rsidRDefault="00C3708E" w:rsidP="00C86957">
            <w:pPr>
              <w:shd w:val="clear" w:color="auto" w:fill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If we don’t comply with privacy regulations (GDPR, CCPA) or space governance policies, we could face legal and ethical issues</w:t>
            </w:r>
          </w:p>
        </w:tc>
        <w:tc>
          <w:tcPr>
            <w:tcW w:w="4201" w:type="dxa"/>
          </w:tcPr>
          <w:p w14:paraId="50C29F0A" w14:textId="77777777" w:rsidR="00C3708E" w:rsidRPr="00790310" w:rsidRDefault="00C3708E" w:rsidP="00C86957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Implement strict data governance, anonymize sensitive data, and ensure compliance with international laws. Work closely with legal experts and regulators.</w:t>
            </w:r>
          </w:p>
        </w:tc>
      </w:tr>
      <w:tr w:rsidR="00C3708E" w:rsidRPr="00790310" w14:paraId="232138BE" w14:textId="77777777" w:rsidTr="00790310">
        <w:trPr>
          <w:trHeight w:val="1185"/>
        </w:trPr>
        <w:tc>
          <w:tcPr>
            <w:tcW w:w="1761" w:type="dxa"/>
          </w:tcPr>
          <w:p w14:paraId="4AA8D506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hAnsi="Times New Roman" w:cs="Times New Roman"/>
                <w:sz w:val="22"/>
                <w:szCs w:val="22"/>
              </w:rPr>
              <w:t>Data format</w:t>
            </w:r>
          </w:p>
        </w:tc>
        <w:tc>
          <w:tcPr>
            <w:tcW w:w="4200" w:type="dxa"/>
            <w:vAlign w:val="center"/>
          </w:tcPr>
          <w:p w14:paraId="4A0127E9" w14:textId="77777777" w:rsidR="00C3708E" w:rsidRPr="00790310" w:rsidRDefault="00C3708E" w:rsidP="00C86957">
            <w:pPr>
              <w:shd w:val="clear" w:color="auto" w:fill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 xml:space="preserve">Different data sources might use inconsistent formats, making it harder for our AI to process and </w:t>
            </w:r>
            <w:proofErr w:type="spellStart"/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analyze</w:t>
            </w:r>
            <w:proofErr w:type="spellEnd"/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 xml:space="preserve"> information correctly.</w:t>
            </w:r>
          </w:p>
        </w:tc>
        <w:tc>
          <w:tcPr>
            <w:tcW w:w="4201" w:type="dxa"/>
            <w:vAlign w:val="center"/>
          </w:tcPr>
          <w:p w14:paraId="29650298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Develop automated data pipelines that clean, standardize, and organize incoming data before analysis.</w:t>
            </w:r>
          </w:p>
        </w:tc>
      </w:tr>
      <w:tr w:rsidR="00C3708E" w:rsidRPr="00790310" w14:paraId="2FD16018" w14:textId="77777777" w:rsidTr="00790310">
        <w:trPr>
          <w:trHeight w:val="1185"/>
        </w:trPr>
        <w:tc>
          <w:tcPr>
            <w:tcW w:w="1761" w:type="dxa"/>
          </w:tcPr>
          <w:p w14:paraId="4C8A9B5A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hAnsi="Times New Roman" w:cs="Times New Roman"/>
                <w:sz w:val="22"/>
                <w:szCs w:val="22"/>
              </w:rPr>
              <w:t>Data analysis</w:t>
            </w:r>
          </w:p>
        </w:tc>
        <w:tc>
          <w:tcPr>
            <w:tcW w:w="4200" w:type="dxa"/>
            <w:vAlign w:val="center"/>
          </w:tcPr>
          <w:p w14:paraId="7C76ACB9" w14:textId="77777777" w:rsidR="00C3708E" w:rsidRPr="00790310" w:rsidRDefault="00C3708E" w:rsidP="00C86957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If our AI model isn’t trained on high-quality data, it could produce inaccurate or misleading predictions.</w:t>
            </w:r>
          </w:p>
        </w:tc>
        <w:tc>
          <w:tcPr>
            <w:tcW w:w="4201" w:type="dxa"/>
            <w:vAlign w:val="center"/>
          </w:tcPr>
          <w:p w14:paraId="6FCD3E06" w14:textId="77777777" w:rsidR="00C3708E" w:rsidRPr="00790310" w:rsidRDefault="00C3708E" w:rsidP="00C86957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Continuously refine and test AI models using high-quality datasets. Validate results with expert feedback to improve accuracy.</w:t>
            </w:r>
          </w:p>
        </w:tc>
      </w:tr>
      <w:tr w:rsidR="00C3708E" w:rsidRPr="00790310" w14:paraId="1E6B9065" w14:textId="77777777" w:rsidTr="00790310">
        <w:trPr>
          <w:trHeight w:val="1173"/>
        </w:trPr>
        <w:tc>
          <w:tcPr>
            <w:tcW w:w="1761" w:type="dxa"/>
          </w:tcPr>
          <w:p w14:paraId="0E605290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hAnsi="Times New Roman" w:cs="Times New Roman"/>
                <w:sz w:val="22"/>
                <w:szCs w:val="22"/>
              </w:rPr>
              <w:t>Insights</w:t>
            </w:r>
          </w:p>
        </w:tc>
        <w:tc>
          <w:tcPr>
            <w:tcW w:w="4200" w:type="dxa"/>
            <w:vAlign w:val="center"/>
          </w:tcPr>
          <w:p w14:paraId="204C09A0" w14:textId="77777777" w:rsidR="00C3708E" w:rsidRPr="00790310" w:rsidRDefault="00C3708E" w:rsidP="00C86957">
            <w:pPr>
              <w:shd w:val="clear" w:color="auto" w:fill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If our AI-generated insights aren’t clear or useful, satellite operators may struggle to make informed decisions.</w:t>
            </w:r>
          </w:p>
        </w:tc>
        <w:tc>
          <w:tcPr>
            <w:tcW w:w="4201" w:type="dxa"/>
            <w:vAlign w:val="center"/>
          </w:tcPr>
          <w:p w14:paraId="2019F227" w14:textId="77777777" w:rsidR="00C3708E" w:rsidRPr="00790310" w:rsidRDefault="00C3708E" w:rsidP="00C86957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Work closely with industry experts to ensure insights are practical and easy to understand. Provide training sessions for users.</w:t>
            </w:r>
          </w:p>
        </w:tc>
      </w:tr>
      <w:tr w:rsidR="00C3708E" w:rsidRPr="00790310" w14:paraId="6FD11422" w14:textId="77777777" w:rsidTr="00790310">
        <w:trPr>
          <w:trHeight w:val="1185"/>
        </w:trPr>
        <w:tc>
          <w:tcPr>
            <w:tcW w:w="1761" w:type="dxa"/>
          </w:tcPr>
          <w:p w14:paraId="1F8F3E72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hAnsi="Times New Roman" w:cs="Times New Roman"/>
                <w:sz w:val="22"/>
                <w:szCs w:val="22"/>
              </w:rPr>
              <w:t>Model replication</w:t>
            </w:r>
          </w:p>
        </w:tc>
        <w:tc>
          <w:tcPr>
            <w:tcW w:w="4200" w:type="dxa"/>
            <w:vAlign w:val="center"/>
          </w:tcPr>
          <w:p w14:paraId="555B6764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If our AI model produces inconsistent results, users may lose trust in its predictions.</w:t>
            </w:r>
          </w:p>
        </w:tc>
        <w:tc>
          <w:tcPr>
            <w:tcW w:w="4201" w:type="dxa"/>
            <w:vAlign w:val="center"/>
          </w:tcPr>
          <w:p w14:paraId="2E9A4836" w14:textId="77777777" w:rsidR="00C3708E" w:rsidRPr="00790310" w:rsidRDefault="00C3708E" w:rsidP="00C86957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Maintain clear documentation, use version control, and conduct regular performance testing to ensure reliability.</w:t>
            </w:r>
          </w:p>
        </w:tc>
      </w:tr>
      <w:tr w:rsidR="00C3708E" w:rsidRPr="00790310" w14:paraId="0412D8EA" w14:textId="77777777" w:rsidTr="00790310">
        <w:trPr>
          <w:trHeight w:val="1185"/>
        </w:trPr>
        <w:tc>
          <w:tcPr>
            <w:tcW w:w="1761" w:type="dxa"/>
          </w:tcPr>
          <w:p w14:paraId="42FE585C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hAnsi="Times New Roman" w:cs="Times New Roman"/>
                <w:sz w:val="22"/>
                <w:szCs w:val="22"/>
              </w:rPr>
              <w:t>Data infrastructure</w:t>
            </w:r>
          </w:p>
        </w:tc>
        <w:tc>
          <w:tcPr>
            <w:tcW w:w="4200" w:type="dxa"/>
            <w:vAlign w:val="center"/>
          </w:tcPr>
          <w:p w14:paraId="32908C93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If our platform can’t handle large amounts of real-time satellite data, it may struggle to scale effectively.</w:t>
            </w:r>
          </w:p>
        </w:tc>
        <w:tc>
          <w:tcPr>
            <w:tcW w:w="4201" w:type="dxa"/>
            <w:vAlign w:val="center"/>
          </w:tcPr>
          <w:p w14:paraId="6E6DC45B" w14:textId="77777777" w:rsidR="00C3708E" w:rsidRPr="00790310" w:rsidRDefault="00C3708E" w:rsidP="00C86957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Utilize cloud-based computing to manage large datasets efficiently. Optimize storage and processing frameworks for scalability.</w:t>
            </w:r>
          </w:p>
        </w:tc>
      </w:tr>
      <w:tr w:rsidR="00C3708E" w:rsidRPr="00790310" w14:paraId="6F50D3B7" w14:textId="77777777" w:rsidTr="00790310">
        <w:trPr>
          <w:trHeight w:val="1508"/>
        </w:trPr>
        <w:tc>
          <w:tcPr>
            <w:tcW w:w="1761" w:type="dxa"/>
          </w:tcPr>
          <w:p w14:paraId="6218343D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90310">
              <w:rPr>
                <w:rFonts w:ascii="Times New Roman" w:hAnsi="Times New Roman" w:cs="Times New Roman"/>
                <w:sz w:val="22"/>
                <w:szCs w:val="22"/>
              </w:rPr>
              <w:t>Partnerships and synergies</w:t>
            </w:r>
          </w:p>
        </w:tc>
        <w:tc>
          <w:tcPr>
            <w:tcW w:w="4200" w:type="dxa"/>
            <w:vAlign w:val="center"/>
          </w:tcPr>
          <w:p w14:paraId="559900F2" w14:textId="77777777" w:rsidR="00C3708E" w:rsidRPr="00790310" w:rsidRDefault="00C3708E" w:rsidP="00C86957">
            <w:pPr>
              <w:shd w:val="clear" w:color="auto" w:fill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If we don’t maintain strong relationships with space agencies, aerospace companies, and regulatory bodies, we might lose access to crucial support and data.</w:t>
            </w:r>
          </w:p>
        </w:tc>
        <w:tc>
          <w:tcPr>
            <w:tcW w:w="4201" w:type="dxa"/>
            <w:vAlign w:val="center"/>
          </w:tcPr>
          <w:p w14:paraId="69C61642" w14:textId="77777777" w:rsidR="00C3708E" w:rsidRPr="00790310" w:rsidRDefault="00C3708E" w:rsidP="00C86957">
            <w:pPr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90310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IN" w:eastAsia="en-IN"/>
              </w:rPr>
              <w:t>Actively engage with partners, establish long-term collaborations, and participate in industry events. Create clear agreements and work on joint research projects.</w:t>
            </w:r>
          </w:p>
        </w:tc>
      </w:tr>
    </w:tbl>
    <w:p w14:paraId="1D33B553" w14:textId="77777777" w:rsidR="00C3708E" w:rsidRPr="00790310" w:rsidRDefault="00C3708E">
      <w:pPr>
        <w:rPr>
          <w:rFonts w:ascii="Times New Roman" w:hAnsi="Times New Roman" w:cs="Times New Roman"/>
          <w:b/>
          <w:bCs/>
          <w:lang w:val="en-IN"/>
        </w:rPr>
      </w:pPr>
    </w:p>
    <w:sectPr w:rsidR="00C3708E" w:rsidRPr="00790310" w:rsidSect="0079031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8E"/>
    <w:rsid w:val="004243A2"/>
    <w:rsid w:val="00790310"/>
    <w:rsid w:val="00A81D45"/>
    <w:rsid w:val="00B744E3"/>
    <w:rsid w:val="00C3708E"/>
    <w:rsid w:val="00D5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1E4CC"/>
  <w15:chartTrackingRefBased/>
  <w15:docId w15:val="{88E44D8F-1D72-4DD8-AE2E-F05E9FCD0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08E"/>
    <w:pPr>
      <w:shd w:val="clear" w:color="auto" w:fill="FFFFFF"/>
      <w:spacing w:after="200" w:line="312" w:lineRule="auto"/>
    </w:pPr>
    <w:rPr>
      <w:rFonts w:ascii="Montserrat" w:eastAsia="Montserrat" w:hAnsi="Montserrat" w:cs="Montserrat"/>
      <w:color w:val="222222"/>
      <w:kern w:val="0"/>
      <w:sz w:val="20"/>
      <w:szCs w:val="2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08E"/>
    <w:pPr>
      <w:keepNext/>
      <w:keepLines/>
      <w:shd w:val="clear" w:color="auto" w:fill="auto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08E"/>
    <w:pPr>
      <w:keepNext/>
      <w:keepLines/>
      <w:shd w:val="clear" w:color="auto" w:fill="auto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08E"/>
    <w:pPr>
      <w:keepNext/>
      <w:keepLines/>
      <w:shd w:val="clear" w:color="auto" w:fill="auto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08E"/>
    <w:pPr>
      <w:keepNext/>
      <w:keepLines/>
      <w:shd w:val="clear" w:color="auto" w:fill="auto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08E"/>
    <w:pPr>
      <w:keepNext/>
      <w:keepLines/>
      <w:shd w:val="clear" w:color="auto" w:fill="auto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08E"/>
    <w:pPr>
      <w:keepNext/>
      <w:keepLines/>
      <w:shd w:val="clear" w:color="auto" w:fill="auto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08E"/>
    <w:pPr>
      <w:keepNext/>
      <w:keepLines/>
      <w:shd w:val="clear" w:color="auto" w:fill="auto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08E"/>
    <w:pPr>
      <w:keepNext/>
      <w:keepLines/>
      <w:shd w:val="clear" w:color="auto" w:fill="auto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08E"/>
    <w:pPr>
      <w:keepNext/>
      <w:keepLines/>
      <w:shd w:val="clear" w:color="auto" w:fill="auto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08E"/>
    <w:pPr>
      <w:shd w:val="clear" w:color="auto" w:fill="auto"/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08E"/>
    <w:pPr>
      <w:numPr>
        <w:ilvl w:val="1"/>
      </w:numPr>
      <w:shd w:val="clear" w:color="auto" w:fill="auto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08E"/>
    <w:pPr>
      <w:shd w:val="clear" w:color="auto" w:fill="auto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7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08E"/>
    <w:pPr>
      <w:shd w:val="clear" w:color="auto" w:fill="auto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7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hd w:val="clear" w:color="auto" w:fill="auto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0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708E"/>
    <w:pPr>
      <w:shd w:val="clear" w:color="auto" w:fill="FFFFFF"/>
      <w:spacing w:after="0" w:line="240" w:lineRule="auto"/>
    </w:pPr>
    <w:rPr>
      <w:rFonts w:ascii="Montserrat" w:eastAsia="Montserrat" w:hAnsi="Montserrat" w:cs="Montserrat"/>
      <w:color w:val="222222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J U</dc:creator>
  <cp:keywords/>
  <dc:description/>
  <cp:lastModifiedBy>Raja lakshmi Ramasubbu</cp:lastModifiedBy>
  <cp:revision>2</cp:revision>
  <dcterms:created xsi:type="dcterms:W3CDTF">2025-01-30T20:02:00Z</dcterms:created>
  <dcterms:modified xsi:type="dcterms:W3CDTF">2025-02-11T04:08:00Z</dcterms:modified>
</cp:coreProperties>
</file>