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Bibliografía priorizada</w:t>
      </w:r>
    </w:p>
    <w:p>
      <w:pPr>
        <w:spacing w:after="200"/>
      </w:pPr>
      <w:r>
        <w:rPr>
          <w:color w:val="555555"/>
          <w:sz w:val="26"/>
          <w:szCs w:val="26"/>
        </w:rPr>
        <w:t xml:space="preserve">Viajes presidenciales como indicador de política exterior en Sudamérica</w:t>
      </w:r>
    </w:p>
    <w:p>
      <w:pPr>
        <w:spacing w:after="120"/>
      </w:pPr>
      <w:r>
        <w:rPr>
          <w:sz w:val="20"/>
          <w:szCs w:val="20"/>
        </w:rPr>
        <w:t xml:space="preserve">Esta es la bibliografía de la carpeta Bib del proyecto, ordenada en 4 niveles de prioridad de lectura según qué tan directamente aportan al proyecto de base de viajes presidenciales sudamericanos (1994-2025) cruzada contra el dataset COLT. Primero hay una tabla resumen para ir tildando a medida que leés, y después el detalle de cada texto con su cita completa y un resumen de 2-4 oraciones.</w:t>
      </w:r>
    </w:p>
    <w:p>
      <w:pPr>
        <w:spacing w:after="200" w:before="100"/>
      </w:pPr>
      <w:r>
        <w:rPr>
          <w:i/>
          <w:iCs/>
          <w:color w:val="555555"/>
          <w:sz w:val="18"/>
          <w:szCs w:val="18"/>
        </w:rPr>
        <w:t xml:space="preserve">Nivel 1 = leer primero (núcleo metodológico/conceptual)  ·  Nivel 2 = presidencialización de la PE en Sudamérica  ·  Nivel 3 = casos y coyunturas de tu propia base  ·  Nivel 4 = consulta puntual, no urgente.</w:t>
      </w:r>
    </w:p>
    <w:p>
      <w:pPr>
        <w:pStyle w:val="Heading1"/>
        <w:spacing w:after="160" w:before="200"/>
      </w:pPr>
      <w:r>
        <w:t xml:space="preserve">Índice de lectura</w:t>
      </w:r>
    </w:p>
    <w:tbl>
      <w:tblPr>
        <w:tblW w:type="dxa" w:w="9526"/>
        <w:tblBorders>
          <w:top w:val="single" w:color="999999" w:sz="2"/>
          <w:left w:val="single" w:color="999999" w:sz="2"/>
          <w:bottom w:val="single" w:color="999999" w:sz="2"/>
          <w:right w:val="single" w:color="999999" w:sz="2"/>
          <w:insideH w:val="single" w:color="CCCCCC" w:sz="2"/>
          <w:insideV w:val="single" w:color="CCCCCC" w:sz="2"/>
        </w:tblBorders>
      </w:tblPr>
      <w:tblGrid>
        <w:gridCol w:w="1300"/>
        <w:gridCol w:w="3000"/>
        <w:gridCol w:w="4326"/>
        <w:gridCol w:w="900"/>
      </w:tblGrid>
      <w:tr>
        <w:trPr>
          <w:cantSplit/>
          <w:tblHeader/>
        </w:trPr>
        <w:tc>
          <w:tcPr>
            <w:tcW w:type="dxa" w:w="1300"/>
            <w:shd w:fill="404040" w:color="auto" w:val="clear"/>
            <w:tcMar>
              <w:top w:type="dxa" w:w="80"/>
              <w:left w:type="dxa" w:w="100"/>
              <w:bottom w:type="dxa" w:w="80"/>
              <w:right w:type="dxa" w:w="100"/>
            </w:tcMar>
          </w:tcPr>
          <w:p>
            <w:pPr>
              <w:jc w:val="left"/>
            </w:pPr>
            <w:r>
              <w:rPr>
                <w:b/>
                <w:bCs/>
                <w:color w:val="FFFFFF"/>
                <w:sz w:val="20"/>
                <w:szCs w:val="20"/>
              </w:rPr>
              <w:t xml:space="preserve">Nivel</w:t>
            </w:r>
          </w:p>
        </w:tc>
        <w:tc>
          <w:tcPr>
            <w:tcW w:type="dxa" w:w="3000"/>
            <w:shd w:fill="404040" w:color="auto" w:val="clear"/>
            <w:tcMar>
              <w:top w:type="dxa" w:w="80"/>
              <w:left w:type="dxa" w:w="100"/>
              <w:bottom w:type="dxa" w:w="80"/>
              <w:right w:type="dxa" w:w="100"/>
            </w:tcMar>
          </w:tcPr>
          <w:p>
            <w:pPr>
              <w:jc w:val="left"/>
            </w:pPr>
            <w:r>
              <w:rPr>
                <w:b/>
                <w:bCs/>
                <w:color w:val="FFFFFF"/>
                <w:sz w:val="20"/>
                <w:szCs w:val="20"/>
              </w:rPr>
              <w:t xml:space="preserve">Referencia</w:t>
            </w:r>
          </w:p>
        </w:tc>
        <w:tc>
          <w:tcPr>
            <w:tcW w:type="dxa" w:w="4326"/>
            <w:shd w:fill="404040" w:color="auto" w:val="clear"/>
            <w:tcMar>
              <w:top w:type="dxa" w:w="80"/>
              <w:left w:type="dxa" w:w="100"/>
              <w:bottom w:type="dxa" w:w="80"/>
              <w:right w:type="dxa" w:w="100"/>
            </w:tcMar>
          </w:tcPr>
          <w:p>
            <w:pPr>
              <w:jc w:val="left"/>
            </w:pPr>
            <w:r>
              <w:rPr>
                <w:b/>
                <w:bCs/>
                <w:color w:val="FFFFFF"/>
                <w:sz w:val="20"/>
                <w:szCs w:val="20"/>
              </w:rPr>
              <w:t xml:space="preserve">Tema en una línea</w:t>
            </w:r>
          </w:p>
        </w:tc>
        <w:tc>
          <w:tcPr>
            <w:tcW w:type="dxa" w:w="900"/>
            <w:shd w:fill="404040" w:color="auto" w:val="clear"/>
            <w:tcMar>
              <w:top w:type="dxa" w:w="80"/>
              <w:left w:type="dxa" w:w="100"/>
              <w:bottom w:type="dxa" w:w="80"/>
              <w:right w:type="dxa" w:w="100"/>
            </w:tcMar>
          </w:tcPr>
          <w:p>
            <w:pPr>
              <w:jc w:val="center"/>
            </w:pPr>
            <w:r>
              <w:rPr>
                <w:b/>
                <w:bCs/>
                <w:color w:val="FFFFFF"/>
                <w:sz w:val="20"/>
                <w:szCs w:val="20"/>
              </w:rPr>
              <w:t xml:space="preserve">Leído</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1</w:t>
            </w:r>
          </w:p>
        </w:tc>
        <w:tc>
          <w:tcPr>
            <w:tcW w:type="dxa" w:w="3000"/>
            <w:tcMar>
              <w:top w:type="dxa" w:w="80"/>
              <w:left w:type="dxa" w:w="100"/>
              <w:bottom w:type="dxa" w:w="80"/>
              <w:right w:type="dxa" w:w="100"/>
            </w:tcMar>
          </w:tcPr>
          <w:p>
            <w:pPr>
              <w:jc w:val="left"/>
            </w:pPr>
            <w:r>
              <w:rPr>
                <w:b/>
                <w:bCs/>
                <w:color w:val="000000"/>
                <w:sz w:val="18"/>
                <w:szCs w:val="18"/>
              </w:rPr>
              <w:t xml:space="preserve">Moyer et al. (2025)</w:t>
            </w:r>
          </w:p>
        </w:tc>
        <w:tc>
          <w:tcPr>
            <w:tcW w:type="dxa" w:w="4326"/>
            <w:tcMar>
              <w:top w:type="dxa" w:w="80"/>
              <w:left w:type="dxa" w:w="100"/>
              <w:bottom w:type="dxa" w:w="80"/>
              <w:right w:type="dxa" w:w="100"/>
            </w:tcMar>
          </w:tcPr>
          <w:p>
            <w:pPr>
              <w:jc w:val="left"/>
            </w:pPr>
            <w:r>
              <w:rPr>
                <w:b w:val="false"/>
                <w:bCs w:val="false"/>
                <w:color w:val="000000"/>
                <w:sz w:val="18"/>
                <w:szCs w:val="18"/>
              </w:rPr>
              <w:t xml:space="preserve">El paper del dataset COLT (tu fuente de verificación cruzada)</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1</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Ostrander &amp; Rider (2018)</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Plantilla metodológica de tus propios gráficos en R</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1</w:t>
            </w:r>
          </w:p>
        </w:tc>
        <w:tc>
          <w:tcPr>
            <w:tcW w:type="dxa" w:w="3000"/>
            <w:tcMar>
              <w:top w:type="dxa" w:w="80"/>
              <w:left w:type="dxa" w:w="100"/>
              <w:bottom w:type="dxa" w:w="80"/>
              <w:right w:type="dxa" w:w="100"/>
            </w:tcMar>
          </w:tcPr>
          <w:p>
            <w:pPr>
              <w:jc w:val="left"/>
            </w:pPr>
            <w:r>
              <w:rPr>
                <w:b/>
                <w:bCs/>
                <w:color w:val="000000"/>
                <w:sz w:val="18"/>
                <w:szCs w:val="18"/>
              </w:rPr>
              <w:t xml:space="preserve">Balcı et al. (2025)</w:t>
            </w:r>
          </w:p>
        </w:tc>
        <w:tc>
          <w:tcPr>
            <w:tcW w:type="dxa" w:w="4326"/>
            <w:tcMar>
              <w:top w:type="dxa" w:w="80"/>
              <w:left w:type="dxa" w:w="100"/>
              <w:bottom w:type="dxa" w:w="80"/>
              <w:right w:type="dxa" w:w="100"/>
            </w:tcMar>
          </w:tcPr>
          <w:p>
            <w:pPr>
              <w:jc w:val="left"/>
            </w:pPr>
            <w:r>
              <w:rPr>
                <w:b w:val="false"/>
                <w:bCs w:val="false"/>
                <w:color w:val="000000"/>
                <w:sz w:val="18"/>
                <w:szCs w:val="18"/>
              </w:rPr>
              <w:t xml:space="preserve">Estado del arte del campo de estudio de "visitas de líderes"</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1</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Thiers (2025)</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Revisión sistemática de líderes y política exterior en América Latina</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1</w:t>
            </w:r>
          </w:p>
        </w:tc>
        <w:tc>
          <w:tcPr>
            <w:tcW w:type="dxa" w:w="3000"/>
            <w:tcMar>
              <w:top w:type="dxa" w:w="80"/>
              <w:left w:type="dxa" w:w="100"/>
              <w:bottom w:type="dxa" w:w="80"/>
              <w:right w:type="dxa" w:w="100"/>
            </w:tcMar>
          </w:tcPr>
          <w:p>
            <w:pPr>
              <w:jc w:val="left"/>
            </w:pPr>
            <w:r>
              <w:rPr>
                <w:b/>
                <w:bCs/>
                <w:color w:val="000000"/>
                <w:sz w:val="18"/>
                <w:szCs w:val="18"/>
              </w:rPr>
              <w:t xml:space="preserve">Lebovic &amp; Saunders (2016)</w:t>
            </w:r>
          </w:p>
        </w:tc>
        <w:tc>
          <w:tcPr>
            <w:tcW w:type="dxa" w:w="4326"/>
            <w:tcMar>
              <w:top w:type="dxa" w:w="80"/>
              <w:left w:type="dxa" w:w="100"/>
              <w:bottom w:type="dxa" w:w="80"/>
              <w:right w:type="dxa" w:w="100"/>
            </w:tcMar>
          </w:tcPr>
          <w:p>
            <w:pPr>
              <w:jc w:val="left"/>
            </w:pPr>
            <w:r>
              <w:rPr>
                <w:b w:val="false"/>
                <w:bCs w:val="false"/>
                <w:color w:val="000000"/>
                <w:sz w:val="18"/>
                <w:szCs w:val="18"/>
              </w:rPr>
              <w:t xml:space="preserve">Modelo de determinantes de los viajes (gemelo metodológico)</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1</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Frenkel &amp; Maresca (2026)</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El diseño más parecido al tuyo: viajes 2023-2024 de Milei y Lula</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1</w:t>
            </w:r>
          </w:p>
        </w:tc>
        <w:tc>
          <w:tcPr>
            <w:tcW w:type="dxa" w:w="3000"/>
            <w:tcMar>
              <w:top w:type="dxa" w:w="80"/>
              <w:left w:type="dxa" w:w="100"/>
              <w:bottom w:type="dxa" w:w="80"/>
              <w:right w:type="dxa" w:w="100"/>
            </w:tcMar>
          </w:tcPr>
          <w:p>
            <w:pPr>
              <w:jc w:val="left"/>
            </w:pPr>
            <w:r>
              <w:rPr>
                <w:b/>
                <w:bCs/>
                <w:color w:val="000000"/>
                <w:sz w:val="18"/>
                <w:szCs w:val="18"/>
              </w:rPr>
              <w:t xml:space="preserve">Malamud (2010)</w:t>
            </w:r>
          </w:p>
        </w:tc>
        <w:tc>
          <w:tcPr>
            <w:tcW w:type="dxa" w:w="4326"/>
            <w:tcMar>
              <w:top w:type="dxa" w:w="80"/>
              <w:left w:type="dxa" w:w="100"/>
              <w:bottom w:type="dxa" w:w="80"/>
              <w:right w:type="dxa" w:w="100"/>
            </w:tcMar>
          </w:tcPr>
          <w:p>
            <w:pPr>
              <w:jc w:val="left"/>
            </w:pPr>
            <w:r>
              <w:rPr>
                <w:b w:val="false"/>
                <w:bCs w:val="false"/>
                <w:color w:val="000000"/>
                <w:sz w:val="18"/>
                <w:szCs w:val="18"/>
              </w:rPr>
              <w:t xml:space="preserve">Diplomacia presidencial y MERCOSUR: mirada crítica</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1</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Aras &amp; Fazlioglu (2025)</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Dataset gemelo de COLT pero para Rusia: que determina los viajes de lideres</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1</w:t>
            </w:r>
          </w:p>
        </w:tc>
        <w:tc>
          <w:tcPr>
            <w:tcW w:type="dxa" w:w="3000"/>
            <w:tcMar>
              <w:top w:type="dxa" w:w="80"/>
              <w:left w:type="dxa" w:w="100"/>
              <w:bottom w:type="dxa" w:w="80"/>
              <w:right w:type="dxa" w:w="100"/>
            </w:tcMar>
          </w:tcPr>
          <w:p>
            <w:pPr>
              <w:jc w:val="left"/>
            </w:pPr>
            <w:r>
              <w:rPr>
                <w:b/>
                <w:bCs/>
                <w:color w:val="000000"/>
                <w:sz w:val="18"/>
                <w:szCs w:val="18"/>
              </w:rPr>
              <w:t xml:space="preserve">Peña (2005)</w:t>
            </w:r>
          </w:p>
        </w:tc>
        <w:tc>
          <w:tcPr>
            <w:tcW w:type="dxa" w:w="4326"/>
            <w:tcMar>
              <w:top w:type="dxa" w:w="80"/>
              <w:left w:type="dxa" w:w="100"/>
              <w:bottom w:type="dxa" w:w="80"/>
              <w:right w:type="dxa" w:w="100"/>
            </w:tcMar>
          </w:tcPr>
          <w:p>
            <w:pPr>
              <w:jc w:val="left"/>
            </w:pPr>
            <w:r>
              <w:rPr>
                <w:b w:val="false"/>
                <w:bCs w:val="false"/>
                <w:color w:val="000000"/>
                <w:sz w:val="18"/>
                <w:szCs w:val="18"/>
              </w:rPr>
              <w:t xml:space="preserve">Reflexion temprana sobre la proliferacion de cumbres presidenciales en Sudamerica</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2</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Cason &amp; Power (2009)</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Presidencialización de la política exterior brasileña</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2</w:t>
            </w:r>
          </w:p>
        </w:tc>
        <w:tc>
          <w:tcPr>
            <w:tcW w:type="dxa" w:w="3000"/>
            <w:tcMar>
              <w:top w:type="dxa" w:w="80"/>
              <w:left w:type="dxa" w:w="100"/>
              <w:bottom w:type="dxa" w:w="80"/>
              <w:right w:type="dxa" w:w="100"/>
            </w:tcMar>
          </w:tcPr>
          <w:p>
            <w:pPr>
              <w:jc w:val="left"/>
            </w:pPr>
            <w:r>
              <w:rPr>
                <w:b/>
                <w:bCs/>
                <w:color w:val="000000"/>
                <w:sz w:val="18"/>
                <w:szCs w:val="18"/>
              </w:rPr>
              <w:t xml:space="preserve">Neto &amp; Malamud (2019)</w:t>
            </w:r>
          </w:p>
        </w:tc>
        <w:tc>
          <w:tcPr>
            <w:tcW w:type="dxa" w:w="4326"/>
            <w:tcMar>
              <w:top w:type="dxa" w:w="80"/>
              <w:left w:type="dxa" w:w="100"/>
              <w:bottom w:type="dxa" w:w="80"/>
              <w:right w:type="dxa" w:w="100"/>
            </w:tcMar>
          </w:tcPr>
          <w:p>
            <w:pPr>
              <w:jc w:val="left"/>
            </w:pPr>
            <w:r>
              <w:rPr>
                <w:b w:val="false"/>
                <w:bCs w:val="false"/>
                <w:color w:val="000000"/>
                <w:sz w:val="18"/>
                <w:szCs w:val="18"/>
              </w:rPr>
              <w:t xml:space="preserve">Capacidad de las cancillerías vs. diplomacia presidencial</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2</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Neto &amp; Malamud (2020)</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Cuándo el presidente delega la política exterior en su canciller</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2</w:t>
            </w:r>
          </w:p>
        </w:tc>
        <w:tc>
          <w:tcPr>
            <w:tcW w:type="dxa" w:w="3000"/>
            <w:tcMar>
              <w:top w:type="dxa" w:w="80"/>
              <w:left w:type="dxa" w:w="100"/>
              <w:bottom w:type="dxa" w:w="80"/>
              <w:right w:type="dxa" w:w="100"/>
            </w:tcMar>
          </w:tcPr>
          <w:p>
            <w:pPr>
              <w:jc w:val="left"/>
            </w:pPr>
            <w:r>
              <w:rPr>
                <w:b/>
                <w:bCs/>
                <w:color w:val="000000"/>
                <w:sz w:val="18"/>
                <w:szCs w:val="18"/>
              </w:rPr>
              <w:t xml:space="preserve">Barnabé (2010)</w:t>
            </w:r>
          </w:p>
        </w:tc>
        <w:tc>
          <w:tcPr>
            <w:tcW w:type="dxa" w:w="4326"/>
            <w:tcMar>
              <w:top w:type="dxa" w:w="80"/>
              <w:left w:type="dxa" w:w="100"/>
              <w:bottom w:type="dxa" w:w="80"/>
              <w:right w:type="dxa" w:w="100"/>
            </w:tcMar>
          </w:tcPr>
          <w:p>
            <w:pPr>
              <w:jc w:val="left"/>
            </w:pPr>
            <w:r>
              <w:rPr>
                <w:b w:val="false"/>
                <w:bCs w:val="false"/>
                <w:color w:val="000000"/>
                <w:sz w:val="18"/>
                <w:szCs w:val="18"/>
              </w:rPr>
              <w:t xml:space="preserve">Diplomacia presidencial en Brasil: FHC vs. Lula</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2</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Burges (2017)</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El liderazgo presidencial como motor de cambio en la PE brasileña</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3</w:t>
            </w:r>
          </w:p>
        </w:tc>
        <w:tc>
          <w:tcPr>
            <w:tcW w:type="dxa" w:w="3000"/>
            <w:tcMar>
              <w:top w:type="dxa" w:w="80"/>
              <w:left w:type="dxa" w:w="100"/>
              <w:bottom w:type="dxa" w:w="80"/>
              <w:right w:type="dxa" w:w="100"/>
            </w:tcMar>
          </w:tcPr>
          <w:p>
            <w:pPr>
              <w:jc w:val="left"/>
            </w:pPr>
            <w:r>
              <w:rPr>
                <w:b/>
                <w:bCs/>
                <w:color w:val="000000"/>
                <w:sz w:val="18"/>
                <w:szCs w:val="18"/>
              </w:rPr>
              <w:t xml:space="preserve">Merke (2026)</w:t>
            </w:r>
          </w:p>
        </w:tc>
        <w:tc>
          <w:tcPr>
            <w:tcW w:type="dxa" w:w="4326"/>
            <w:tcMar>
              <w:top w:type="dxa" w:w="80"/>
              <w:left w:type="dxa" w:w="100"/>
              <w:bottom w:type="dxa" w:w="80"/>
              <w:right w:type="dxa" w:w="100"/>
            </w:tcMar>
          </w:tcPr>
          <w:p>
            <w:pPr>
              <w:jc w:val="left"/>
            </w:pPr>
            <w:r>
              <w:rPr>
                <w:b w:val="false"/>
                <w:bCs w:val="false"/>
                <w:color w:val="000000"/>
                <w:sz w:val="18"/>
                <w:szCs w:val="18"/>
              </w:rPr>
              <w:t xml:space="preserve">El realineamiento de Milei</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3</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Barrenengoa &amp; Kan (2023)</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La política exterior regional de Macri (2015-2019)</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3</w:t>
            </w:r>
          </w:p>
        </w:tc>
        <w:tc>
          <w:tcPr>
            <w:tcW w:type="dxa" w:w="3000"/>
            <w:tcMar>
              <w:top w:type="dxa" w:w="80"/>
              <w:left w:type="dxa" w:w="100"/>
              <w:bottom w:type="dxa" w:w="80"/>
              <w:right w:type="dxa" w:w="100"/>
            </w:tcMar>
          </w:tcPr>
          <w:p>
            <w:pPr>
              <w:jc w:val="left"/>
            </w:pPr>
            <w:r>
              <w:rPr>
                <w:b/>
                <w:bCs/>
                <w:color w:val="000000"/>
                <w:sz w:val="18"/>
                <w:szCs w:val="18"/>
              </w:rPr>
              <w:t xml:space="preserve">Romualdo Silva (2020)</w:t>
            </w:r>
          </w:p>
        </w:tc>
        <w:tc>
          <w:tcPr>
            <w:tcW w:type="dxa" w:w="4326"/>
            <w:tcMar>
              <w:top w:type="dxa" w:w="80"/>
              <w:left w:type="dxa" w:w="100"/>
              <w:bottom w:type="dxa" w:w="80"/>
              <w:right w:type="dxa" w:w="100"/>
            </w:tcMar>
          </w:tcPr>
          <w:p>
            <w:pPr>
              <w:jc w:val="left"/>
            </w:pPr>
            <w:r>
              <w:rPr>
                <w:b w:val="false"/>
                <w:bCs w:val="false"/>
                <w:color w:val="000000"/>
                <w:sz w:val="18"/>
                <w:szCs w:val="18"/>
              </w:rPr>
              <w:t xml:space="preserve">La diplomacia (débil) de Dilma en Sudamérica</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3</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Barros &amp; Gonçalves (2021)</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La crisis de UNASUR y el giro brasileño hacia Prosur</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3</w:t>
            </w:r>
          </w:p>
        </w:tc>
        <w:tc>
          <w:tcPr>
            <w:tcW w:type="dxa" w:w="3000"/>
            <w:tcMar>
              <w:top w:type="dxa" w:w="80"/>
              <w:left w:type="dxa" w:w="100"/>
              <w:bottom w:type="dxa" w:w="80"/>
              <w:right w:type="dxa" w:w="100"/>
            </w:tcMar>
          </w:tcPr>
          <w:p>
            <w:pPr>
              <w:jc w:val="left"/>
            </w:pPr>
            <w:r>
              <w:rPr>
                <w:b/>
                <w:bCs/>
                <w:color w:val="000000"/>
                <w:sz w:val="18"/>
                <w:szCs w:val="18"/>
              </w:rPr>
              <w:t xml:space="preserve">Nolte (2021)</w:t>
            </w:r>
          </w:p>
        </w:tc>
        <w:tc>
          <w:tcPr>
            <w:tcW w:type="dxa" w:w="4326"/>
            <w:tcMar>
              <w:top w:type="dxa" w:w="80"/>
              <w:left w:type="dxa" w:w="100"/>
              <w:bottom w:type="dxa" w:w="80"/>
              <w:right w:type="dxa" w:w="100"/>
            </w:tcMar>
          </w:tcPr>
          <w:p>
            <w:pPr>
              <w:jc w:val="left"/>
            </w:pPr>
            <w:r>
              <w:rPr>
                <w:b w:val="false"/>
                <w:bCs w:val="false"/>
                <w:color w:val="000000"/>
                <w:sz w:val="18"/>
                <w:szCs w:val="18"/>
              </w:rPr>
              <w:t xml:space="preserve">El fin de la "época dorada" de las cumbres regionales</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3</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Merke &amp; Pereyra Doval (2022)</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El enfriamiento de la relación Argentina-Brasil</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3</w:t>
            </w:r>
          </w:p>
        </w:tc>
        <w:tc>
          <w:tcPr>
            <w:tcW w:type="dxa" w:w="3000"/>
            <w:tcMar>
              <w:top w:type="dxa" w:w="80"/>
              <w:left w:type="dxa" w:w="100"/>
              <w:bottom w:type="dxa" w:w="80"/>
              <w:right w:type="dxa" w:w="100"/>
            </w:tcMar>
          </w:tcPr>
          <w:p>
            <w:pPr>
              <w:jc w:val="left"/>
            </w:pPr>
            <w:r>
              <w:rPr>
                <w:b/>
                <w:bCs/>
                <w:color w:val="000000"/>
                <w:sz w:val="18"/>
                <w:szCs w:val="18"/>
              </w:rPr>
              <w:t xml:space="preserve">González &amp; Tokatlian (2026)</w:t>
            </w:r>
          </w:p>
        </w:tc>
        <w:tc>
          <w:tcPr>
            <w:tcW w:type="dxa" w:w="4326"/>
            <w:tcMar>
              <w:top w:type="dxa" w:w="80"/>
              <w:left w:type="dxa" w:w="100"/>
              <w:bottom w:type="dxa" w:w="80"/>
              <w:right w:type="dxa" w:w="100"/>
            </w:tcMar>
          </w:tcPr>
          <w:p>
            <w:pPr>
              <w:jc w:val="left"/>
            </w:pPr>
            <w:r>
              <w:rPr>
                <w:b w:val="false"/>
                <w:bCs w:val="false"/>
                <w:color w:val="000000"/>
                <w:sz w:val="18"/>
                <w:szCs w:val="18"/>
              </w:rPr>
              <w:t xml:space="preserve">Contexto regional bajo el segundo gobierno de Trump</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3</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Merke, Reynoso &amp; Schenoni (2020)</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Qué explica el cambio de política exterior entre gobiernos</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3</w:t>
            </w:r>
          </w:p>
        </w:tc>
        <w:tc>
          <w:tcPr>
            <w:tcW w:type="dxa" w:w="3000"/>
            <w:tcMar>
              <w:top w:type="dxa" w:w="80"/>
              <w:left w:type="dxa" w:w="100"/>
              <w:bottom w:type="dxa" w:w="80"/>
              <w:right w:type="dxa" w:w="100"/>
            </w:tcMar>
          </w:tcPr>
          <w:p>
            <w:pPr>
              <w:jc w:val="left"/>
            </w:pPr>
            <w:r>
              <w:rPr>
                <w:b/>
                <w:bCs/>
                <w:color w:val="000000"/>
                <w:sz w:val="18"/>
                <w:szCs w:val="18"/>
              </w:rPr>
              <w:t xml:space="preserve">Merke &amp; Reynoso (2016)</w:t>
            </w:r>
          </w:p>
        </w:tc>
        <w:tc>
          <w:tcPr>
            <w:tcW w:type="dxa" w:w="4326"/>
            <w:tcMar>
              <w:top w:type="dxa" w:w="80"/>
              <w:left w:type="dxa" w:w="100"/>
              <w:bottom w:type="dxa" w:w="80"/>
              <w:right w:type="dxa" w:w="100"/>
            </w:tcMar>
          </w:tcPr>
          <w:p>
            <w:pPr>
              <w:jc w:val="left"/>
            </w:pPr>
            <w:r>
              <w:rPr>
                <w:b w:val="false"/>
                <w:bCs w:val="false"/>
                <w:color w:val="000000"/>
                <w:sz w:val="18"/>
                <w:szCs w:val="18"/>
              </w:rPr>
              <w:t xml:space="preserve">Encuesta a expertos: orientación de política exterior por presidente</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3</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Gomes Saraiva (2010)</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La tension Mercosur vs. Sudamerica en la politica exterior de Lula</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4</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Cohen (2016)</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Viajes y opinión pública extranjera (caso EE. UU.)</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4</w:t>
            </w:r>
          </w:p>
        </w:tc>
        <w:tc>
          <w:tcPr>
            <w:tcW w:type="dxa" w:w="3000"/>
            <w:tcMar>
              <w:top w:type="dxa" w:w="80"/>
              <w:left w:type="dxa" w:w="100"/>
              <w:bottom w:type="dxa" w:w="80"/>
              <w:right w:type="dxa" w:w="100"/>
            </w:tcMar>
          </w:tcPr>
          <w:p>
            <w:pPr>
              <w:jc w:val="left"/>
            </w:pPr>
            <w:r>
              <w:rPr>
                <w:b/>
                <w:bCs/>
                <w:color w:val="000000"/>
                <w:sz w:val="18"/>
                <w:szCs w:val="18"/>
              </w:rPr>
              <w:t xml:space="preserve">Cavari &amp; Ables (2019)</w:t>
            </w:r>
          </w:p>
        </w:tc>
        <w:tc>
          <w:tcPr>
            <w:tcW w:type="dxa" w:w="4326"/>
            <w:tcMar>
              <w:top w:type="dxa" w:w="80"/>
              <w:left w:type="dxa" w:w="100"/>
              <w:bottom w:type="dxa" w:w="80"/>
              <w:right w:type="dxa" w:w="100"/>
            </w:tcMar>
          </w:tcPr>
          <w:p>
            <w:pPr>
              <w:jc w:val="left"/>
            </w:pPr>
            <w:r>
              <w:rPr>
                <w:b w:val="false"/>
                <w:bCs w:val="false"/>
                <w:color w:val="000000"/>
                <w:sz w:val="18"/>
                <w:szCs w:val="18"/>
              </w:rPr>
              <w:t xml:space="preserve">Otro dataset de viajes de presidentes de EE. UU. (1953-2016)</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4</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Koliev &amp; Lundgren (2021)</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Qué determina que un líder extranjero visite EE. UU.</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4</w:t>
            </w:r>
          </w:p>
        </w:tc>
        <w:tc>
          <w:tcPr>
            <w:tcW w:type="dxa" w:w="3000"/>
            <w:tcMar>
              <w:top w:type="dxa" w:w="80"/>
              <w:left w:type="dxa" w:w="100"/>
              <w:bottom w:type="dxa" w:w="80"/>
              <w:right w:type="dxa" w:w="100"/>
            </w:tcMar>
          </w:tcPr>
          <w:p>
            <w:pPr>
              <w:jc w:val="left"/>
            </w:pPr>
            <w:r>
              <w:rPr>
                <w:b/>
                <w:bCs/>
                <w:color w:val="000000"/>
                <w:sz w:val="18"/>
                <w:szCs w:val="18"/>
              </w:rPr>
              <w:t xml:space="preserve">Malis &amp; Smith (2021)</w:t>
            </w:r>
          </w:p>
        </w:tc>
        <w:tc>
          <w:tcPr>
            <w:tcW w:type="dxa" w:w="4326"/>
            <w:tcMar>
              <w:top w:type="dxa" w:w="80"/>
              <w:left w:type="dxa" w:w="100"/>
              <w:bottom w:type="dxa" w:w="80"/>
              <w:right w:type="dxa" w:w="100"/>
            </w:tcMar>
          </w:tcPr>
          <w:p>
            <w:pPr>
              <w:jc w:val="left"/>
            </w:pPr>
            <w:r>
              <w:rPr>
                <w:b w:val="false"/>
                <w:bCs w:val="false"/>
                <w:color w:val="000000"/>
                <w:sz w:val="18"/>
                <w:szCs w:val="18"/>
              </w:rPr>
              <w:t xml:space="preserve">¿Las visitas de Estado ayudan a la supervivencia política del líder?</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4</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Leite &amp; Cavalcante (2016)</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Brasil-África bajo Lula y Dilma (eje muy específico)</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4</w:t>
            </w:r>
          </w:p>
        </w:tc>
        <w:tc>
          <w:tcPr>
            <w:tcW w:type="dxa" w:w="3000"/>
            <w:tcMar>
              <w:top w:type="dxa" w:w="80"/>
              <w:left w:type="dxa" w:w="100"/>
              <w:bottom w:type="dxa" w:w="80"/>
              <w:right w:type="dxa" w:w="100"/>
            </w:tcMar>
          </w:tcPr>
          <w:p>
            <w:pPr>
              <w:jc w:val="left"/>
            </w:pPr>
            <w:r>
              <w:rPr>
                <w:b/>
                <w:bCs/>
                <w:color w:val="000000"/>
                <w:sz w:val="18"/>
                <w:szCs w:val="18"/>
              </w:rPr>
              <w:t xml:space="preserve">Ceppi &amp; Pereyra Doval (2026)</w:t>
            </w:r>
          </w:p>
        </w:tc>
        <w:tc>
          <w:tcPr>
            <w:tcW w:type="dxa" w:w="4326"/>
            <w:tcMar>
              <w:top w:type="dxa" w:w="80"/>
              <w:left w:type="dxa" w:w="100"/>
              <w:bottom w:type="dxa" w:w="80"/>
              <w:right w:type="dxa" w:w="100"/>
            </w:tcMar>
          </w:tcPr>
          <w:p>
            <w:pPr>
              <w:jc w:val="left"/>
            </w:pPr>
            <w:r>
              <w:rPr>
                <w:b w:val="false"/>
                <w:bCs w:val="false"/>
                <w:color w:val="000000"/>
                <w:sz w:val="18"/>
                <w:szCs w:val="18"/>
              </w:rPr>
              <w:t xml:space="preserve">Libro compilado sobre PE sudamericana en el siglo XXI</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4</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Charnock, McCann &amp; Tenpas (2009)</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Viajes domesticos de EE. UU. como estrategia de colegio electoral (no es politica exterior, pero es buen contrapunto)</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tcMar>
              <w:top w:type="dxa" w:w="80"/>
              <w:left w:type="dxa" w:w="100"/>
              <w:bottom w:type="dxa" w:w="80"/>
              <w:right w:type="dxa" w:w="100"/>
            </w:tcMar>
          </w:tcPr>
          <w:p>
            <w:pPr>
              <w:jc w:val="left"/>
            </w:pPr>
            <w:r>
              <w:rPr>
                <w:b w:val="false"/>
                <w:bCs w:val="false"/>
                <w:color w:val="000000"/>
                <w:sz w:val="18"/>
                <w:szCs w:val="18"/>
              </w:rPr>
              <w:t xml:space="preserve">Nivel 4</w:t>
            </w:r>
          </w:p>
        </w:tc>
        <w:tc>
          <w:tcPr>
            <w:tcW w:type="dxa" w:w="3000"/>
            <w:tcMar>
              <w:top w:type="dxa" w:w="80"/>
              <w:left w:type="dxa" w:w="100"/>
              <w:bottom w:type="dxa" w:w="80"/>
              <w:right w:type="dxa" w:w="100"/>
            </w:tcMar>
          </w:tcPr>
          <w:p>
            <w:pPr>
              <w:jc w:val="left"/>
            </w:pPr>
            <w:r>
              <w:rPr>
                <w:b/>
                <w:bCs/>
                <w:color w:val="000000"/>
                <w:sz w:val="18"/>
                <w:szCs w:val="18"/>
              </w:rPr>
              <w:t xml:space="preserve">Lee &amp; Kim (2024)</w:t>
            </w:r>
          </w:p>
        </w:tc>
        <w:tc>
          <w:tcPr>
            <w:tcW w:type="dxa" w:w="4326"/>
            <w:tcMar>
              <w:top w:type="dxa" w:w="80"/>
              <w:left w:type="dxa" w:w="100"/>
              <w:bottom w:type="dxa" w:w="80"/>
              <w:right w:type="dxa" w:w="100"/>
            </w:tcMar>
          </w:tcPr>
          <w:p>
            <w:pPr>
              <w:jc w:val="left"/>
            </w:pPr>
            <w:r>
              <w:rPr>
                <w:b w:val="false"/>
                <w:bCs w:val="false"/>
                <w:color w:val="000000"/>
                <w:sz w:val="18"/>
                <w:szCs w:val="18"/>
              </w:rPr>
              <w:t xml:space="preserve">Metodo alternativo: tratar destinos como datos composicionales, no observaciones independientes</w:t>
            </w:r>
          </w:p>
        </w:tc>
        <w:tc>
          <w:tcPr>
            <w:tcW w:type="dxa" w:w="900"/>
            <w:tcMar>
              <w:top w:type="dxa" w:w="80"/>
              <w:left w:type="dxa" w:w="100"/>
              <w:bottom w:type="dxa" w:w="80"/>
              <w:right w:type="dxa" w:w="100"/>
            </w:tcMar>
          </w:tcPr>
          <w:p>
            <w:pPr>
              <w:jc w:val="center"/>
            </w:pPr>
            <w:r>
              <w:rPr>
                <w:b w:val="false"/>
                <w:bCs w:val="false"/>
                <w:color w:val="000000"/>
                <w:sz w:val="22"/>
                <w:szCs w:val="22"/>
              </w:rPr>
              <w:t xml:space="preserve">☐</w:t>
            </w:r>
          </w:p>
        </w:tc>
      </w:tr>
      <w:tr>
        <w:trPr>
          <w:cantSplit/>
        </w:trPr>
        <w:tc>
          <w:tcPr>
            <w:tcW w:type="dxa" w:w="1300"/>
            <w:shd w:fill="D9D9D9" w:color="auto" w:val="clear"/>
            <w:tcMar>
              <w:top w:type="dxa" w:w="80"/>
              <w:left w:type="dxa" w:w="100"/>
              <w:bottom w:type="dxa" w:w="80"/>
              <w:right w:type="dxa" w:w="100"/>
            </w:tcMar>
          </w:tcPr>
          <w:p>
            <w:pPr>
              <w:jc w:val="left"/>
            </w:pPr>
            <w:r>
              <w:rPr>
                <w:b w:val="false"/>
                <w:bCs w:val="false"/>
                <w:color w:val="000000"/>
                <w:sz w:val="18"/>
                <w:szCs w:val="18"/>
              </w:rPr>
              <w:t xml:space="preserve">Nivel 4</w:t>
            </w:r>
          </w:p>
        </w:tc>
        <w:tc>
          <w:tcPr>
            <w:tcW w:type="dxa" w:w="3000"/>
            <w:shd w:fill="D9D9D9" w:color="auto" w:val="clear"/>
            <w:tcMar>
              <w:top w:type="dxa" w:w="80"/>
              <w:left w:type="dxa" w:w="100"/>
              <w:bottom w:type="dxa" w:w="80"/>
              <w:right w:type="dxa" w:w="100"/>
            </w:tcMar>
          </w:tcPr>
          <w:p>
            <w:pPr>
              <w:jc w:val="left"/>
            </w:pPr>
            <w:r>
              <w:rPr>
                <w:b/>
                <w:bCs/>
                <w:color w:val="000000"/>
                <w:sz w:val="18"/>
                <w:szCs w:val="18"/>
              </w:rPr>
              <w:t xml:space="preserve">Balcı (2024)</w:t>
            </w:r>
          </w:p>
        </w:tc>
        <w:tc>
          <w:tcPr>
            <w:tcW w:type="dxa" w:w="4326"/>
            <w:shd w:fill="D9D9D9" w:color="auto" w:val="clear"/>
            <w:tcMar>
              <w:top w:type="dxa" w:w="80"/>
              <w:left w:type="dxa" w:w="100"/>
              <w:bottom w:type="dxa" w:w="80"/>
              <w:right w:type="dxa" w:w="100"/>
            </w:tcMar>
          </w:tcPr>
          <w:p>
            <w:pPr>
              <w:jc w:val="left"/>
            </w:pPr>
            <w:r>
              <w:rPr>
                <w:b w:val="false"/>
                <w:bCs w:val="false"/>
                <w:color w:val="000000"/>
                <w:sz w:val="18"/>
                <w:szCs w:val="18"/>
              </w:rPr>
              <w:t xml:space="preserve">Borrador previo de Balcı et al. (2025) — se puede saltear</w:t>
            </w:r>
          </w:p>
        </w:tc>
        <w:tc>
          <w:tcPr>
            <w:tcW w:type="dxa" w:w="900"/>
            <w:shd w:fill="D9D9D9" w:color="auto" w:val="clear"/>
            <w:tcMar>
              <w:top w:type="dxa" w:w="80"/>
              <w:left w:type="dxa" w:w="100"/>
              <w:bottom w:type="dxa" w:w="80"/>
              <w:right w:type="dxa" w:w="100"/>
            </w:tcMar>
          </w:tcPr>
          <w:p>
            <w:pPr>
              <w:jc w:val="center"/>
            </w:pPr>
            <w:r>
              <w:rPr>
                <w:b w:val="false"/>
                <w:bCs w:val="false"/>
                <w:color w:val="000000"/>
                <w:sz w:val="22"/>
                <w:szCs w:val="22"/>
              </w:rPr>
              <w:t xml:space="preserve">☐</w:t>
            </w:r>
          </w:p>
        </w:tc>
      </w:tr>
    </w:tbl>
    <w:p>
      <w:r>
        <w:br w:type="page"/>
      </w:r>
    </w:p>
    <w:p>
      <w:pPr>
        <w:pStyle w:val="Heading1"/>
        <w:spacing w:after="80" w:before="0"/>
      </w:pPr>
      <w:r>
        <w:t xml:space="preserve">Nivel 1 — Núcleo metodológico y conceptual (leer primero, en profundidad)</w:t>
      </w:r>
    </w:p>
    <w:p>
      <w:pPr>
        <w:spacing w:after="160"/>
      </w:pPr>
      <w:r>
        <w:rPr>
          <w:i/>
          <w:iCs/>
          <w:color w:val="555555"/>
          <w:sz w:val="19"/>
          <w:szCs w:val="19"/>
        </w:rPr>
        <w:t xml:space="preserve">Estos son los textos que sostienen directamente la lógica de tu proyecto: por qué los viajes presidenciales son un indicador válido de política exterior, cómo se construye/analiza un dataset de ese tipo, y el diseño más parecido al tuyo.</w:t>
      </w:r>
    </w:p>
    <w:p>
      <w:pPr>
        <w:pBdr>
          <w:left w:val="single" w:color="404040" w:sz="12" w:space="8"/>
        </w:pBdr>
        <w:spacing w:after="40" w:before="240"/>
        <w:ind w:left="100"/>
      </w:pPr>
      <w:r>
        <w:rPr>
          <w:b/>
          <w:bCs/>
          <w:sz w:val="22"/>
          <w:szCs w:val="22"/>
        </w:rPr>
        <w:t xml:space="preserve">Moyer et al. (2025)  —  El paper del dataset COLT (tu fuente de verificación cruzada)</w:t>
      </w:r>
    </w:p>
    <w:p>
      <w:pPr>
        <w:spacing w:after="80"/>
        <w:ind w:left="100"/>
      </w:pPr>
      <w:r>
        <w:rPr>
          <w:i/>
          <w:iCs/>
          <w:color w:val="444444"/>
          <w:sz w:val="18"/>
          <w:szCs w:val="18"/>
        </w:rPr>
        <w:t xml:space="preserve">Moyer, J. D., Meisel, C. J., Szymanski-Burgos, A., Scott, A. C., Casiraghi, M. C. M., Kurkul, A., Hughes, M., Kettlun, W., McKee, K. X., &amp; Matthews, A. S. (2025). When Heads of Government and State (HOGS) Fly: Introducing the Country and Organizational Leader Travel (COLT) Dataset Measuring Foreign Travel by HOGS. International Studies Quarterly, 69(2), sqaf013. https://doi.org/10.1093/isq/sqaf013</w:t>
      </w:r>
    </w:p>
    <w:p>
      <w:pPr>
        <w:spacing w:after="80"/>
        <w:ind w:left="100"/>
      </w:pPr>
      <w:r>
        <w:rPr>
          <w:b/>
          <w:bCs/>
          <w:sz w:val="20"/>
          <w:szCs w:val="20"/>
        </w:rPr>
        <w:t xml:space="preserve">Resumen: </w:t>
      </w:r>
      <w:r>
        <w:rPr>
          <w:sz w:val="20"/>
          <w:szCs w:val="20"/>
        </w:rPr>
        <w:t xml:space="preserve">Presenta el dataset COLT: 78.641 viajes de jefes de Estado/Gobierno en 212 países entre 1990 y 2023, con codebook de 79 indicadores por viaje. Testea qué explica los viajes (desarrollo, comercio, conflicto, co-membresía institucional, tipo de régimen) y muestra que las visitas predicen el comercio bilateral posterior. Es el texto que más tenés que dominar: literalmente sostiene la metodología de cruce de fuentes de tu base.</w:t>
      </w:r>
    </w:p>
    <w:p>
      <w:pPr>
        <w:pBdr>
          <w:left w:val="single" w:color="404040" w:sz="12" w:space="8"/>
        </w:pBdr>
        <w:spacing w:after="40" w:before="240"/>
        <w:ind w:left="100"/>
      </w:pPr>
      <w:r>
        <w:rPr>
          <w:b/>
          <w:bCs/>
          <w:sz w:val="22"/>
          <w:szCs w:val="22"/>
        </w:rPr>
        <w:t xml:space="preserve">Ostrander &amp; Rider (2018)  —  Plantilla metodológica de tus propios gráficos en R</w:t>
      </w:r>
    </w:p>
    <w:p>
      <w:pPr>
        <w:spacing w:after="80"/>
        <w:ind w:left="100"/>
      </w:pPr>
      <w:r>
        <w:rPr>
          <w:i/>
          <w:iCs/>
          <w:color w:val="444444"/>
          <w:sz w:val="18"/>
          <w:szCs w:val="18"/>
        </w:rPr>
        <w:t xml:space="preserve">Ostrander, I., &amp; Rider, T. J. (2018). Presidents Abroad: The Politics of Personal Diplomacy. Political Research Quarterly, 72(4), 835–848. https://doi.org/10.1177/1065912918809212</w:t>
      </w:r>
    </w:p>
    <w:p>
      <w:pPr>
        <w:spacing w:after="80"/>
        <w:ind w:left="100"/>
      </w:pPr>
      <w:r>
        <w:rPr>
          <w:b/>
          <w:bCs/>
          <w:sz w:val="20"/>
          <w:szCs w:val="20"/>
        </w:rPr>
        <w:t xml:space="preserve">Resumen: </w:t>
      </w:r>
      <w:r>
        <w:rPr>
          <w:sz w:val="20"/>
          <w:szCs w:val="20"/>
        </w:rPr>
        <w:t xml:space="preserve">Analiza más de 750 viajes de presidentes de EE. UU. (1906-2016) y muestra que factores domésticos (año electoral, gobierno dividido, tamaño de la mayoría legislativa) predicen cuántos días viaja un presidente. La forma en que presentan sus datos (viajes por año, duración promedio, primer viaje de cada presidente) es casi calcada por varios de los gráficos que ya armamos en tu script de R.</w:t>
      </w:r>
    </w:p>
    <w:p>
      <w:pPr>
        <w:pBdr>
          <w:left w:val="single" w:color="404040" w:sz="12" w:space="8"/>
        </w:pBdr>
        <w:spacing w:after="40" w:before="240"/>
        <w:ind w:left="100"/>
      </w:pPr>
      <w:r>
        <w:rPr>
          <w:b/>
          <w:bCs/>
          <w:sz w:val="22"/>
          <w:szCs w:val="22"/>
        </w:rPr>
        <w:t xml:space="preserve">Balcı et al. (2025)  —  Estado del arte del campo de estudio de "visitas de líderes"</w:t>
      </w:r>
    </w:p>
    <w:p>
      <w:pPr>
        <w:spacing w:after="80"/>
        <w:ind w:left="100"/>
      </w:pPr>
      <w:r>
        <w:rPr>
          <w:i/>
          <w:iCs/>
          <w:color w:val="444444"/>
          <w:sz w:val="18"/>
          <w:szCs w:val="18"/>
        </w:rPr>
        <w:t xml:space="preserve">Balcı, A., Kim, J. D., Moyer, J. D., Meisel, C. J., McKee, K., Baturo, A., Woo, B., Choi, S., Ku, M., Van Rythoven, E., &amp; Holmes, M. (2025). High-Level Leader Visits: A Promising Area of Study in IR. International Studies Perspectives. https://doi.org/10.1093/isp/ekaf008</w:t>
      </w:r>
    </w:p>
    <w:p>
      <w:pPr>
        <w:spacing w:after="80"/>
        <w:ind w:left="100"/>
      </w:pPr>
      <w:r>
        <w:rPr>
          <w:b/>
          <w:bCs/>
          <w:sz w:val="20"/>
          <w:szCs w:val="20"/>
        </w:rPr>
        <w:t xml:space="preserve">Resumen: </w:t>
      </w:r>
      <w:r>
        <w:rPr>
          <w:sz w:val="20"/>
          <w:szCs w:val="20"/>
        </w:rPr>
        <w:t xml:space="preserve">Mapea todo el campo de investigación sobre visitas de líderes de alto nivel en Relaciones Internacionales: qué se sabe, qué métodos se usan y qué falta por estudiar. Es el texto ideal para escribir tu introducción/estado del arte y justificar por qué tu proyecto es relevante. (El archivo Balcı (2024), en el Nivel 4, es un borrador anterior casi idéntico — no hace falta leer los dos).</w:t>
      </w:r>
    </w:p>
    <w:p>
      <w:pPr>
        <w:pBdr>
          <w:left w:val="single" w:color="404040" w:sz="12" w:space="8"/>
        </w:pBdr>
        <w:spacing w:after="40" w:before="240"/>
        <w:ind w:left="100"/>
      </w:pPr>
      <w:r>
        <w:rPr>
          <w:b/>
          <w:bCs/>
          <w:sz w:val="22"/>
          <w:szCs w:val="22"/>
        </w:rPr>
        <w:t xml:space="preserve">Thiers (2025)  —  Revisión sistemática de líderes y política exterior en América Latina</w:t>
      </w:r>
    </w:p>
    <w:p>
      <w:pPr>
        <w:spacing w:after="80"/>
        <w:ind w:left="100"/>
      </w:pPr>
      <w:r>
        <w:rPr>
          <w:i/>
          <w:iCs/>
          <w:color w:val="444444"/>
          <w:sz w:val="18"/>
          <w:szCs w:val="18"/>
        </w:rPr>
        <w:t xml:space="preserve">Thiers, C. (2025). Political Leaders' Role in Latin American Foreign Policy: A Systematic Review. Uluslararası İlişkiler (International Relations).</w:t>
      </w:r>
    </w:p>
    <w:p>
      <w:pPr>
        <w:spacing w:after="80"/>
        <w:ind w:left="100"/>
      </w:pPr>
      <w:r>
        <w:rPr>
          <w:b/>
          <w:bCs/>
          <w:sz w:val="20"/>
          <w:szCs w:val="20"/>
        </w:rPr>
        <w:t xml:space="preserve">Resumen: </w:t>
      </w:r>
      <w:r>
        <w:rPr>
          <w:sz w:val="20"/>
          <w:szCs w:val="20"/>
        </w:rPr>
        <w:t xml:space="preserve">Revisión sistemática de todo el campo de Análisis de Política Exterior (FPA) centrado en presidentes/líderes en América Latina: quién investiga, con qué datos, y qué tan representada está la región en la literatura de RR. II. Concluye que la región está subestudiada pese a tener datos empíricos ricos — un argumento a favor de tu propio proyecto. Es el mejor punto de partida para el marco teórico regional.</w:t>
      </w:r>
    </w:p>
    <w:p>
      <w:pPr>
        <w:pBdr>
          <w:left w:val="single" w:color="404040" w:sz="12" w:space="8"/>
        </w:pBdr>
        <w:spacing w:after="40" w:before="240"/>
        <w:ind w:left="100"/>
      </w:pPr>
      <w:r>
        <w:rPr>
          <w:b/>
          <w:bCs/>
          <w:sz w:val="22"/>
          <w:szCs w:val="22"/>
        </w:rPr>
        <w:t xml:space="preserve">Lebovic &amp; Saunders (2016)  —  Modelo de determinantes de los viajes (gemelo metodológico)</w:t>
      </w:r>
    </w:p>
    <w:p>
      <w:pPr>
        <w:spacing w:after="80"/>
        <w:ind w:left="100"/>
      </w:pPr>
      <w:r>
        <w:rPr>
          <w:i/>
          <w:iCs/>
          <w:color w:val="444444"/>
          <w:sz w:val="18"/>
          <w:szCs w:val="18"/>
        </w:rPr>
        <w:t xml:space="preserve">Lebovic, J. H., &amp; Saunders, E. N. (2016). The Diplomatic Core: The Determinants of High-Level US Diplomatic Visits, 1946–2010. International Studies Quarterly, 60(1), 107–123.</w:t>
      </w:r>
    </w:p>
    <w:p>
      <w:pPr>
        <w:spacing w:after="80"/>
        <w:ind w:left="100"/>
      </w:pPr>
      <w:r>
        <w:rPr>
          <w:b/>
          <w:bCs/>
          <w:sz w:val="20"/>
          <w:szCs w:val="20"/>
        </w:rPr>
        <w:t xml:space="preserve">Resumen: </w:t>
      </w:r>
      <w:r>
        <w:rPr>
          <w:sz w:val="20"/>
          <w:szCs w:val="20"/>
        </w:rPr>
        <w:t xml:space="preserve">Construyen un dataset propio de viajes del presidente y del secretario de Estado de EE. UU., y testean si responden a factores estratégicos, domésticos, o a "rutina diplomática". Encuentran que el presidente tiende a seguir los pasos ya marcados por el secretario de Estado. Buen modelo de referencia si en algún momento querés pasar de describir tendencias a explicar qué predice un viaje.</w:t>
      </w:r>
    </w:p>
    <w:p>
      <w:pPr>
        <w:pBdr>
          <w:left w:val="single" w:color="404040" w:sz="12" w:space="8"/>
        </w:pBdr>
        <w:spacing w:after="40" w:before="240"/>
        <w:ind w:left="100"/>
      </w:pPr>
      <w:r>
        <w:rPr>
          <w:b/>
          <w:bCs/>
          <w:sz w:val="22"/>
          <w:szCs w:val="22"/>
        </w:rPr>
        <w:t xml:space="preserve">Frenkel &amp; Maresca (2026)  —  El diseño más parecido al tuyo: viajes 2023-2024 de Milei y Lula</w:t>
      </w:r>
    </w:p>
    <w:p>
      <w:pPr>
        <w:spacing w:after="80"/>
        <w:ind w:left="100"/>
      </w:pPr>
      <w:r>
        <w:rPr>
          <w:i/>
          <w:iCs/>
          <w:color w:val="444444"/>
          <w:sz w:val="18"/>
          <w:szCs w:val="18"/>
        </w:rPr>
        <w:t xml:space="preserve">Frenkel, A., &amp; Maresca, A. (2026). Diplomacia presidencial y política exterior: los gobiernos de Milei y Lula en Argentina y Brasil. Revista de Relaciones Internacionales (Universidad Nacional, Costa Rica), 99(1), 71-90. https://doi.org/10.15359/99-1.4</w:t>
      </w:r>
    </w:p>
    <w:p>
      <w:pPr>
        <w:spacing w:after="80"/>
        <w:ind w:left="100"/>
      </w:pPr>
      <w:r>
        <w:rPr>
          <w:b/>
          <w:bCs/>
          <w:sz w:val="20"/>
          <w:szCs w:val="20"/>
        </w:rPr>
        <w:t xml:space="preserve">Resumen: </w:t>
      </w:r>
      <w:r>
        <w:rPr>
          <w:sz w:val="20"/>
          <w:szCs w:val="20"/>
        </w:rPr>
        <w:t xml:space="preserve">Usa los viajes presidenciales de 2023-2024 como unidad de análisis para comparar las preferencias opuestas de política exterior de Lula (sur global, multipolaridad) y Milei (norte global, alineamiento con EE. UU.). Acuña el concepto de "diplomacia paragubernamental" para Milei: prioriza vínculos partidarios/privados por sobre las relaciones entre gobiernos. Es el paper con el diseño de investigación más comparable al tuyo.</w:t>
      </w:r>
    </w:p>
    <w:p>
      <w:pPr>
        <w:pBdr>
          <w:left w:val="single" w:color="404040" w:sz="12" w:space="8"/>
        </w:pBdr>
        <w:spacing w:after="40" w:before="240"/>
        <w:ind w:left="100"/>
      </w:pPr>
      <w:r>
        <w:rPr>
          <w:b/>
          <w:bCs/>
          <w:sz w:val="22"/>
          <w:szCs w:val="22"/>
        </w:rPr>
        <w:t xml:space="preserve">Malamud (2010)  —  Diplomacia presidencial y MERCOSUR: mirada crítica</w:t>
      </w:r>
    </w:p>
    <w:p>
      <w:pPr>
        <w:spacing w:after="80"/>
        <w:ind w:left="100"/>
      </w:pPr>
      <w:r>
        <w:rPr>
          <w:i/>
          <w:iCs/>
          <w:color w:val="444444"/>
          <w:sz w:val="18"/>
          <w:szCs w:val="18"/>
        </w:rPr>
        <w:t xml:space="preserve">Malamud, A. (2010). La diplomacia presidencial y los pilares institucionales del MERCOSUR: un examen empírico. Relaciones Internacionales, (15).</w:t>
      </w:r>
    </w:p>
    <w:p>
      <w:pPr>
        <w:spacing w:after="80"/>
        <w:ind w:left="100"/>
      </w:pPr>
      <w:r>
        <w:rPr>
          <w:b/>
          <w:bCs/>
          <w:sz w:val="20"/>
          <w:szCs w:val="20"/>
        </w:rPr>
        <w:t xml:space="preserve">Resumen: </w:t>
      </w:r>
      <w:r>
        <w:rPr>
          <w:sz w:val="20"/>
          <w:szCs w:val="20"/>
        </w:rPr>
        <w:t xml:space="preserve">A partir de tres episodios críticos del MERCOSUR, argumenta que la diplomacia presidencial de cumbre por sí sola no alcanza para explicar el éxito relativo del bloque: son las estructuras institucionales domésticas de cada país las que habilitan o restringen la intervención presidencial. Buen contrapeso crítico a la idea de "más viajes multilaterales = más integración efectiva", útil para matizar tus propias conclusiones sobre viajes multilaterales.</w:t>
      </w:r>
    </w:p>
    <w:p>
      <w:pPr>
        <w:spacing w:after="120"/>
        <w:ind w:left="100"/>
      </w:pPr>
      <w:r>
        <w:rPr>
          <w:i/>
          <w:iCs/>
          <w:color w:val="777777"/>
          <w:sz w:val="17"/>
          <w:szCs w:val="17"/>
        </w:rPr>
        <w:t xml:space="preserve">Nota: en la carpeta Bib tambien existe la version en ingles de este mismo trabajo, archivo "Malamud (2022).pdf" (el nombre del archivo tiene el anio mal puesto): Malamud, A. (2005). Presidential Diplomacy and the Institutional Underpinnings of MERCOSUR: An Empirical Examination. Latin American Research Review, 40(1).</w:t>
      </w:r>
    </w:p>
    <w:p>
      <w:pPr>
        <w:pBdr>
          <w:left w:val="single" w:color="404040" w:sz="12" w:space="8"/>
        </w:pBdr>
        <w:spacing w:after="40" w:before="240"/>
        <w:ind w:left="100"/>
      </w:pPr>
      <w:r>
        <w:rPr>
          <w:b/>
          <w:bCs/>
          <w:sz w:val="22"/>
          <w:szCs w:val="22"/>
        </w:rPr>
        <w:t xml:space="preserve">Aras &amp; Fazlioglu (2025)  —  Dataset gemelo de COLT pero para Rusia</w:t>
      </w:r>
    </w:p>
    <w:p>
      <w:pPr>
        <w:spacing w:after="80"/>
        <w:ind w:left="100"/>
      </w:pPr>
      <w:r>
        <w:rPr>
          <w:i/>
          <w:iCs/>
          <w:color w:val="444444"/>
          <w:sz w:val="18"/>
          <w:szCs w:val="18"/>
        </w:rPr>
        <w:t xml:space="preserve">Aras, B., &amp; Fazlioglu, B. (2025). The brothers Karamazov go abroad: A dataset of Russian leaders’ foreign visits. The Review of International Organizations, 21, 465–505. https://doi.org/10.1007/s11558-025-09584-5</w:t>
      </w:r>
    </w:p>
    <w:p>
      <w:pPr>
        <w:spacing w:after="80"/>
        <w:ind w:left="100"/>
      </w:pPr>
      <w:r>
        <w:rPr>
          <w:b/>
          <w:bCs/>
          <w:sz w:val="20"/>
          <w:szCs w:val="20"/>
        </w:rPr>
        <w:t xml:space="preserve">Resumen: </w:t>
      </w:r>
      <w:r>
        <w:rPr>
          <w:sz w:val="20"/>
          <w:szCs w:val="20"/>
        </w:rPr>
        <w:t xml:space="preserve">Presenta el “Russia Visits Dataset”, que registra viajes de alto nivel de lideres rusos (presidentes, primeros ministros, cancilleres) entre 1991 y 2023. Con un modelo probit muestra que factores estrategicos (politicos, economicos, militares) explican la distribucion de los viajes mucho mas que los factores domesticos, y que la pertenencia a organizaciones internacionales (como la Union Economica Eurasiatica) es un motor clave. Es un espejo metodologico de COLT aplicado a un solo pais: util para pensar como aislar factores estrategicos vs. domesticos en tu propia base.</w:t>
      </w:r>
    </w:p>
    <w:p>
      <w:pPr>
        <w:pBdr>
          <w:left w:val="single" w:color="404040" w:sz="12" w:space="8"/>
        </w:pBdr>
        <w:spacing w:after="40" w:before="240"/>
        <w:ind w:left="100"/>
      </w:pPr>
      <w:r>
        <w:rPr>
          <w:b/>
          <w:bCs/>
          <w:sz w:val="22"/>
          <w:szCs w:val="22"/>
        </w:rPr>
        <w:t xml:space="preserve">Peña (2005)  —  La compleja red de cumbres presidenciales en Sudamérica</w:t>
      </w:r>
    </w:p>
    <w:p>
      <w:pPr>
        <w:spacing w:after="80"/>
        <w:ind w:left="100"/>
      </w:pPr>
      <w:r>
        <w:rPr>
          <w:i/>
          <w:iCs/>
          <w:color w:val="444444"/>
          <w:sz w:val="18"/>
          <w:szCs w:val="18"/>
        </w:rPr>
        <w:t xml:space="preserve">Peña, F. (2005). La compleja red de cumbres presidenciales. Reflexiones sobre la diplomacia presidencial multilateral y multiespacial en America del Sur. America Latina Hoy, 40, 29-47.</w:t>
      </w:r>
    </w:p>
    <w:p>
      <w:pPr>
        <w:spacing w:after="80"/>
        <w:ind w:left="100"/>
      </w:pPr>
      <w:r>
        <w:rPr>
          <w:b/>
          <w:bCs/>
          <w:sz w:val="20"/>
          <w:szCs w:val="20"/>
        </w:rPr>
        <w:t xml:space="preserve">Resumen: </w:t>
      </w:r>
      <w:r>
        <w:rPr>
          <w:sz w:val="20"/>
          <w:szCs w:val="20"/>
        </w:rPr>
        <w:t xml:space="preserve">Reflexiona sobre la proliferacion de espacios de cumbres presidenciales en Sudamerica (Mercosur, Grupo de Rio, Cumbres Iberoamericanas, etc.) y sobre los riesgos y potencialidades de esa “compleja red” multiespacial para la diplomacia presidencial regional. Texto casi contemporaneo al inicio de tu ventana temporal (1994-2025) y anterior a la ola de nuevos organismos (UNASUR, CELAC) que vendria despues: sirve como punto de partida historico para pensar la evolucion de los viajes multilaterales de tu base.</w:t>
      </w:r>
    </w:p>
    <w:p>
      <w:pPr>
        <w:pStyle w:val="Heading1"/>
        <w:spacing w:after="80" w:before="400"/>
      </w:pPr>
      <w:r>
        <w:t xml:space="preserve">Nivel 2 — Por qué el presidente es la unidad de análisis correcta</w:t>
      </w:r>
    </w:p>
    <w:p>
      <w:pPr>
        <w:spacing w:after="160"/>
      </w:pPr>
      <w:r>
        <w:rPr>
          <w:i/>
          <w:iCs/>
          <w:color w:val="555555"/>
          <w:sz w:val="19"/>
          <w:szCs w:val="19"/>
        </w:rPr>
        <w:t xml:space="preserve">Marco teórico sobre "presidencialización" de la política exterior en Sudamérica: por qué medir viajes presidenciales (y no cables de cancillería) es una forma válida de medir política exterior.</w:t>
      </w:r>
    </w:p>
    <w:p>
      <w:pPr>
        <w:pBdr>
          <w:left w:val="single" w:color="404040" w:sz="12" w:space="8"/>
        </w:pBdr>
        <w:spacing w:after="40" w:before="240"/>
        <w:ind w:left="100"/>
      </w:pPr>
      <w:r>
        <w:rPr>
          <w:b/>
          <w:bCs/>
          <w:sz w:val="22"/>
          <w:szCs w:val="22"/>
        </w:rPr>
        <w:t xml:space="preserve">Cason &amp; Power (2009)  —  Presidencialización de la política exterior brasileña</w:t>
      </w:r>
    </w:p>
    <w:p>
      <w:pPr>
        <w:spacing w:after="80"/>
        <w:ind w:left="100"/>
      </w:pPr>
      <w:r>
        <w:rPr>
          <w:i/>
          <w:iCs/>
          <w:color w:val="444444"/>
          <w:sz w:val="18"/>
          <w:szCs w:val="18"/>
        </w:rPr>
        <w:t xml:space="preserve">Cason, J. W., &amp; Power, T. J. (2009). Presidentialization, Pluralization, and the Rollback of Itamaraty: Explaining Change in Brazilian Foreign Policy Making in the Cardoso-Lula Era. International Political Science Review, 30(2), 117-140.</w:t>
      </w:r>
    </w:p>
    <w:p>
      <w:pPr>
        <w:spacing w:after="80"/>
        <w:ind w:left="100"/>
      </w:pPr>
      <w:r>
        <w:rPr>
          <w:b/>
          <w:bCs/>
          <w:sz w:val="20"/>
          <w:szCs w:val="20"/>
        </w:rPr>
        <w:t xml:space="preserve">Resumen: </w:t>
      </w:r>
      <w:r>
        <w:rPr>
          <w:sz w:val="20"/>
          <w:szCs w:val="20"/>
        </w:rPr>
        <w:t xml:space="preserve">Argumenta que desde los años 90 la política exterior brasileña se caracteriza por dos tendencias paralelas: pluralización de actores y ascenso de una diplomacia conducida directamente por el presidente, lo que erosionó gradualmente la autonomía histórica de Itamaraty. Marco clave para justificar por qué contar viajes presidenciales de Brasil capta algo real del proceso de toma de decisiones.</w:t>
      </w:r>
    </w:p>
    <w:p>
      <w:pPr>
        <w:pBdr>
          <w:left w:val="single" w:color="404040" w:sz="12" w:space="8"/>
        </w:pBdr>
        <w:spacing w:after="40" w:before="240"/>
        <w:ind w:left="100"/>
      </w:pPr>
      <w:r>
        <w:rPr>
          <w:b/>
          <w:bCs/>
          <w:sz w:val="22"/>
          <w:szCs w:val="22"/>
        </w:rPr>
        <w:t xml:space="preserve">Neto &amp; Malamud (2019)  —  Capacidad de las cancillerías vs. diplomacia presidencial</w:t>
      </w:r>
    </w:p>
    <w:p>
      <w:pPr>
        <w:spacing w:after="80"/>
        <w:ind w:left="100"/>
      </w:pPr>
      <w:r>
        <w:rPr>
          <w:i/>
          <w:iCs/>
          <w:color w:val="444444"/>
          <w:sz w:val="18"/>
          <w:szCs w:val="18"/>
        </w:rPr>
        <w:t xml:space="preserve">Amorim Neto, O., &amp; Malamud, A. (2019). The Policy-Making Capacity of Foreign Ministries in Presidential Regimes: A Study of Argentina, Brazil, and Mexico, 1946–2015. Latin American Research Review, 54(4), 812-834. https://doi.org/10.25222/larr.273</w:t>
      </w:r>
    </w:p>
    <w:p>
      <w:pPr>
        <w:spacing w:after="80"/>
        <w:ind w:left="100"/>
      </w:pPr>
      <w:r>
        <w:rPr>
          <w:b/>
          <w:bCs/>
          <w:sz w:val="20"/>
          <w:szCs w:val="20"/>
        </w:rPr>
        <w:t xml:space="preserve">Resumen: </w:t>
      </w:r>
      <w:r>
        <w:rPr>
          <w:sz w:val="20"/>
          <w:szCs w:val="20"/>
        </w:rPr>
        <w:t xml:space="preserve">Mide la capacidad de las cancillerías de Argentina, Brasil y México a partir de tres dimensiones -profesionalización del cuerpo diplomático, atribuciones institucionales y grado de delegación presidencial-, usando entre otros datos los viajes al exterior del presidente. Marco conceptual directamente aplicable para pensar "cuánto pesa" la diplomacia presidencial en cada país de tu base.</w:t>
      </w:r>
    </w:p>
    <w:p>
      <w:pPr>
        <w:pBdr>
          <w:left w:val="single" w:color="404040" w:sz="12" w:space="8"/>
        </w:pBdr>
        <w:spacing w:after="40" w:before="240"/>
        <w:ind w:left="100"/>
      </w:pPr>
      <w:r>
        <w:rPr>
          <w:b/>
          <w:bCs/>
          <w:sz w:val="22"/>
          <w:szCs w:val="22"/>
        </w:rPr>
        <w:t xml:space="preserve">Neto &amp; Malamud (2020)  —  Cuándo el presidente delega la política exterior en su canciller</w:t>
      </w:r>
    </w:p>
    <w:p>
      <w:pPr>
        <w:spacing w:after="80"/>
        <w:ind w:left="100"/>
      </w:pPr>
      <w:r>
        <w:rPr>
          <w:i/>
          <w:iCs/>
          <w:color w:val="444444"/>
          <w:sz w:val="18"/>
          <w:szCs w:val="18"/>
        </w:rPr>
        <w:t xml:space="preserve">Amorim Neto, O., &amp; Malamud, A. (2020). Presidential Delegation to Foreign Ministries: A Study of Argentina, Brazil, and Mexico (1946–2015). Journal of Politics in Latin America, 12(2), 123-154. https://doi.org/10.1177/1866802X20944184</w:t>
      </w:r>
    </w:p>
    <w:p>
      <w:pPr>
        <w:spacing w:after="80"/>
        <w:ind w:left="100"/>
      </w:pPr>
      <w:r>
        <w:rPr>
          <w:b/>
          <w:bCs/>
          <w:sz w:val="20"/>
          <w:szCs w:val="20"/>
        </w:rPr>
        <w:t xml:space="preserve">Resumen: </w:t>
      </w:r>
      <w:r>
        <w:rPr>
          <w:sz w:val="20"/>
          <w:szCs w:val="20"/>
        </w:rPr>
        <w:t xml:space="preserve">Compañero del anterior: usa comparación cualitativa con conjuntos difusos (fsQCA) para identificar combinaciones de factores (estabilidad internacional, ideología del presidente, consenso de élite, profesionalización diplomática) que explican cuándo un presidente delega la conducción de política exterior en vez de llevarla él mismo -viajando personalmente-.</w:t>
      </w:r>
    </w:p>
    <w:p>
      <w:pPr>
        <w:pBdr>
          <w:left w:val="single" w:color="404040" w:sz="12" w:space="8"/>
        </w:pBdr>
        <w:spacing w:after="40" w:before="240"/>
        <w:ind w:left="100"/>
      </w:pPr>
      <w:r>
        <w:rPr>
          <w:b/>
          <w:bCs/>
          <w:sz w:val="22"/>
          <w:szCs w:val="22"/>
        </w:rPr>
        <w:t xml:space="preserve">Barnabé (2010)  —  Diplomacia presidencial en Brasil: FHC vs. Lula</w:t>
      </w:r>
    </w:p>
    <w:p>
      <w:pPr>
        <w:spacing w:after="80"/>
        <w:ind w:left="100"/>
      </w:pPr>
      <w:r>
        <w:rPr>
          <w:i/>
          <w:iCs/>
          <w:color w:val="444444"/>
          <w:sz w:val="18"/>
          <w:szCs w:val="18"/>
        </w:rPr>
        <w:t xml:space="preserve">Barnabé, I. R. (2010). O Itamaraty e a Diplomacia Presidencial nos governos FHC e Lula. Revista de Estudos Internacionais (REI), 1(2), 29-45.</w:t>
      </w:r>
    </w:p>
    <w:p>
      <w:pPr>
        <w:spacing w:after="80"/>
        <w:ind w:left="100"/>
      </w:pPr>
      <w:r>
        <w:rPr>
          <w:b/>
          <w:bCs/>
          <w:sz w:val="20"/>
          <w:szCs w:val="20"/>
        </w:rPr>
        <w:t xml:space="preserve">Resumen: </w:t>
      </w:r>
      <w:r>
        <w:rPr>
          <w:sz w:val="20"/>
          <w:szCs w:val="20"/>
        </w:rPr>
        <w:t xml:space="preserve">Compara el ejercicio personalizado de la diplomacia presidencial bajo Cardoso y Lula, y su relación con Itamaraty, señalando semejanzas y diferencias en cómo cada uno ejerció la conducción directa de la política exterior brasileña.</w:t>
      </w:r>
    </w:p>
    <w:p>
      <w:pPr>
        <w:pBdr>
          <w:left w:val="single" w:color="404040" w:sz="12" w:space="8"/>
        </w:pBdr>
        <w:spacing w:after="40" w:before="240"/>
        <w:ind w:left="100"/>
      </w:pPr>
      <w:r>
        <w:rPr>
          <w:b/>
          <w:bCs/>
          <w:sz w:val="22"/>
          <w:szCs w:val="22"/>
        </w:rPr>
        <w:t xml:space="preserve">Burges (2017)  —  El liderazgo presidencial como motor de cambio en la PE brasileña</w:t>
      </w:r>
    </w:p>
    <w:p>
      <w:pPr>
        <w:spacing w:after="80"/>
        <w:ind w:left="100"/>
      </w:pPr>
      <w:r>
        <w:rPr>
          <w:i/>
          <w:iCs/>
          <w:color w:val="444444"/>
          <w:sz w:val="18"/>
          <w:szCs w:val="18"/>
        </w:rPr>
        <w:t xml:space="preserve">Burges, S. W. (2017). The importance of presidential leadership for Brazilian foreign policy. Policy Studies. https://doi.org/10.1080/01442872.2017.1290228</w:t>
      </w:r>
    </w:p>
    <w:p>
      <w:pPr>
        <w:spacing w:after="80"/>
        <w:ind w:left="100"/>
      </w:pPr>
      <w:r>
        <w:rPr>
          <w:b/>
          <w:bCs/>
          <w:sz w:val="20"/>
          <w:szCs w:val="20"/>
        </w:rPr>
        <w:t xml:space="preserve">Resumen: </w:t>
      </w:r>
      <w:r>
        <w:rPr>
          <w:sz w:val="20"/>
          <w:szCs w:val="20"/>
        </w:rPr>
        <w:t xml:space="preserve">Desafía la idea de que la política exterior brasileña es "de Estado" y ajena al debate político cotidiano. Muestra que el compromiso y la autoridad del presidente son el factor central de cambio estratégico -con Collor, Cardoso y Lula como impulsores de cambio, y Franco/Dilma como períodos de continuidad inercial sin mucho dinamismo-.</w:t>
      </w:r>
    </w:p>
    <w:p>
      <w:pPr>
        <w:pStyle w:val="Heading1"/>
        <w:spacing w:after="80" w:before="400"/>
      </w:pPr>
      <w:r>
        <w:t xml:space="preserve">Nivel 3 — Casos y coyunturas específicas de tu propia base</w:t>
      </w:r>
    </w:p>
    <w:p>
      <w:pPr>
        <w:spacing w:after="160"/>
      </w:pPr>
      <w:r>
        <w:rPr>
          <w:i/>
          <w:iCs/>
          <w:color w:val="555555"/>
          <w:sz w:val="19"/>
          <w:szCs w:val="19"/>
        </w:rPr>
        <w:t xml:space="preserve">Estos textos te van a servir para escribir los "por qué" detrás de los quiebres que vas a encontrar en tus gráficos (cambios de gobierno, caída de viajes multilaterales, etc.).</w:t>
      </w:r>
    </w:p>
    <w:p>
      <w:pPr>
        <w:pBdr>
          <w:left w:val="single" w:color="404040" w:sz="12" w:space="8"/>
        </w:pBdr>
        <w:spacing w:after="40" w:before="240"/>
        <w:ind w:left="100"/>
      </w:pPr>
      <w:r>
        <w:rPr>
          <w:b/>
          <w:bCs/>
          <w:sz w:val="22"/>
          <w:szCs w:val="22"/>
        </w:rPr>
        <w:t xml:space="preserve">Merke (2026)  —  El realineamiento de Milei</w:t>
      </w:r>
    </w:p>
    <w:p>
      <w:pPr>
        <w:spacing w:after="80"/>
        <w:ind w:left="100"/>
      </w:pPr>
      <w:r>
        <w:rPr>
          <w:i/>
          <w:iCs/>
          <w:color w:val="444444"/>
          <w:sz w:val="18"/>
          <w:szCs w:val="18"/>
        </w:rPr>
        <w:t xml:space="preserve">Merke, F. (2026). Right-Wing Populism and Strategic Realignment: Argentina's Milei Experiment. Carnegie Endowment for International Peace.</w:t>
      </w:r>
    </w:p>
    <w:p>
      <w:pPr>
        <w:spacing w:after="80"/>
        <w:ind w:left="100"/>
      </w:pPr>
      <w:r>
        <w:rPr>
          <w:b/>
          <w:bCs/>
          <w:sz w:val="20"/>
          <w:szCs w:val="20"/>
        </w:rPr>
        <w:t xml:space="preserve">Resumen: </w:t>
      </w:r>
      <w:r>
        <w:rPr>
          <w:sz w:val="20"/>
          <w:szCs w:val="20"/>
        </w:rPr>
        <w:t xml:space="preserve">Analiza el realineamiento estratégico de Milei hacia EE. UU./Israel y el abandono de la agenda regional y de los BRICS, en el marco más amplio del "giro populista" en la diplomacia de potencias medias. Útil para interpretar destinos y prioridades del gobierno de Milei en tu base de datos.</w:t>
      </w:r>
    </w:p>
    <w:p>
      <w:pPr>
        <w:pBdr>
          <w:left w:val="single" w:color="404040" w:sz="12" w:space="8"/>
        </w:pBdr>
        <w:spacing w:after="40" w:before="240"/>
        <w:ind w:left="100"/>
      </w:pPr>
      <w:r>
        <w:rPr>
          <w:b/>
          <w:bCs/>
          <w:sz w:val="22"/>
          <w:szCs w:val="22"/>
        </w:rPr>
        <w:t xml:space="preserve">Barrenengoa &amp; Kan (2023)  —  La política exterior regional de Macri (2015-2019)</w:t>
      </w:r>
    </w:p>
    <w:p>
      <w:pPr>
        <w:spacing w:after="80"/>
        <w:ind w:left="100"/>
      </w:pPr>
      <w:r>
        <w:rPr>
          <w:i/>
          <w:iCs/>
          <w:color w:val="444444"/>
          <w:sz w:val="18"/>
          <w:szCs w:val="18"/>
        </w:rPr>
        <w:t xml:space="preserve">Barrenengoa, A., &amp; Kan, J. (2023). La política exterior del gobierno de Mauricio Macri en clave regional: ¿volvimos al mundo? Perfiles Latinoamericanos, 31(61). https://doi.org/10.18504/pl3161-005-2023</w:t>
      </w:r>
    </w:p>
    <w:p>
      <w:pPr>
        <w:spacing w:after="80"/>
        <w:ind w:left="100"/>
      </w:pPr>
      <w:r>
        <w:rPr>
          <w:b/>
          <w:bCs/>
          <w:sz w:val="20"/>
          <w:szCs w:val="20"/>
        </w:rPr>
        <w:t xml:space="preserve">Resumen: </w:t>
      </w:r>
      <w:r>
        <w:rPr>
          <w:sz w:val="20"/>
          <w:szCs w:val="20"/>
        </w:rPr>
        <w:t xml:space="preserve">Analiza el período 2015-2019 en relación con Sudamérica y otros actores globales (EE. UU., China, UE, Reino Unido), mostrando el realineamiento con EE. UU. y el abandono del regionalismo autonomista previo. Contexto directo para interpretar los viajes de Macri en tu base.</w:t>
      </w:r>
    </w:p>
    <w:p>
      <w:pPr>
        <w:pBdr>
          <w:left w:val="single" w:color="404040" w:sz="12" w:space="8"/>
        </w:pBdr>
        <w:spacing w:after="40" w:before="240"/>
        <w:ind w:left="100"/>
      </w:pPr>
      <w:r>
        <w:rPr>
          <w:b/>
          <w:bCs/>
          <w:sz w:val="22"/>
          <w:szCs w:val="22"/>
        </w:rPr>
        <w:t xml:space="preserve">Romualdo Silva (2020)  —  La diplomacia (débil) de Dilma en Sudamérica</w:t>
      </w:r>
    </w:p>
    <w:p>
      <w:pPr>
        <w:spacing w:after="80"/>
        <w:ind w:left="100"/>
      </w:pPr>
      <w:r>
        <w:rPr>
          <w:i/>
          <w:iCs/>
          <w:color w:val="444444"/>
          <w:sz w:val="18"/>
          <w:szCs w:val="18"/>
        </w:rPr>
        <w:t xml:space="preserve">Romualdo Silva, D. (2020). O Avião com Pouco Combustível: A Diplomacia de Dilma Rousseff na América do Sul (2011-2016). Cadernos de Relações Internacionais/PUC-Rio, 2.</w:t>
      </w:r>
    </w:p>
    <w:p>
      <w:pPr>
        <w:spacing w:after="80"/>
        <w:ind w:left="100"/>
      </w:pPr>
      <w:r>
        <w:rPr>
          <w:b/>
          <w:bCs/>
          <w:sz w:val="20"/>
          <w:szCs w:val="20"/>
        </w:rPr>
        <w:t xml:space="preserve">Resumen: </w:t>
      </w:r>
      <w:r>
        <w:rPr>
          <w:sz w:val="20"/>
          <w:szCs w:val="20"/>
        </w:rPr>
        <w:t xml:space="preserve">Sostiene que la dificultad de Dilma Rousseff para ejercer liderazgo y su relativa desatención a la política exterior -combinadas con crisis domésticas y regionales- redujeron el peso de Brasil como actor central en Sudamérica entre 2011 y 2016. Usa explícitamente "viagens presidenciais" como palabra clave del trabajo.</w:t>
      </w:r>
    </w:p>
    <w:p>
      <w:pPr>
        <w:pBdr>
          <w:left w:val="single" w:color="404040" w:sz="12" w:space="8"/>
        </w:pBdr>
        <w:spacing w:after="40" w:before="240"/>
        <w:ind w:left="100"/>
      </w:pPr>
      <w:r>
        <w:rPr>
          <w:b/>
          <w:bCs/>
          <w:sz w:val="22"/>
          <w:szCs w:val="22"/>
        </w:rPr>
        <w:t xml:space="preserve">Barros &amp; Gonçalves (2021)  —  La crisis de UNASUR y el giro brasileño hacia Prosur</w:t>
      </w:r>
    </w:p>
    <w:p>
      <w:pPr>
        <w:spacing w:after="80"/>
        <w:ind w:left="100"/>
      </w:pPr>
      <w:r>
        <w:rPr>
          <w:i/>
          <w:iCs/>
          <w:color w:val="444444"/>
          <w:sz w:val="18"/>
          <w:szCs w:val="18"/>
        </w:rPr>
        <w:t xml:space="preserve">Barros, P. S., &amp; Souza Borba Gonçalves, J. de. (2021). Crisis in South American regionalism and Brazilian protagonism in Unasur, the Lima Group and Prosur. Revista Brasileira de Política Internacional, 64(2), e009.</w:t>
      </w:r>
    </w:p>
    <w:p>
      <w:pPr>
        <w:spacing w:after="80"/>
        <w:ind w:left="100"/>
      </w:pPr>
      <w:r>
        <w:rPr>
          <w:b/>
          <w:bCs/>
          <w:sz w:val="20"/>
          <w:szCs w:val="20"/>
        </w:rPr>
        <w:t xml:space="preserve">Resumen: </w:t>
      </w:r>
      <w:r>
        <w:rPr>
          <w:sz w:val="20"/>
          <w:szCs w:val="20"/>
        </w:rPr>
        <w:t xml:space="preserve">Analiza la desintegración de UNASUR desde 2017 y el surgimiento de nuevos arreglos (Grupo de Lima, Prosur, Pacto de Leticia), con foco en cómo el giro de la política exterior brasileña contribuyó a esa crisis. Clave para explicar la caída de viajes "multilaterales/regionales" que probablemente veas en tus datos a partir de 2017-2019.</w:t>
      </w:r>
    </w:p>
    <w:p>
      <w:pPr>
        <w:pBdr>
          <w:left w:val="single" w:color="404040" w:sz="12" w:space="8"/>
        </w:pBdr>
        <w:spacing w:after="40" w:before="240"/>
        <w:ind w:left="100"/>
      </w:pPr>
      <w:r>
        <w:rPr>
          <w:b/>
          <w:bCs/>
          <w:sz w:val="22"/>
          <w:szCs w:val="22"/>
        </w:rPr>
        <w:t xml:space="preserve">Nolte (2021)  —  El fin de la "época dorada" de las cumbres regionales</w:t>
      </w:r>
    </w:p>
    <w:p>
      <w:pPr>
        <w:spacing w:after="80"/>
        <w:ind w:left="100"/>
      </w:pPr>
      <w:r>
        <w:rPr>
          <w:i/>
          <w:iCs/>
          <w:color w:val="444444"/>
          <w:sz w:val="18"/>
          <w:szCs w:val="18"/>
        </w:rPr>
        <w:t xml:space="preserve">Nolte, D. (2021). From the summits to the plains: The crisis of Latin American Regionalism. Latin American Policy, 12, 181-192. https://doi.org/10.1111/lamp.12215</w:t>
      </w:r>
    </w:p>
    <w:p>
      <w:pPr>
        <w:spacing w:after="80"/>
        <w:ind w:left="100"/>
      </w:pPr>
      <w:r>
        <w:rPr>
          <w:b/>
          <w:bCs/>
          <w:sz w:val="20"/>
          <w:szCs w:val="20"/>
        </w:rPr>
        <w:t xml:space="preserve">Resumen: </w:t>
      </w:r>
      <w:r>
        <w:rPr>
          <w:sz w:val="20"/>
          <w:szCs w:val="20"/>
        </w:rPr>
        <w:t xml:space="preserve">Contrasta la "época dorada" de las cumbres regionales (2004-2012: 144 cumbres en 9 años) con la fatiga y crisis posterior del regionalismo latinoamericano. Complementa directamente a Barros &amp; Gonçalves y te da una cifra concreta para contrastar contra tu propio conteo de viajes multilaterales por período.</w:t>
      </w:r>
    </w:p>
    <w:p>
      <w:pPr>
        <w:pBdr>
          <w:left w:val="single" w:color="404040" w:sz="12" w:space="8"/>
        </w:pBdr>
        <w:spacing w:after="40" w:before="240"/>
        <w:ind w:left="100"/>
      </w:pPr>
      <w:r>
        <w:rPr>
          <w:b/>
          <w:bCs/>
          <w:sz w:val="22"/>
          <w:szCs w:val="22"/>
        </w:rPr>
        <w:t xml:space="preserve">Merke &amp; Pereyra Doval (2022)  —  El enfriamiento de la relación Argentina-Brasil</w:t>
      </w:r>
    </w:p>
    <w:p>
      <w:pPr>
        <w:spacing w:after="80"/>
        <w:ind w:left="100"/>
      </w:pPr>
      <w:r>
        <w:rPr>
          <w:i/>
          <w:iCs/>
          <w:color w:val="444444"/>
          <w:sz w:val="18"/>
          <w:szCs w:val="18"/>
        </w:rPr>
        <w:t xml:space="preserve">Merke, F., &amp; Pereyra Doval, G. (2022). The growing divide: Preferences, interests, and the shadow of the future in Argentina-Brazil relations. Latin American Policy. https://doi.org/10.1111/lamp.12278</w:t>
      </w:r>
    </w:p>
    <w:p>
      <w:pPr>
        <w:spacing w:after="80"/>
        <w:ind w:left="100"/>
      </w:pPr>
      <w:r>
        <w:rPr>
          <w:b/>
          <w:bCs/>
          <w:sz w:val="20"/>
          <w:szCs w:val="20"/>
        </w:rPr>
        <w:t xml:space="preserve">Resumen: </w:t>
      </w:r>
      <w:r>
        <w:rPr>
          <w:sz w:val="20"/>
          <w:szCs w:val="20"/>
        </w:rPr>
        <w:t xml:space="preserve">Examina la evolución de la relación bilateral Argentina-Brasil y pone a prueba tres explicaciones de su ascenso y declive: preferencias (coaliciones domésticas y ciclo electoral), intereses (actores empresariales y patrones de comercio) y la "sombra del futuro" (expectativas de interacción futura). Muy útil para interpretar la frecuencia de viajes entre ambos países en distintos períodos de tu base.</w:t>
      </w:r>
    </w:p>
    <w:p>
      <w:pPr>
        <w:pBdr>
          <w:left w:val="single" w:color="404040" w:sz="12" w:space="8"/>
        </w:pBdr>
        <w:spacing w:after="40" w:before="240"/>
        <w:ind w:left="100"/>
      </w:pPr>
      <w:r>
        <w:rPr>
          <w:b/>
          <w:bCs/>
          <w:sz w:val="22"/>
          <w:szCs w:val="22"/>
        </w:rPr>
        <w:t xml:space="preserve">González &amp; Tokatlian (2026)  —  Contexto regional bajo el segundo gobierno de Trump</w:t>
      </w:r>
    </w:p>
    <w:p>
      <w:pPr>
        <w:spacing w:after="80"/>
        <w:ind w:left="100"/>
      </w:pPr>
      <w:r>
        <w:rPr>
          <w:i/>
          <w:iCs/>
          <w:color w:val="444444"/>
          <w:sz w:val="18"/>
          <w:szCs w:val="18"/>
        </w:rPr>
        <w:t xml:space="preserve">González, G., &amp; Tokatlian, J. G. (2026). El desconcierto latinoamericano frente al (previsible) acoso de Donald Trump. Nueva Sociedad, (321).</w:t>
      </w:r>
    </w:p>
    <w:p>
      <w:pPr>
        <w:spacing w:after="80"/>
        <w:ind w:left="100"/>
      </w:pPr>
      <w:r>
        <w:rPr>
          <w:b/>
          <w:bCs/>
          <w:sz w:val="20"/>
          <w:szCs w:val="20"/>
        </w:rPr>
        <w:t xml:space="preserve">Resumen: </w:t>
      </w:r>
      <w:r>
        <w:rPr>
          <w:sz w:val="20"/>
          <w:szCs w:val="20"/>
        </w:rPr>
        <w:t xml:space="preserve">Analiza la reconfiguración de las relaciones EE. UU.-América Latina bajo el segundo gobierno de Trump (sanciones, intervenciones, bilateralismo agresivo, retorno de una lógica tipo Doctrina Monroe). Da contexto político para interpretar el tramo más reciente de tu base (2025 en adelante), en particular los viajes vinculados a EE. UU.</w:t>
      </w:r>
    </w:p>
    <w:p>
      <w:pPr>
        <w:pBdr>
          <w:left w:val="single" w:color="404040" w:sz="12" w:space="8"/>
        </w:pBdr>
        <w:spacing w:after="40" w:before="240"/>
        <w:ind w:left="100"/>
      </w:pPr>
      <w:r>
        <w:rPr>
          <w:b/>
          <w:bCs/>
          <w:sz w:val="22"/>
          <w:szCs w:val="22"/>
        </w:rPr>
        <w:t xml:space="preserve">Merke, Reynoso &amp; Schenoni (2020)  —  Qué explica el cambio de política exterior entre gobiernos</w:t>
      </w:r>
    </w:p>
    <w:p>
      <w:pPr>
        <w:spacing w:after="80"/>
        <w:ind w:left="100"/>
      </w:pPr>
      <w:r>
        <w:rPr>
          <w:i/>
          <w:iCs/>
          <w:color w:val="444444"/>
          <w:sz w:val="18"/>
          <w:szCs w:val="18"/>
        </w:rPr>
        <w:t xml:space="preserve">Merke, F., Reynoso, D., &amp; Schenoni, L. L. (2020). Foreign Policy Change in Latin America: Exploring a Middle-Range Concept. Latin American Research Review, 55(3), 413-429. https://doi.org/10.25222/larr.380</w:t>
      </w:r>
    </w:p>
    <w:p>
      <w:pPr>
        <w:spacing w:after="80"/>
        <w:ind w:left="100"/>
      </w:pPr>
      <w:r>
        <w:rPr>
          <w:b/>
          <w:bCs/>
          <w:sz w:val="20"/>
          <w:szCs w:val="20"/>
        </w:rPr>
        <w:t xml:space="preserve">Resumen: </w:t>
      </w:r>
      <w:r>
        <w:rPr>
          <w:sz w:val="20"/>
          <w:szCs w:val="20"/>
        </w:rPr>
        <w:t xml:space="preserve">A partir de una encuesta a expertos (1980-2014, 19 países), muestra que la ideología del presidente es el factor que más explica el cambio de política exterior entre un gobierno y el siguiente. Marco útil para tu sección de discusión/conclusiones cuando expliques los quiebres que vas a encontrar entre presidentes de un mismo país.</w:t>
      </w:r>
    </w:p>
    <w:p>
      <w:pPr>
        <w:pBdr>
          <w:left w:val="single" w:color="404040" w:sz="12" w:space="8"/>
        </w:pBdr>
        <w:spacing w:after="40" w:before="240"/>
        <w:ind w:left="100"/>
      </w:pPr>
      <w:r>
        <w:rPr>
          <w:b/>
          <w:bCs/>
          <w:sz w:val="22"/>
          <w:szCs w:val="22"/>
        </w:rPr>
        <w:t xml:space="preserve">Merke &amp; Reynoso (2016)  —  Encuesta a expertos: orientación de política exterior por presidente</w:t>
      </w:r>
    </w:p>
    <w:p>
      <w:pPr>
        <w:spacing w:after="80"/>
        <w:ind w:left="100"/>
      </w:pPr>
      <w:r>
        <w:rPr>
          <w:i/>
          <w:iCs/>
          <w:color w:val="444444"/>
          <w:sz w:val="18"/>
          <w:szCs w:val="18"/>
        </w:rPr>
        <w:t xml:space="preserve">Merke, F., &amp; Reynoso, D. (2016). Dimensiones de política exterior en América Latina según juicio de expertos. Estudios Internacionales, 48(185), 107-131.</w:t>
      </w:r>
    </w:p>
    <w:p>
      <w:pPr>
        <w:spacing w:after="80"/>
        <w:ind w:left="100"/>
      </w:pPr>
      <w:r>
        <w:rPr>
          <w:b/>
          <w:bCs/>
          <w:sz w:val="20"/>
          <w:szCs w:val="20"/>
        </w:rPr>
        <w:t xml:space="preserve">Resumen: </w:t>
      </w:r>
      <w:r>
        <w:rPr>
          <w:sz w:val="20"/>
          <w:szCs w:val="20"/>
        </w:rPr>
        <w:t xml:space="preserve">Encuesta a expertos que estima la orientación de política exterior de presidentes de 19 países latinoamericanos entre 1980 y 2014, en cuatro dimensiones. Buena fuente independiente para cruzar o validar tu propia clasificación cualitativa de la orientación de cada mandatario de tu base.</w:t>
      </w:r>
    </w:p>
    <w:p>
      <w:pPr>
        <w:pBdr>
          <w:left w:val="single" w:color="404040" w:sz="12" w:space="8"/>
        </w:pBdr>
        <w:spacing w:after="40" w:before="240"/>
        <w:ind w:left="100"/>
      </w:pPr>
      <w:r>
        <w:rPr>
          <w:b/>
          <w:bCs/>
          <w:sz w:val="22"/>
          <w:szCs w:val="22"/>
        </w:rPr>
        <w:t xml:space="preserve">Gomes Saraiva (2010)  —  La política exterior de Lula hacia Sudamérica, entre Sudamérica y Mercosur</w:t>
      </w:r>
    </w:p>
    <w:p>
      <w:pPr>
        <w:spacing w:after="80"/>
        <w:ind w:left="100"/>
      </w:pPr>
      <w:r>
        <w:rPr>
          <w:i/>
          <w:iCs/>
          <w:color w:val="444444"/>
          <w:sz w:val="18"/>
          <w:szCs w:val="18"/>
        </w:rPr>
        <w:t xml:space="preserve">Gomes Saraiva, M. (2010). Brazilian foreign policy towards South America during the Lula administration: caught between South America and Mercosur. Revista Brasileira de Politica Internacional, 53(special edition), 151-168.</w:t>
      </w:r>
    </w:p>
    <w:p>
      <w:pPr>
        <w:spacing w:after="80"/>
        <w:ind w:left="100"/>
      </w:pPr>
      <w:r>
        <w:rPr>
          <w:b/>
          <w:bCs/>
          <w:sz w:val="20"/>
          <w:szCs w:val="20"/>
        </w:rPr>
        <w:t xml:space="preserve">Resumen: </w:t>
      </w:r>
      <w:r>
        <w:rPr>
          <w:sz w:val="20"/>
          <w:szCs w:val="20"/>
        </w:rPr>
        <w:t xml:space="preserve">Analiza la politica exterior brasileña hacia Sudamerica durante el gobierno de Lula (2003-2010), mostrando la tension entre dos lineas paralelas: la integracion via Mercosur (regionalismo abierto) y la construccion de un liderazgo brasileño mas amplio en Sudamerica. Complementa a Barnabe, Burges y Romualdo Silva para trazar el arco completo Cardoso-Lula-Dilma dentro de tu base.</w:t>
      </w:r>
    </w:p>
    <w:p>
      <w:pPr>
        <w:pStyle w:val="Heading1"/>
        <w:spacing w:after="80" w:before="400"/>
      </w:pPr>
      <w:r>
        <w:t xml:space="preserve">Nivel 4 — Consulta puntual (no urgente)</w:t>
      </w:r>
    </w:p>
    <w:p>
      <w:pPr>
        <w:spacing w:after="160"/>
      </w:pPr>
      <w:r>
        <w:rPr>
          <w:i/>
          <w:iCs/>
          <w:color w:val="555555"/>
          <w:sz w:val="19"/>
          <w:szCs w:val="19"/>
        </w:rPr>
        <w:t xml:space="preserve">Textos útiles como contraste metodológico o para profundizar un eje muy específico, pero no centrales para el cuerpo de tu trabajo. Leer solo si te hacen falta.</w:t>
      </w:r>
    </w:p>
    <w:p>
      <w:pPr>
        <w:pBdr>
          <w:left w:val="single" w:color="404040" w:sz="12" w:space="8"/>
        </w:pBdr>
        <w:spacing w:after="40" w:before="240"/>
        <w:ind w:left="100"/>
      </w:pPr>
      <w:r>
        <w:rPr>
          <w:b/>
          <w:bCs/>
          <w:sz w:val="22"/>
          <w:szCs w:val="22"/>
        </w:rPr>
        <w:t xml:space="preserve">Cohen (2016)  —  Viajes y opinión pública extranjera (caso EE. UU.)</w:t>
      </w:r>
    </w:p>
    <w:p>
      <w:pPr>
        <w:spacing w:after="80"/>
        <w:ind w:left="100"/>
      </w:pPr>
      <w:r>
        <w:rPr>
          <w:i/>
          <w:iCs/>
          <w:color w:val="444444"/>
          <w:sz w:val="18"/>
          <w:szCs w:val="18"/>
        </w:rPr>
        <w:t xml:space="preserve">Cohen, J. E. (2016). Presidential Attention Focusing in the Global Arena: The Impact of International Travel on Foreign Publics. Presidential Studies Quarterly, 46(1), 30-47.</w:t>
      </w:r>
    </w:p>
    <w:p>
      <w:pPr>
        <w:spacing w:after="80"/>
        <w:ind w:left="100"/>
      </w:pPr>
      <w:r>
        <w:rPr>
          <w:b/>
          <w:bCs/>
          <w:sz w:val="20"/>
          <w:szCs w:val="20"/>
        </w:rPr>
        <w:t xml:space="preserve">Resumen: </w:t>
      </w:r>
      <w:r>
        <w:rPr>
          <w:sz w:val="20"/>
          <w:szCs w:val="20"/>
        </w:rPr>
        <w:t xml:space="preserve">Testea si los viajes presidenciales de EE. UU. logran "enfocar" la atención y mejorar la opinión pública extranjera hacia la política estadounidense. Perspectiva de diplomacia pública complementaria, aunque centrada en EE. UU. y no en Sudamérica.</w:t>
      </w:r>
    </w:p>
    <w:p>
      <w:pPr>
        <w:pBdr>
          <w:left w:val="single" w:color="404040" w:sz="12" w:space="8"/>
        </w:pBdr>
        <w:spacing w:after="40" w:before="240"/>
        <w:ind w:left="100"/>
      </w:pPr>
      <w:r>
        <w:rPr>
          <w:b/>
          <w:bCs/>
          <w:sz w:val="22"/>
          <w:szCs w:val="22"/>
        </w:rPr>
        <w:t xml:space="preserve">Cavari &amp; Ables (2019)  —  Otro dataset de viajes de presidentes de EE. UU. (1953-2016)</w:t>
      </w:r>
    </w:p>
    <w:p>
      <w:pPr>
        <w:spacing w:after="80"/>
        <w:ind w:left="100"/>
      </w:pPr>
      <w:r>
        <w:rPr>
          <w:i/>
          <w:iCs/>
          <w:color w:val="444444"/>
          <w:sz w:val="18"/>
          <w:szCs w:val="18"/>
        </w:rPr>
        <w:t xml:space="preserve">Cavari, A., &amp; Ables, M. (2019). Going Global: Assessing Presidential Foreign Travel. Congress &amp; the Presidency, 46(2), 306-329. https://doi.org/10.1080/07343469.2018.1536173</w:t>
      </w:r>
    </w:p>
    <w:p>
      <w:pPr>
        <w:spacing w:after="80"/>
        <w:ind w:left="100"/>
      </w:pPr>
      <w:r>
        <w:rPr>
          <w:b/>
          <w:bCs/>
          <w:sz w:val="20"/>
          <w:szCs w:val="20"/>
        </w:rPr>
        <w:t xml:space="preserve">Resumen: </w:t>
      </w:r>
      <w:r>
        <w:rPr>
          <w:sz w:val="20"/>
          <w:szCs w:val="20"/>
        </w:rPr>
        <w:t xml:space="preserve">Dataset de viajes presidenciales de EE. UU. 1953-2016 (número de viajes, países visitados, días en el exterior) para testear si factores domésticos y políticos explican la frecuencia de viaje. Buen ejemplo adicional de cómo operacionalizar "intensidad de viaje" en una serie temporal, en la misma línea que Ostrander &amp; Rider.</w:t>
      </w:r>
    </w:p>
    <w:p>
      <w:pPr>
        <w:pBdr>
          <w:left w:val="single" w:color="404040" w:sz="12" w:space="8"/>
        </w:pBdr>
        <w:spacing w:after="40" w:before="240"/>
        <w:ind w:left="100"/>
      </w:pPr>
      <w:r>
        <w:rPr>
          <w:b/>
          <w:bCs/>
          <w:sz w:val="22"/>
          <w:szCs w:val="22"/>
        </w:rPr>
        <w:t xml:space="preserve">Koliev &amp; Lundgren (2021)  —  Qué determina que un líder extranjero visite EE. UU.</w:t>
      </w:r>
    </w:p>
    <w:p>
      <w:pPr>
        <w:spacing w:after="80"/>
        <w:ind w:left="100"/>
      </w:pPr>
      <w:r>
        <w:rPr>
          <w:i/>
          <w:iCs/>
          <w:color w:val="444444"/>
          <w:sz w:val="18"/>
          <w:szCs w:val="18"/>
        </w:rPr>
        <w:t xml:space="preserve">Koliev, F., &amp; Lundgren, M. (2021). Visiting the hegemon: Explaining diplomatic visits to the United States. Research &amp; Politics, 8(4). https://doi.org/10.1177/20531680211066767</w:t>
      </w:r>
    </w:p>
    <w:p>
      <w:pPr>
        <w:spacing w:after="80"/>
        <w:ind w:left="100"/>
      </w:pPr>
      <w:r>
        <w:rPr>
          <w:b/>
          <w:bCs/>
          <w:sz w:val="20"/>
          <w:szCs w:val="20"/>
        </w:rPr>
        <w:t xml:space="preserve">Resumen: </w:t>
      </w:r>
      <w:r>
        <w:rPr>
          <w:sz w:val="20"/>
          <w:szCs w:val="20"/>
        </w:rPr>
        <w:t xml:space="preserve">Analiza qué determina que un líder extranjero visite EE. UU. entre 1946 y 2012: encuentra que pesan más los factores estructurales (relaciones económicas) que otros, y que el perfil de países invitados cambió entre la Guerra Fría y la posguerra fría. Útil para pensar el destino "Estados Unidos" dentro de tu propio ranking de destinos.</w:t>
      </w:r>
    </w:p>
    <w:p>
      <w:pPr>
        <w:pBdr>
          <w:left w:val="single" w:color="404040" w:sz="12" w:space="8"/>
        </w:pBdr>
        <w:spacing w:after="40" w:before="240"/>
        <w:ind w:left="100"/>
      </w:pPr>
      <w:r>
        <w:rPr>
          <w:b/>
          <w:bCs/>
          <w:sz w:val="22"/>
          <w:szCs w:val="22"/>
        </w:rPr>
        <w:t xml:space="preserve">Malis &amp; Smith (2021)  —  ¿Las visitas de Estado ayudan a la supervivencia política del líder?</w:t>
      </w:r>
    </w:p>
    <w:p>
      <w:pPr>
        <w:spacing w:after="80"/>
        <w:ind w:left="100"/>
      </w:pPr>
      <w:r>
        <w:rPr>
          <w:i/>
          <w:iCs/>
          <w:color w:val="444444"/>
          <w:sz w:val="18"/>
          <w:szCs w:val="18"/>
        </w:rPr>
        <w:t xml:space="preserve">Malis, M., &amp; Smith, A. (2021). State Visits and Leader Survival. American Journal of Political Science, 65(1), 241-256.</w:t>
      </w:r>
    </w:p>
    <w:p>
      <w:pPr>
        <w:spacing w:after="80"/>
        <w:ind w:left="100"/>
      </w:pPr>
      <w:r>
        <w:rPr>
          <w:b/>
          <w:bCs/>
          <w:sz w:val="20"/>
          <w:szCs w:val="20"/>
        </w:rPr>
        <w:t xml:space="preserve">Resumen: </w:t>
      </w:r>
      <w:r>
        <w:rPr>
          <w:sz w:val="20"/>
          <w:szCs w:val="20"/>
        </w:rPr>
        <w:t xml:space="preserve">Propone que una visita diplomática funciona como señal creíble de que una potencia extranjera confía en la estabilidad del gobierno anfitrión, reduciendo el riesgo de que ese líder sea derrocado. Usa datos de visitas a EE. UU. (1960-2013). Ángulo original -consecuencias políticas del viaje, no solo sus causas- que podrías usar en la discusión final de tu trabajo.</w:t>
      </w:r>
    </w:p>
    <w:p>
      <w:pPr>
        <w:pBdr>
          <w:left w:val="single" w:color="404040" w:sz="12" w:space="8"/>
        </w:pBdr>
        <w:spacing w:after="40" w:before="240"/>
        <w:ind w:left="100"/>
      </w:pPr>
      <w:r>
        <w:rPr>
          <w:b/>
          <w:bCs/>
          <w:sz w:val="22"/>
          <w:szCs w:val="22"/>
        </w:rPr>
        <w:t xml:space="preserve">Leite &amp; Cavalcante (2016)  —  Brasil-África bajo Lula y Dilma (eje muy específico)</w:t>
      </w:r>
    </w:p>
    <w:p>
      <w:pPr>
        <w:spacing w:after="80"/>
        <w:ind w:left="100"/>
      </w:pPr>
      <w:r>
        <w:rPr>
          <w:i/>
          <w:iCs/>
          <w:color w:val="444444"/>
          <w:sz w:val="18"/>
          <w:szCs w:val="18"/>
        </w:rPr>
        <w:t xml:space="preserve">Leite, A. C. C., &amp; Cavalcante, T. F. (2016). A Cooperação Brasileira para a África: da diplomacia presidencial de Lula da Silva à diplomacia comercial de Dilma Rousseff. Brazilian Journal of International Relations, 5(2), 342-370.</w:t>
      </w:r>
    </w:p>
    <w:p>
      <w:pPr>
        <w:spacing w:after="80"/>
        <w:ind w:left="100"/>
      </w:pPr>
      <w:r>
        <w:rPr>
          <w:b/>
          <w:bCs/>
          <w:sz w:val="20"/>
          <w:szCs w:val="20"/>
        </w:rPr>
        <w:t xml:space="preserve">Resumen: </w:t>
      </w:r>
      <w:r>
        <w:rPr>
          <w:sz w:val="20"/>
          <w:szCs w:val="20"/>
        </w:rPr>
        <w:t xml:space="preserve">Compara la política exterior brasileña hacia África bajo Lula (2003-2010) y Dilma (2011-2014), usando el modelo de Hermann (1990) para identificar continuidades y discontinuidades. Muy específico -solo el eje Brasil-África-; útil unicamente si en algún momento profundizás ese recorte particular de tu base.</w:t>
      </w:r>
    </w:p>
    <w:p>
      <w:pPr>
        <w:pBdr>
          <w:left w:val="single" w:color="404040" w:sz="12" w:space="8"/>
        </w:pBdr>
        <w:spacing w:after="40" w:before="240"/>
        <w:ind w:left="100"/>
      </w:pPr>
      <w:r>
        <w:rPr>
          <w:b/>
          <w:bCs/>
          <w:sz w:val="22"/>
          <w:szCs w:val="22"/>
        </w:rPr>
        <w:t xml:space="preserve">Ceppi &amp; Pereyra Doval (2026)  —  Libro compilado sobre PE sudamericana en el siglo XXI</w:t>
      </w:r>
    </w:p>
    <w:p>
      <w:pPr>
        <w:spacing w:after="80"/>
        <w:ind w:left="100"/>
      </w:pPr>
      <w:r>
        <w:rPr>
          <w:i/>
          <w:iCs/>
          <w:color w:val="444444"/>
          <w:sz w:val="18"/>
          <w:szCs w:val="18"/>
        </w:rPr>
        <w:t xml:space="preserve">Ceppi, N., &amp; Pereyra Doval, G. (Comps.). (2026). Luces y sombras sudamericanas: política exterior, diplomacia y nuevas agendas en el siglo XXI. Rosario: UNR Editora.</w:t>
      </w:r>
    </w:p>
    <w:p>
      <w:pPr>
        <w:spacing w:after="80"/>
        <w:ind w:left="100"/>
      </w:pPr>
      <w:r>
        <w:rPr>
          <w:b/>
          <w:bCs/>
          <w:sz w:val="20"/>
          <w:szCs w:val="20"/>
        </w:rPr>
        <w:t xml:space="preserve">Resumen: </w:t>
      </w:r>
      <w:r>
        <w:rPr>
          <w:sz w:val="20"/>
          <w:szCs w:val="20"/>
        </w:rPr>
        <w:t xml:space="preserve">Libro compilado (278 páginas) sobre política exterior y diplomacia sudamericana contemporánea. No es un paper único sino una colección de capítulos de distintos autores: te conviene revisar el índice y elegir los 2-3 capítulos que traten específicamente a los países de tu base, en vez de leerlo completo.</w:t>
      </w:r>
    </w:p>
    <w:p>
      <w:pPr>
        <w:pBdr>
          <w:left w:val="single" w:color="404040" w:sz="12" w:space="8"/>
        </w:pBdr>
        <w:spacing w:after="40" w:before="240"/>
        <w:ind w:left="100"/>
      </w:pPr>
      <w:r>
        <w:rPr>
          <w:b/>
          <w:bCs/>
          <w:sz w:val="22"/>
          <w:szCs w:val="22"/>
        </w:rPr>
        <w:t xml:space="preserve">Charnock, McCann &amp; Tenpas (2009)  —  Viajes presidenciales de EE. UU. como estrategia de colegio electoral</w:t>
      </w:r>
    </w:p>
    <w:p>
      <w:pPr>
        <w:spacing w:after="80"/>
        <w:ind w:left="100"/>
      </w:pPr>
      <w:r>
        <w:rPr>
          <w:i/>
          <w:iCs/>
          <w:color w:val="444444"/>
          <w:sz w:val="18"/>
          <w:szCs w:val="18"/>
        </w:rPr>
        <w:t xml:space="preserve">Charnock, E. J., McCann, J. A., &amp; Tenpas, K. D. (2009). Presidential Travel from Eisenhower to George W. Bush: An “Electoral College” Strategy. Political Science Quarterly, 124(2), 323-339.</w:t>
      </w:r>
    </w:p>
    <w:p>
      <w:pPr>
        <w:spacing w:after="80"/>
        <w:ind w:left="100"/>
      </w:pPr>
      <w:r>
        <w:rPr>
          <w:b/>
          <w:bCs/>
          <w:sz w:val="20"/>
          <w:szCs w:val="20"/>
        </w:rPr>
        <w:t xml:space="preserve">Resumen: </w:t>
      </w:r>
      <w:r>
        <w:rPr>
          <w:sz w:val="20"/>
          <w:szCs w:val="20"/>
        </w:rPr>
        <w:t xml:space="preserve">Muestra que los viajes domesticos (no internacionales) de los presidentes de EE. UU. entre Eisenhower y G. W. Bush responden a una logica de estrategia electoral: se concentran en estados pendulo del colegio electoral, sobre todo cerca de elecciones. No es directamente comparable (viajes domesticos, no exteriores) pero sirve de contrapunto para separar la logica “electoral domestica” de la logica “de politica exterior” al interpretar por que un presidente viaja mas en unos años que en otros. Nota: el archivo en la carpeta Bib esta guardado como “Doherty (2009).pdf”, pero los autores reales son Charnock, McCann y Tenpas.</w:t>
      </w:r>
    </w:p>
    <w:p>
      <w:pPr>
        <w:pBdr>
          <w:left w:val="single" w:color="404040" w:sz="12" w:space="8"/>
        </w:pBdr>
        <w:spacing w:after="40" w:before="240"/>
        <w:ind w:left="100"/>
      </w:pPr>
      <w:r>
        <w:rPr>
          <w:b/>
          <w:bCs/>
          <w:sz w:val="22"/>
          <w:szCs w:val="22"/>
        </w:rPr>
        <w:t xml:space="preserve">Lee &amp; Kim (2024)  —  Análisis composicional de las visitas diplomáticas de EE. UU.</w:t>
      </w:r>
    </w:p>
    <w:p>
      <w:pPr>
        <w:spacing w:after="80"/>
        <w:ind w:left="100"/>
      </w:pPr>
      <w:r>
        <w:rPr>
          <w:i/>
          <w:iCs/>
          <w:color w:val="444444"/>
          <w:sz w:val="18"/>
          <w:szCs w:val="18"/>
        </w:rPr>
        <w:t xml:space="preserve">Lee, J., &amp; Kim, J. D. (2024). Travel to allies or adversaries? A compositional analysis of U.S. diplomatic visits. Social Science Quarterly.</w:t>
      </w:r>
    </w:p>
    <w:p>
      <w:pPr>
        <w:spacing w:after="80"/>
        <w:ind w:left="100"/>
      </w:pPr>
      <w:r>
        <w:rPr>
          <w:b/>
          <w:bCs/>
          <w:sz w:val="20"/>
          <w:szCs w:val="20"/>
        </w:rPr>
        <w:t xml:space="preserve">Resumen: </w:t>
      </w:r>
      <w:r>
        <w:rPr>
          <w:sz w:val="20"/>
          <w:szCs w:val="20"/>
        </w:rPr>
        <w:t xml:space="preserve">Propone tratar las visitas diplomaticas como datos composicionales (participaciones relativas de un recurso politico escaso) en vez de observaciones independientes, y aplica ese metodo para ver si EE. UU. prioriza aliados o adversarios. Es un angulo metodologico interesante si en algun momento queres analizar la mezcla Bilateral/Multilateral/Otro de tu propia base como una composicion (participaciones que suman 100%) en vez de conteos separados.</w:t>
      </w:r>
    </w:p>
    <w:p>
      <w:pPr>
        <w:pBdr>
          <w:left w:val="single" w:color="404040" w:sz="12" w:space="8"/>
        </w:pBdr>
        <w:spacing w:after="40" w:before="240"/>
        <w:ind w:left="100"/>
      </w:pPr>
      <w:r>
        <w:rPr>
          <w:b/>
          <w:bCs/>
          <w:sz w:val="22"/>
          <w:szCs w:val="22"/>
        </w:rPr>
        <w:t xml:space="preserve">Balcı (2024)  —  Borrador previo de Balcı et al. (2025) — se puede saltear</w:t>
      </w:r>
    </w:p>
    <w:p>
      <w:pPr>
        <w:spacing w:after="80"/>
        <w:ind w:left="100"/>
      </w:pPr>
      <w:r>
        <w:rPr>
          <w:i/>
          <w:iCs/>
          <w:color w:val="444444"/>
          <w:sz w:val="18"/>
          <w:szCs w:val="18"/>
        </w:rPr>
        <w:t xml:space="preserve">Balcı, A. (2024). Determinants of Leader Visits: A Review and Future Directions in Scholarship. Turkish Journal of Middle Eastern Studies, 11(1), 1-30. https://doi.org/10.26513/tocd.1399133</w:t>
      </w:r>
    </w:p>
    <w:p>
      <w:pPr>
        <w:spacing w:after="80"/>
        <w:ind w:left="100"/>
      </w:pPr>
      <w:r>
        <w:rPr>
          <w:b/>
          <w:bCs/>
          <w:sz w:val="20"/>
          <w:szCs w:val="20"/>
        </w:rPr>
        <w:t xml:space="preserve">Resumen: </w:t>
      </w:r>
      <w:r>
        <w:rPr>
          <w:sz w:val="20"/>
          <w:szCs w:val="20"/>
        </w:rPr>
        <w:t xml:space="preserve">Versión previa e individual del mismo argumento desarrollado luego en Balcı et al. (2025, Nivel 1): la literatura sobre visitas de líderes está sesgada hacia EE. UU. y China, y falta cobertura de otros países e hipótesis más refinadas. Podés saltearlo si ya leíste la versión de 2025 -el contenido es prácticamente el mismo-.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2026-08-20T12:51:54.605Z</dcterms:created>
  <dcterms:modified xsi:type="dcterms:W3CDTF">2026-08-20T12:51:54.605Z</dcterms:modified>
</cp:coreProperties>
</file>

<file path=docProps/custom.xml><?xml version="1.0" encoding="utf-8"?>
<Properties xmlns="http://schemas.openxmlformats.org/officeDocument/2006/custom-properties" xmlns:vt="http://schemas.openxmlformats.org/officeDocument/2006/docPropsVTypes"/>
</file>