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E8D35" w14:textId="77777777" w:rsidR="00AB115C" w:rsidRPr="00AA62C6" w:rsidRDefault="00AB115C" w:rsidP="00AB115C">
      <w:pPr>
        <w:spacing w:after="0" w:line="259" w:lineRule="auto"/>
        <w:ind w:left="1392"/>
        <w:jc w:val="center"/>
        <w:rPr>
          <w:color w:val="000000" w:themeColor="text1"/>
        </w:rPr>
      </w:pPr>
      <w:r w:rsidRPr="00AA62C6">
        <w:rPr>
          <w:noProof/>
          <w:color w:val="000000" w:themeColor="text1"/>
          <w:lang w:eastAsia="es-AR"/>
        </w:rPr>
        <w:drawing>
          <wp:anchor distT="0" distB="0" distL="114300" distR="114300" simplePos="0" relativeHeight="251659264" behindDoc="0" locked="0" layoutInCell="1" allowOverlap="1" wp14:anchorId="331B7FBB" wp14:editId="410007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0935" cy="3582670"/>
            <wp:effectExtent l="0" t="0" r="0" b="0"/>
            <wp:wrapTopAndBottom/>
            <wp:docPr id="987885468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5468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-791" r="42876" b="791"/>
                    <a:stretch/>
                  </pic:blipFill>
                  <pic:spPr bwMode="auto">
                    <a:xfrm>
                      <a:off x="0" y="0"/>
                      <a:ext cx="494093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C0990" w14:textId="1F22478F" w:rsidR="00AB115C" w:rsidRPr="00C3429C" w:rsidRDefault="00AB115C" w:rsidP="00AB115C">
      <w:pPr>
        <w:pStyle w:val="Citadestacada"/>
        <w:rPr>
          <w:rFonts w:ascii="Arial" w:hAnsi="Arial" w:cs="Arial"/>
          <w:b/>
          <w:bCs/>
          <w:i w:val="0"/>
          <w:iCs w:val="0"/>
          <w:color w:val="000000" w:themeColor="text1"/>
          <w:sz w:val="44"/>
          <w:szCs w:val="44"/>
        </w:rPr>
      </w:pPr>
      <w:r w:rsidRPr="00C3429C">
        <w:rPr>
          <w:rFonts w:ascii="Arial" w:hAnsi="Arial" w:cs="Arial"/>
          <w:b/>
          <w:bCs/>
          <w:i w:val="0"/>
          <w:iCs w:val="0"/>
          <w:color w:val="000000" w:themeColor="text1"/>
          <w:sz w:val="44"/>
          <w:szCs w:val="44"/>
        </w:rPr>
        <w:t>Bases de Datos Aplicada</w:t>
      </w:r>
    </w:p>
    <w:p w14:paraId="7F37B4F2" w14:textId="4FF9FD04" w:rsidR="00AB115C" w:rsidRPr="00C3429C" w:rsidRDefault="00AB115C" w:rsidP="00AB115C">
      <w:pPr>
        <w:pStyle w:val="Citadestacada"/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</w:pPr>
      <w:r w:rsidRPr="00C3429C">
        <w:rPr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</w:rPr>
        <w:t>Parcial Práctico</w:t>
      </w:r>
    </w:p>
    <w:p w14:paraId="68EB81D2" w14:textId="77777777" w:rsidR="00C3429C" w:rsidRDefault="00AB115C" w:rsidP="00AB115C">
      <w:pPr>
        <w:spacing w:after="0" w:line="259" w:lineRule="auto"/>
        <w:ind w:left="1392"/>
        <w:rPr>
          <w:rFonts w:ascii="Arial" w:hAnsi="Arial" w:cs="Arial"/>
          <w:color w:val="000000" w:themeColor="text1"/>
        </w:rPr>
      </w:pPr>
      <w:r w:rsidRPr="00C3429C">
        <w:rPr>
          <w:rFonts w:ascii="Arial" w:hAnsi="Arial" w:cs="Arial"/>
          <w:b/>
          <w:color w:val="000000" w:themeColor="text1"/>
          <w:sz w:val="36"/>
          <w:szCs w:val="36"/>
        </w:rPr>
        <w:t>Alumnos:</w:t>
      </w:r>
      <w:r w:rsidRPr="00345722">
        <w:rPr>
          <w:rFonts w:ascii="Arial" w:hAnsi="Arial" w:cs="Arial"/>
          <w:color w:val="000000" w:themeColor="text1"/>
        </w:rPr>
        <w:t xml:space="preserve"> </w:t>
      </w:r>
    </w:p>
    <w:p w14:paraId="0C7F9681" w14:textId="77777777" w:rsidR="00C3429C" w:rsidRDefault="00AB115C" w:rsidP="00C3429C">
      <w:pPr>
        <w:pStyle w:val="Prrafodelista"/>
        <w:numPr>
          <w:ilvl w:val="0"/>
          <w:numId w:val="4"/>
        </w:numPr>
        <w:spacing w:after="0" w:line="259" w:lineRule="auto"/>
        <w:rPr>
          <w:rFonts w:ascii="Arial" w:hAnsi="Arial" w:cs="Arial"/>
          <w:color w:val="000000" w:themeColor="text1"/>
        </w:rPr>
      </w:pPr>
      <w:r w:rsidRPr="00C3429C">
        <w:rPr>
          <w:rFonts w:ascii="Arial" w:hAnsi="Arial" w:cs="Arial"/>
          <w:color w:val="000000" w:themeColor="text1"/>
        </w:rPr>
        <w:t>Bravo Santiago</w:t>
      </w:r>
    </w:p>
    <w:p w14:paraId="2303C30F" w14:textId="77777777" w:rsidR="00C3429C" w:rsidRDefault="00AB115C" w:rsidP="00C3429C">
      <w:pPr>
        <w:pStyle w:val="Prrafodelista"/>
        <w:numPr>
          <w:ilvl w:val="0"/>
          <w:numId w:val="4"/>
        </w:numPr>
        <w:spacing w:after="0" w:line="259" w:lineRule="auto"/>
        <w:rPr>
          <w:rFonts w:ascii="Arial" w:hAnsi="Arial" w:cs="Arial"/>
          <w:color w:val="000000" w:themeColor="text1"/>
        </w:rPr>
      </w:pPr>
      <w:proofErr w:type="spellStart"/>
      <w:r w:rsidRPr="00C3429C">
        <w:rPr>
          <w:rFonts w:ascii="Arial" w:hAnsi="Arial" w:cs="Arial"/>
          <w:color w:val="000000" w:themeColor="text1"/>
        </w:rPr>
        <w:t>Tittonell</w:t>
      </w:r>
      <w:proofErr w:type="spellEnd"/>
      <w:r w:rsidRPr="00C3429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C3429C">
        <w:rPr>
          <w:rFonts w:ascii="Arial" w:hAnsi="Arial" w:cs="Arial"/>
          <w:color w:val="000000" w:themeColor="text1"/>
        </w:rPr>
        <w:t>Ian</w:t>
      </w:r>
      <w:proofErr w:type="spellEnd"/>
    </w:p>
    <w:p w14:paraId="232B53D3" w14:textId="77777777" w:rsidR="00C3429C" w:rsidRDefault="00C3429C" w:rsidP="00C3429C">
      <w:pPr>
        <w:pStyle w:val="Prrafodelista"/>
        <w:numPr>
          <w:ilvl w:val="0"/>
          <w:numId w:val="4"/>
        </w:numPr>
        <w:spacing w:after="0" w:line="259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Mardyks</w:t>
      </w:r>
      <w:proofErr w:type="spellEnd"/>
      <w:r>
        <w:rPr>
          <w:rFonts w:ascii="Arial" w:hAnsi="Arial" w:cs="Arial"/>
          <w:color w:val="000000" w:themeColor="text1"/>
        </w:rPr>
        <w:t xml:space="preserve"> Lautaro</w:t>
      </w:r>
    </w:p>
    <w:p w14:paraId="1B86EF06" w14:textId="503B99DF" w:rsidR="00AB115C" w:rsidRPr="00C3429C" w:rsidRDefault="00AB115C" w:rsidP="00C3429C">
      <w:pPr>
        <w:pStyle w:val="Prrafodelista"/>
        <w:numPr>
          <w:ilvl w:val="0"/>
          <w:numId w:val="4"/>
        </w:numPr>
        <w:spacing w:after="0" w:line="259" w:lineRule="auto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C3429C">
        <w:rPr>
          <w:rFonts w:ascii="Arial" w:hAnsi="Arial" w:cs="Arial"/>
          <w:color w:val="000000" w:themeColor="text1"/>
        </w:rPr>
        <w:t xml:space="preserve">Romero </w:t>
      </w:r>
      <w:proofErr w:type="spellStart"/>
      <w:r w:rsidRPr="00C3429C">
        <w:rPr>
          <w:rFonts w:ascii="Arial" w:hAnsi="Arial" w:cs="Arial"/>
          <w:color w:val="000000" w:themeColor="text1"/>
        </w:rPr>
        <w:t>Agustin</w:t>
      </w:r>
      <w:proofErr w:type="spellEnd"/>
      <w:r w:rsidRPr="00C3429C">
        <w:rPr>
          <w:rFonts w:ascii="Arial" w:hAnsi="Arial" w:cs="Arial"/>
          <w:color w:val="000000" w:themeColor="text1"/>
        </w:rPr>
        <w:t xml:space="preserve"> </w:t>
      </w:r>
    </w:p>
    <w:p w14:paraId="228C77F9" w14:textId="3C29DA09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  <w:color w:val="000000" w:themeColor="text1"/>
        </w:rPr>
      </w:pPr>
      <w:r w:rsidRPr="00C3429C">
        <w:rPr>
          <w:rFonts w:ascii="Arial" w:hAnsi="Arial" w:cs="Arial"/>
          <w:b/>
          <w:color w:val="000000" w:themeColor="text1"/>
          <w:sz w:val="36"/>
          <w:szCs w:val="36"/>
        </w:rPr>
        <w:t>Docente:</w:t>
      </w:r>
      <w:r w:rsidRPr="00733875">
        <w:rPr>
          <w:rFonts w:ascii="Arial" w:hAnsi="Arial" w:cs="Arial"/>
          <w:color w:val="000000" w:themeColor="text1"/>
        </w:rPr>
        <w:t xml:space="preserve"> </w:t>
      </w:r>
      <w:r w:rsidRPr="00AB115C">
        <w:rPr>
          <w:rFonts w:ascii="Arial" w:hAnsi="Arial" w:cs="Arial"/>
          <w:color w:val="000000" w:themeColor="text1"/>
        </w:rPr>
        <w:t xml:space="preserve">Martin Miguel Rivas </w:t>
      </w:r>
      <w:proofErr w:type="spellStart"/>
      <w:r w:rsidRPr="00AB115C">
        <w:rPr>
          <w:rFonts w:ascii="Arial" w:hAnsi="Arial" w:cs="Arial"/>
          <w:color w:val="000000" w:themeColor="text1"/>
        </w:rPr>
        <w:t>Sarquis</w:t>
      </w:r>
      <w:proofErr w:type="spellEnd"/>
    </w:p>
    <w:p w14:paraId="01E3472E" w14:textId="77777777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C3429C">
        <w:rPr>
          <w:rFonts w:ascii="Arial" w:hAnsi="Arial" w:cs="Arial"/>
          <w:b/>
          <w:sz w:val="36"/>
          <w:szCs w:val="36"/>
        </w:rPr>
        <w:t>Localización:</w:t>
      </w:r>
      <w:r w:rsidRPr="00345722">
        <w:rPr>
          <w:rFonts w:ascii="Arial" w:hAnsi="Arial" w:cs="Arial"/>
        </w:rPr>
        <w:t xml:space="preserve"> Lomas </w:t>
      </w:r>
    </w:p>
    <w:p w14:paraId="072E5A46" w14:textId="3CACAE01" w:rsidR="00AB115C" w:rsidRPr="00345722" w:rsidRDefault="0029665E" w:rsidP="00AB115C">
      <w:pPr>
        <w:spacing w:after="0" w:line="259" w:lineRule="auto"/>
        <w:ind w:left="1392"/>
        <w:rPr>
          <w:rFonts w:ascii="Arial" w:hAnsi="Arial" w:cs="Arial"/>
        </w:rPr>
      </w:pPr>
      <w:r w:rsidRPr="00C3429C">
        <w:rPr>
          <w:rFonts w:ascii="Arial" w:hAnsi="Arial" w:cs="Arial"/>
          <w:b/>
          <w:sz w:val="36"/>
          <w:szCs w:val="36"/>
        </w:rPr>
        <w:t>Comisión:</w:t>
      </w:r>
      <w:r>
        <w:rPr>
          <w:rFonts w:ascii="Arial" w:hAnsi="Arial" w:cs="Arial"/>
        </w:rPr>
        <w:t xml:space="preserve"> </w:t>
      </w:r>
      <w:r w:rsidR="00AB115C" w:rsidRPr="00345722">
        <w:rPr>
          <w:rFonts w:ascii="Arial" w:hAnsi="Arial" w:cs="Arial"/>
        </w:rPr>
        <w:t>3-A</w:t>
      </w:r>
    </w:p>
    <w:p w14:paraId="1849E981" w14:textId="77777777" w:rsidR="00AB115C" w:rsidRPr="00345722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C3429C">
        <w:rPr>
          <w:rFonts w:ascii="Arial" w:hAnsi="Arial" w:cs="Arial"/>
          <w:b/>
          <w:sz w:val="36"/>
          <w:szCs w:val="36"/>
        </w:rPr>
        <w:t>Turno:</w:t>
      </w:r>
      <w:r w:rsidRPr="00345722">
        <w:rPr>
          <w:rFonts w:ascii="Arial" w:hAnsi="Arial" w:cs="Arial"/>
        </w:rPr>
        <w:t xml:space="preserve"> Mañana</w:t>
      </w:r>
    </w:p>
    <w:p w14:paraId="668FBB90" w14:textId="77777777" w:rsidR="00AB115C" w:rsidRPr="00617834" w:rsidRDefault="00AB115C" w:rsidP="00AB115C">
      <w:pPr>
        <w:spacing w:after="0" w:line="259" w:lineRule="auto"/>
        <w:ind w:left="1392"/>
        <w:rPr>
          <w:rFonts w:ascii="Arial" w:hAnsi="Arial" w:cs="Arial"/>
        </w:rPr>
      </w:pPr>
      <w:r w:rsidRPr="00C3429C">
        <w:rPr>
          <w:rFonts w:ascii="Arial" w:hAnsi="Arial" w:cs="Arial"/>
          <w:b/>
          <w:sz w:val="36"/>
          <w:szCs w:val="36"/>
        </w:rPr>
        <w:t>Año:</w:t>
      </w:r>
      <w:r w:rsidRPr="00345722">
        <w:rPr>
          <w:rFonts w:ascii="Arial" w:hAnsi="Arial" w:cs="Arial"/>
        </w:rPr>
        <w:t xml:space="preserve"> 2024</w:t>
      </w:r>
    </w:p>
    <w:p w14:paraId="19FBE286" w14:textId="14E0039E" w:rsidR="007A61D7" w:rsidRDefault="007A61D7"/>
    <w:p w14:paraId="70F773AD" w14:textId="77777777" w:rsidR="007A61D7" w:rsidRDefault="007A61D7">
      <w:r>
        <w:br w:type="page"/>
      </w:r>
    </w:p>
    <w:p w14:paraId="7B2F7A57" w14:textId="77777777" w:rsidR="00D93B2D" w:rsidRDefault="00D93B2D" w:rsidP="00D93B2D">
      <w:pPr>
        <w:pStyle w:val="Ttulo1"/>
      </w:pPr>
      <w:r>
        <w:lastRenderedPageBreak/>
        <w:t>Documentación</w:t>
      </w:r>
    </w:p>
    <w:p w14:paraId="0D19FBB5" w14:textId="06475FB6" w:rsidR="00D93B2D" w:rsidRPr="00D93B2D" w:rsidRDefault="00D93B2D" w:rsidP="00D93B2D">
      <w:pPr>
        <w:pStyle w:val="Ttulo2"/>
      </w:pPr>
      <w:r w:rsidRPr="00D93B2D">
        <w:t>Introducción</w:t>
      </w:r>
    </w:p>
    <w:p w14:paraId="2F39FF15" w14:textId="77777777" w:rsidR="0029665E" w:rsidRPr="0029665E" w:rsidRDefault="0029665E" w:rsidP="0029665E">
      <w:pPr>
        <w:pStyle w:val="NormalWeb"/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</w:pP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El propósito de este documento es proporcionar una descripción detallada y estructurada del proceso de construcción de un </w:t>
      </w: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Data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Warehouse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(DW)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, abarcando cada uno de los pasos fundamentales que permiten consolidar y optimizar la información para su análisis. Este proceso incluye, en primer lugar, la </w:t>
      </w: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extracción de datos desde un sistema OLTP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(Online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Transaction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Processing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), que típicamente contiene datos operacionales y transaccionales. Dichos datos serán trasladados hacia una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Staging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Area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(SA)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, una zona temporal donde los datos se depuran, limpian y preparan antes de ser cargados en el DW.</w:t>
      </w:r>
    </w:p>
    <w:p w14:paraId="5EFBA41D" w14:textId="77777777" w:rsidR="0029665E" w:rsidRPr="0029665E" w:rsidRDefault="0029665E" w:rsidP="0029665E">
      <w:pPr>
        <w:pStyle w:val="NormalWeb"/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</w:pP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La importancia de la SA radica en que es un paso intermedio que permite realizar transformaciones críticas sobre los datos, como la corrección de inconsistencias, la eliminación de duplicados y la normalización de valores. Este paso garantiza que los datos que llegan al DW sean precisos y consistentes. Posteriormente, se efectúa la </w:t>
      </w: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carga final al DW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, un repositorio optimizado para consultas y análisis de gran escala, donde los datos estarán organizados de forma que soporten la toma de decisiones estratégicas.</w:t>
      </w:r>
    </w:p>
    <w:p w14:paraId="76D3E46B" w14:textId="77777777" w:rsidR="0029665E" w:rsidRPr="0029665E" w:rsidRDefault="0029665E" w:rsidP="0029665E">
      <w:pPr>
        <w:pStyle w:val="NormalWeb"/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</w:pP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Además de este flujo, se detallarán las </w:t>
      </w: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estructuras y herramientas empleadas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para la implementación de este proceso. En este contexto, se hará un enfoque particular en el diseño y desarrollo de los </w:t>
      </w: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procesos ETL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(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Extract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,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Transform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, Load), que son fundamentales para asegurar la correcta integración y transformación de la información. El ETL no solo se encarga de la extracción de datos desde los sistemas fuente, sino también de su transformación para adaptarse a los requisitos del DW y su posterior carga final, donde estarán listos para su análisis mediante herramientas de inteligencia de negocios (BI).</w:t>
      </w:r>
    </w:p>
    <w:p w14:paraId="1BD7C082" w14:textId="77777777" w:rsidR="00863F1D" w:rsidRPr="00863F1D" w:rsidRDefault="00863F1D" w:rsidP="00863F1D">
      <w:pPr>
        <w:pStyle w:val="Ttulo2"/>
      </w:pPr>
      <w:r w:rsidRPr="00863F1D">
        <w:t>Arquitectura del Proyecto</w:t>
      </w:r>
    </w:p>
    <w:p w14:paraId="315D6D5E" w14:textId="77777777" w:rsidR="0029665E" w:rsidRPr="0029665E" w:rsidRDefault="0029665E" w:rsidP="0029665E">
      <w:pPr>
        <w:pStyle w:val="NormalWeb"/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</w:pP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OLTP: La base de datos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Sakila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, un sistema transaccional, es la fuente principal de los datos. En un entorno OLTP (Online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Transaction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Processing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), los datos se generan a través de operaciones diarias como registros de alquileres, ventas o interacciones con los clientes. Este sistema está optimizado para gestionar operaciones frecuentes y rápidas, con un enfoque en la eficiencia del procesamiento de transacciones, pero no está diseñado para el análisis masivo de datos históricos. Por lo tanto, es necesario extraer estos datos de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Sakila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para trasladarlos a un entorno adecuado para el análisis, como es el caso del Data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Warehouse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(DW).</w:t>
      </w:r>
    </w:p>
    <w:p w14:paraId="68398BFC" w14:textId="77777777" w:rsidR="0029665E" w:rsidRPr="0029665E" w:rsidRDefault="0029665E" w:rsidP="0029665E">
      <w:pPr>
        <w:pStyle w:val="NormalWeb"/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</w:pP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Staging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Area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(SA)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: Es una zona de almacenamiento temporal crucial para el proceso de ETL. En la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Staging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Area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, los datos extraídos desde el OLTP se depuran, transforman y preparan para su inserción final en el DW. En este entorno, las tablas se han diseñado sin restricciones de </w:t>
      </w: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NOT NULL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ni claves foráneas, lo cual brinda una mayor flexibilidad durante la carga inicial de datos. Al eliminar estas restricciones, se facilita la limpieza y transformación de los 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lastRenderedPageBreak/>
        <w:t>datos sin la rigidez que normalmente implican las reglas de integridad referencial. Aquí se pueden realizar tareas como la eliminación de duplicados, la conversión de formatos y la validación de calidad de los datos. Una vez preparados, los datos están listos para ser migrados al DW.</w:t>
      </w:r>
    </w:p>
    <w:p w14:paraId="02BC1E6A" w14:textId="77777777" w:rsidR="0029665E" w:rsidRPr="0029665E" w:rsidRDefault="0029665E" w:rsidP="0029665E">
      <w:pPr>
        <w:pStyle w:val="NormalWeb"/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</w:pPr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Data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Warehouse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(DW)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: Es el repositorio final donde los datos ya depurados y transformados se almacenan de manera estructurada y optimizada para la generación de consultas y análisis. A diferencia de las bases OLTP, el DW está diseñado para gestionar grandes volúmenes de datos históricos, facilitando consultas complejas y reportes orientados a la toma de decisiones estratégicas. Las tablas en el DW suelen estar modeladas en esquemas dimensionales, como estrella o copo de nieve, para mejorar la eficiencia en las consultas. Las tablas de dimensiones, como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DimCustomer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y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DimFilm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, contienen información descriptiva sobre los clientes y productos, mientras que la tabla de hechos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FactRental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registra las transacciones de alquiler, permitiendo realizar análisis detallados como el comportamiento de los clientes o el rendimiento de los productos.</w:t>
      </w:r>
    </w:p>
    <w:p w14:paraId="05E77026" w14:textId="77777777" w:rsidR="0029665E" w:rsidRDefault="0029665E" w:rsidP="0029665E">
      <w:pPr>
        <w:pStyle w:val="NormalWeb"/>
      </w:pP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Power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BI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: Una vez que los datos se encuentran cargados en el DW, herramientas de inteligencia de negocios como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Power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BI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juegan un rol fundamental en la visualización y análisis de la información. </w:t>
      </w:r>
      <w:proofErr w:type="spellStart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>Power</w:t>
      </w:r>
      <w:proofErr w:type="spellEnd"/>
      <w:r w:rsidRPr="0029665E">
        <w:rPr>
          <w:rFonts w:asciiTheme="minorHAnsi" w:eastAsiaTheme="minorEastAsia" w:hAnsiTheme="minorHAnsi" w:cstheme="minorBidi"/>
          <w:b/>
          <w:bCs/>
          <w:kern w:val="2"/>
          <w:lang w:eastAsia="ja-JP"/>
          <w14:ligatures w14:val="standardContextual"/>
        </w:rPr>
        <w:t xml:space="preserve"> BI</w:t>
      </w:r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permite conectarse directamente al DW para generar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dashboards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interactivos, reportes dinámicos y gráficos visuales que facilitan la interpretación de los datos por parte de los usuarios de negocio. Con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Power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BI, es posible crear reportes que muestren patrones de comportamiento de los clientes, tendencias de ventas a lo largo del tiempo, así como análisis predictivos basados en los datos históricos almacenados en el DW. Además, </w:t>
      </w:r>
      <w:proofErr w:type="spellStart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>Power</w:t>
      </w:r>
      <w:proofErr w:type="spellEnd"/>
      <w:r w:rsidRPr="0029665E">
        <w:rPr>
          <w:rFonts w:asciiTheme="minorHAnsi" w:eastAsiaTheme="minorEastAsia" w:hAnsiTheme="minorHAnsi" w:cstheme="minorBidi"/>
          <w:kern w:val="2"/>
          <w:lang w:eastAsia="ja-JP"/>
          <w14:ligatures w14:val="standardContextual"/>
        </w:rPr>
        <w:t xml:space="preserve"> BI permite actualizar los reportes de manera automática a medida que los datos del DW se actualizan, lo que asegura que las decisiones empresariales estén siempre respaldadas por información actual y relevante.</w:t>
      </w:r>
    </w:p>
    <w:p w14:paraId="23B8C9F2" w14:textId="77777777" w:rsidR="00863F1D" w:rsidRPr="00D93B2D" w:rsidRDefault="00863F1D" w:rsidP="00D93B2D"/>
    <w:p w14:paraId="12DBC9F9" w14:textId="2213CAD3" w:rsidR="00C97950" w:rsidRDefault="00D93B2D">
      <w:pPr>
        <w:rPr>
          <w:noProof/>
        </w:rPr>
      </w:pPr>
      <w:r w:rsidRPr="00D93B2D">
        <w:rPr>
          <w:noProof/>
          <w:lang w:eastAsia="es-AR"/>
        </w:rPr>
        <w:drawing>
          <wp:inline distT="0" distB="0" distL="0" distR="0" wp14:anchorId="26338D06" wp14:editId="7C88430C">
            <wp:extent cx="5400040" cy="1645920"/>
            <wp:effectExtent l="0" t="0" r="0" b="0"/>
            <wp:docPr id="1522589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9444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571B" w14:textId="44F25BA9" w:rsidR="00D93B2D" w:rsidRDefault="00D93B2D">
      <w:r w:rsidRPr="00D93B2D">
        <w:rPr>
          <w:noProof/>
          <w:lang w:eastAsia="es-AR"/>
        </w:rPr>
        <w:lastRenderedPageBreak/>
        <w:drawing>
          <wp:inline distT="0" distB="0" distL="0" distR="0" wp14:anchorId="20B32A67" wp14:editId="21425490">
            <wp:extent cx="5400040" cy="4853305"/>
            <wp:effectExtent l="0" t="0" r="0" b="4445"/>
            <wp:docPr id="168786155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6155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0E8D" w14:textId="77777777" w:rsidR="00267E23" w:rsidRPr="00267E23" w:rsidRDefault="00267E23" w:rsidP="00267E23">
      <w:pPr>
        <w:pStyle w:val="Ttulo2"/>
        <w:rPr>
          <w:noProof/>
        </w:rPr>
      </w:pPr>
      <w:r w:rsidRPr="00267E23">
        <w:rPr>
          <w:noProof/>
        </w:rPr>
        <w:t>Extracción, Transformación y Carga (ETL)</w:t>
      </w:r>
    </w:p>
    <w:p w14:paraId="25532944" w14:textId="39A0C8B8" w:rsidR="00267E23" w:rsidRPr="00E27031" w:rsidRDefault="00267E23" w:rsidP="00267E23">
      <w:pPr>
        <w:pStyle w:val="Ttulo3"/>
        <w:rPr>
          <w:noProof/>
          <w:lang w:val="en-US"/>
        </w:rPr>
      </w:pPr>
      <w:r w:rsidRPr="00E27031">
        <w:rPr>
          <w:noProof/>
          <w:lang w:val="en-US"/>
        </w:rPr>
        <w:t>Carga desde OLTP a Staging Area (SA)</w:t>
      </w:r>
    </w:p>
    <w:p w14:paraId="0262DADE" w14:textId="77777777" w:rsidR="00267E23" w:rsidRPr="00267E23" w:rsidRDefault="00267E23" w:rsidP="00267E23">
      <w:pPr>
        <w:numPr>
          <w:ilvl w:val="0"/>
          <w:numId w:val="2"/>
        </w:numPr>
        <w:rPr>
          <w:noProof/>
        </w:rPr>
      </w:pPr>
      <w:r w:rsidRPr="00267E23">
        <w:rPr>
          <w:b/>
          <w:bCs/>
          <w:noProof/>
        </w:rPr>
        <w:t>Objetivo</w:t>
      </w:r>
      <w:r w:rsidRPr="00267E23">
        <w:rPr>
          <w:noProof/>
        </w:rPr>
        <w:t>: Extraer los datos de las bases OLTP y llevarlos a la SA para limpieza y transformación.</w:t>
      </w:r>
    </w:p>
    <w:p w14:paraId="25731CDD" w14:textId="77777777" w:rsidR="00267E23" w:rsidRPr="00267E23" w:rsidRDefault="00267E23" w:rsidP="00267E23">
      <w:pPr>
        <w:numPr>
          <w:ilvl w:val="0"/>
          <w:numId w:val="2"/>
        </w:numPr>
        <w:rPr>
          <w:noProof/>
        </w:rPr>
      </w:pPr>
      <w:r w:rsidRPr="00267E23">
        <w:rPr>
          <w:b/>
          <w:bCs/>
          <w:noProof/>
        </w:rPr>
        <w:t>Paquete ETL</w:t>
      </w:r>
      <w:r w:rsidRPr="00267E23">
        <w:rPr>
          <w:noProof/>
        </w:rPr>
        <w:t>:</w:t>
      </w:r>
    </w:p>
    <w:p w14:paraId="4C271630" w14:textId="77777777" w:rsidR="00267E23" w:rsidRPr="00267E23" w:rsidRDefault="00267E23" w:rsidP="00267E23">
      <w:pPr>
        <w:numPr>
          <w:ilvl w:val="1"/>
          <w:numId w:val="2"/>
        </w:numPr>
        <w:rPr>
          <w:noProof/>
        </w:rPr>
      </w:pPr>
      <w:r w:rsidRPr="00267E23">
        <w:rPr>
          <w:b/>
          <w:bCs/>
          <w:noProof/>
        </w:rPr>
        <w:t>Origen</w:t>
      </w:r>
      <w:r w:rsidRPr="00267E23">
        <w:rPr>
          <w:noProof/>
        </w:rPr>
        <w:t>: Tablas de OLTP (Rental, Customer, Film).</w:t>
      </w:r>
    </w:p>
    <w:p w14:paraId="128B205C" w14:textId="77777777" w:rsidR="00267E23" w:rsidRDefault="00267E23" w:rsidP="00267E23">
      <w:pPr>
        <w:numPr>
          <w:ilvl w:val="1"/>
          <w:numId w:val="2"/>
        </w:numPr>
        <w:rPr>
          <w:noProof/>
        </w:rPr>
      </w:pPr>
      <w:r w:rsidRPr="00267E23">
        <w:rPr>
          <w:b/>
          <w:bCs/>
          <w:noProof/>
        </w:rPr>
        <w:t>Destino</w:t>
      </w:r>
      <w:r w:rsidRPr="00267E23">
        <w:rPr>
          <w:noProof/>
        </w:rPr>
        <w:t>: Tablas de SA (RentalSA, CustomerSA, FilmSA).</w:t>
      </w:r>
    </w:p>
    <w:p w14:paraId="2E473755" w14:textId="5FC89B61" w:rsidR="000162FE" w:rsidRDefault="000162FE" w:rsidP="000162FE">
      <w:pPr>
        <w:rPr>
          <w:noProof/>
        </w:rPr>
      </w:pPr>
      <w:r w:rsidRPr="003A7471">
        <w:rPr>
          <w:noProof/>
          <w:lang w:eastAsia="es-AR"/>
        </w:rPr>
        <w:lastRenderedPageBreak/>
        <w:drawing>
          <wp:inline distT="0" distB="0" distL="0" distR="0" wp14:anchorId="2DFDD24C" wp14:editId="643BB6D3">
            <wp:extent cx="5400040" cy="6166485"/>
            <wp:effectExtent l="0" t="0" r="0" b="5715"/>
            <wp:docPr id="142253941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941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E55" w14:textId="77777777" w:rsidR="00267E23" w:rsidRPr="00E27031" w:rsidRDefault="00267E23" w:rsidP="00267E23">
      <w:pPr>
        <w:pStyle w:val="Ttulo3"/>
        <w:rPr>
          <w:lang w:val="en-US"/>
        </w:rPr>
      </w:pPr>
      <w:proofErr w:type="spellStart"/>
      <w:r w:rsidRPr="00E27031">
        <w:rPr>
          <w:lang w:val="en-US"/>
        </w:rPr>
        <w:t>Carga</w:t>
      </w:r>
      <w:proofErr w:type="spellEnd"/>
      <w:r w:rsidRPr="00E27031">
        <w:rPr>
          <w:lang w:val="en-US"/>
        </w:rPr>
        <w:t xml:space="preserve"> </w:t>
      </w:r>
      <w:proofErr w:type="spellStart"/>
      <w:r w:rsidRPr="00E27031">
        <w:rPr>
          <w:lang w:val="en-US"/>
        </w:rPr>
        <w:t>desde</w:t>
      </w:r>
      <w:proofErr w:type="spellEnd"/>
      <w:r w:rsidRPr="00E27031">
        <w:rPr>
          <w:lang w:val="en-US"/>
        </w:rPr>
        <w:t xml:space="preserve"> Staging Area (SA) al Data Warehouse (DW)</w:t>
      </w:r>
    </w:p>
    <w:p w14:paraId="144167E3" w14:textId="77777777" w:rsidR="00267E23" w:rsidRPr="00267E23" w:rsidRDefault="00267E23" w:rsidP="00267E23">
      <w:pPr>
        <w:numPr>
          <w:ilvl w:val="0"/>
          <w:numId w:val="3"/>
        </w:numPr>
      </w:pPr>
      <w:r w:rsidRPr="00267E23">
        <w:rPr>
          <w:b/>
          <w:bCs/>
        </w:rPr>
        <w:t>Objetivo</w:t>
      </w:r>
      <w:r w:rsidRPr="00267E23">
        <w:t>: Llevar los datos limpios desde la SA al DW para análisis y reportes.</w:t>
      </w:r>
    </w:p>
    <w:p w14:paraId="2C3B1D3F" w14:textId="77777777" w:rsidR="00267E23" w:rsidRPr="00267E23" w:rsidRDefault="00267E23" w:rsidP="00267E23">
      <w:pPr>
        <w:numPr>
          <w:ilvl w:val="0"/>
          <w:numId w:val="3"/>
        </w:numPr>
      </w:pPr>
      <w:r w:rsidRPr="00267E23">
        <w:rPr>
          <w:b/>
          <w:bCs/>
        </w:rPr>
        <w:t>Paquete ETL</w:t>
      </w:r>
      <w:r w:rsidRPr="00267E23">
        <w:t>:</w:t>
      </w:r>
    </w:p>
    <w:p w14:paraId="72DDD30C" w14:textId="77777777" w:rsidR="00267E23" w:rsidRPr="00267E23" w:rsidRDefault="00267E23" w:rsidP="00267E23">
      <w:pPr>
        <w:numPr>
          <w:ilvl w:val="1"/>
          <w:numId w:val="3"/>
        </w:numPr>
      </w:pPr>
      <w:r w:rsidRPr="00267E23">
        <w:rPr>
          <w:b/>
          <w:bCs/>
        </w:rPr>
        <w:t>Origen</w:t>
      </w:r>
      <w:r w:rsidRPr="00267E23">
        <w:t>: Tablas de SA (</w:t>
      </w:r>
      <w:proofErr w:type="spellStart"/>
      <w:r w:rsidRPr="00267E23">
        <w:t>RentalSA</w:t>
      </w:r>
      <w:proofErr w:type="spellEnd"/>
      <w:r w:rsidRPr="00267E23">
        <w:t xml:space="preserve">, </w:t>
      </w:r>
      <w:proofErr w:type="spellStart"/>
      <w:r w:rsidRPr="00267E23">
        <w:t>CustomerSA</w:t>
      </w:r>
      <w:proofErr w:type="spellEnd"/>
      <w:r w:rsidRPr="00267E23">
        <w:t xml:space="preserve">, </w:t>
      </w:r>
      <w:proofErr w:type="spellStart"/>
      <w:r w:rsidRPr="00267E23">
        <w:t>FilmSA</w:t>
      </w:r>
      <w:proofErr w:type="spellEnd"/>
      <w:r w:rsidRPr="00267E23">
        <w:t>).</w:t>
      </w:r>
    </w:p>
    <w:p w14:paraId="1EDE828A" w14:textId="2BE26E3E" w:rsidR="00267E23" w:rsidRPr="00267E23" w:rsidRDefault="00267E23" w:rsidP="00267E23">
      <w:pPr>
        <w:numPr>
          <w:ilvl w:val="1"/>
          <w:numId w:val="3"/>
        </w:numPr>
      </w:pPr>
      <w:r w:rsidRPr="00267E23">
        <w:rPr>
          <w:b/>
          <w:bCs/>
        </w:rPr>
        <w:t>Destino</w:t>
      </w:r>
      <w:r w:rsidRPr="00267E23">
        <w:t>: Tablas del DW (</w:t>
      </w:r>
      <w:proofErr w:type="spellStart"/>
      <w:r w:rsidRPr="00267E23">
        <w:t>DimCustomer</w:t>
      </w:r>
      <w:proofErr w:type="spellEnd"/>
      <w:r w:rsidRPr="00267E23">
        <w:t xml:space="preserve">, </w:t>
      </w:r>
      <w:proofErr w:type="spellStart"/>
      <w:r w:rsidRPr="00267E23">
        <w:t>DimFilm</w:t>
      </w:r>
      <w:proofErr w:type="spellEnd"/>
      <w:r w:rsidRPr="00267E23">
        <w:t xml:space="preserve">, </w:t>
      </w:r>
      <w:proofErr w:type="spellStart"/>
      <w:r w:rsidRPr="00267E23">
        <w:t>FactRental</w:t>
      </w:r>
      <w:proofErr w:type="spellEnd"/>
      <w:r w:rsidRPr="00267E23">
        <w:t>).</w:t>
      </w:r>
    </w:p>
    <w:p w14:paraId="2AA75A49" w14:textId="37C77E22" w:rsidR="003A7471" w:rsidRDefault="003A7471">
      <w:pPr>
        <w:rPr>
          <w:noProof/>
        </w:rPr>
      </w:pPr>
      <w:r w:rsidRPr="003A7471">
        <w:rPr>
          <w:noProof/>
          <w:lang w:eastAsia="es-AR"/>
        </w:rPr>
        <w:lastRenderedPageBreak/>
        <w:drawing>
          <wp:inline distT="0" distB="0" distL="0" distR="0" wp14:anchorId="45A2D879" wp14:editId="1EF0948A">
            <wp:extent cx="2095792" cy="6735115"/>
            <wp:effectExtent l="0" t="0" r="0" b="8890"/>
            <wp:docPr id="55689647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6470" name="Imagen 1" descr="Diagram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471">
        <w:rPr>
          <w:noProof/>
        </w:rPr>
        <w:t xml:space="preserve"> </w:t>
      </w:r>
    </w:p>
    <w:p w14:paraId="2997D9EF" w14:textId="77777777" w:rsidR="00E27031" w:rsidRDefault="00E27031">
      <w:pPr>
        <w:rPr>
          <w:noProof/>
        </w:rPr>
      </w:pPr>
    </w:p>
    <w:p w14:paraId="29EDC7EB" w14:textId="77777777" w:rsidR="00E27031" w:rsidRDefault="00E27031">
      <w:pPr>
        <w:rPr>
          <w:noProof/>
        </w:rPr>
      </w:pPr>
    </w:p>
    <w:p w14:paraId="221B3CF8" w14:textId="77777777" w:rsidR="00E27031" w:rsidRDefault="00E27031">
      <w:pPr>
        <w:rPr>
          <w:noProof/>
        </w:rPr>
      </w:pPr>
    </w:p>
    <w:p w14:paraId="09FEAB39" w14:textId="77777777" w:rsidR="00E27031" w:rsidRDefault="00E27031">
      <w:pPr>
        <w:rPr>
          <w:noProof/>
        </w:rPr>
      </w:pPr>
    </w:p>
    <w:p w14:paraId="09FB54DF" w14:textId="77777777" w:rsidR="00E27031" w:rsidRDefault="00E27031">
      <w:pPr>
        <w:rPr>
          <w:noProof/>
        </w:rPr>
      </w:pPr>
    </w:p>
    <w:p w14:paraId="09F3941B" w14:textId="77777777" w:rsidR="00E27031" w:rsidRDefault="00E27031">
      <w:pPr>
        <w:rPr>
          <w:noProof/>
        </w:rPr>
      </w:pPr>
    </w:p>
    <w:p w14:paraId="60857FE9" w14:textId="77777777" w:rsidR="00E27031" w:rsidRDefault="00E27031">
      <w:pPr>
        <w:rPr>
          <w:noProof/>
        </w:rPr>
      </w:pPr>
    </w:p>
    <w:p w14:paraId="7C88FF02" w14:textId="6D55C993" w:rsidR="00E27031" w:rsidRPr="0029665E" w:rsidRDefault="00E27031">
      <w:pPr>
        <w:rPr>
          <w:b/>
          <w:noProof/>
          <w:u w:val="single"/>
        </w:rPr>
      </w:pPr>
      <w:r w:rsidRPr="0029665E">
        <w:rPr>
          <w:b/>
          <w:noProof/>
          <w:u w:val="single"/>
        </w:rPr>
        <w:lastRenderedPageBreak/>
        <w:t>Power Bi Reports:</w:t>
      </w:r>
    </w:p>
    <w:p w14:paraId="57E93D9E" w14:textId="77777777" w:rsidR="00E27031" w:rsidRDefault="00E27031"/>
    <w:p w14:paraId="4190806A" w14:textId="68240154" w:rsidR="00E27031" w:rsidRDefault="00E27031">
      <w:r w:rsidRPr="00E27031">
        <w:drawing>
          <wp:inline distT="0" distB="0" distL="0" distR="0" wp14:anchorId="4853CFD4" wp14:editId="18964532">
            <wp:extent cx="5400040" cy="3110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2719"/>
    <w:multiLevelType w:val="multilevel"/>
    <w:tmpl w:val="39AE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74F"/>
    <w:multiLevelType w:val="hybridMultilevel"/>
    <w:tmpl w:val="202EF052"/>
    <w:lvl w:ilvl="0" w:tplc="2C0A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" w15:restartNumberingAfterBreak="0">
    <w:nsid w:val="2DF0191F"/>
    <w:multiLevelType w:val="multilevel"/>
    <w:tmpl w:val="FF98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3729B"/>
    <w:multiLevelType w:val="multilevel"/>
    <w:tmpl w:val="EE48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5C"/>
    <w:rsid w:val="000162FE"/>
    <w:rsid w:val="00267E23"/>
    <w:rsid w:val="0029665E"/>
    <w:rsid w:val="003A7471"/>
    <w:rsid w:val="00496E29"/>
    <w:rsid w:val="007A61D7"/>
    <w:rsid w:val="00863F1D"/>
    <w:rsid w:val="00A06CF9"/>
    <w:rsid w:val="00AB115C"/>
    <w:rsid w:val="00BF2E88"/>
    <w:rsid w:val="00C33CD3"/>
    <w:rsid w:val="00C3429C"/>
    <w:rsid w:val="00C97950"/>
    <w:rsid w:val="00D93B2D"/>
    <w:rsid w:val="00E00951"/>
    <w:rsid w:val="00E27031"/>
    <w:rsid w:val="00F5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BA27"/>
  <w15:chartTrackingRefBased/>
  <w15:docId w15:val="{DFACEC2A-383F-4E28-B584-FB7B7F4F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5C"/>
  </w:style>
  <w:style w:type="paragraph" w:styleId="Ttulo1">
    <w:name w:val="heading 1"/>
    <w:basedOn w:val="Normal"/>
    <w:next w:val="Normal"/>
    <w:link w:val="Ttulo1Car"/>
    <w:uiPriority w:val="9"/>
    <w:qFormat/>
    <w:rsid w:val="00AB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06CF9"/>
    <w:pPr>
      <w:keepNext/>
      <w:keepLines/>
      <w:spacing w:before="400" w:after="360" w:line="258" w:lineRule="auto"/>
      <w:ind w:left="10" w:right="3" w:hanging="10"/>
      <w:jc w:val="both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6CF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AB1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1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1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1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1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1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1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15C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B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B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1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1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1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1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1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96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870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Bravo</dc:creator>
  <cp:keywords/>
  <dc:description/>
  <cp:lastModifiedBy>AGUSTIN LEANDRO ROMERO</cp:lastModifiedBy>
  <cp:revision>14</cp:revision>
  <dcterms:created xsi:type="dcterms:W3CDTF">2024-10-21T14:27:00Z</dcterms:created>
  <dcterms:modified xsi:type="dcterms:W3CDTF">2024-10-22T19:47:00Z</dcterms:modified>
</cp:coreProperties>
</file>