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contextualSpacing/>
        <w:jc w:val="both"/>
        <w:rPr>
          <w:rFonts w:ascii="Cambria" w:hAnsi="Cambria"/>
          <w:b/>
          <w:b/>
          <w:lang w:val="es-ES"/>
        </w:rPr>
      </w:pPr>
      <w:r>
        <w:drawing>
          <wp:anchor behindDoc="0" distT="0" distB="0" distL="114300" distR="114300" simplePos="0" locked="0" layoutInCell="1" allowOverlap="1" relativeHeight="2">
            <wp:simplePos x="0" y="0"/>
            <wp:positionH relativeFrom="column">
              <wp:posOffset>0</wp:posOffset>
            </wp:positionH>
            <wp:positionV relativeFrom="paragraph">
              <wp:posOffset>635</wp:posOffset>
            </wp:positionV>
            <wp:extent cx="534035" cy="490855"/>
            <wp:effectExtent l="0" t="0" r="0" b="0"/>
            <wp:wrapTight wrapText="bothSides">
              <wp:wrapPolygon edited="0">
                <wp:start x="-175" y="0"/>
                <wp:lineTo x="-175" y="19957"/>
                <wp:lineTo x="20523" y="19957"/>
                <wp:lineTo x="20523" y="0"/>
                <wp:lineTo x="-175" y="0"/>
              </wp:wrapPolygon>
            </wp:wrapTight>
            <wp:docPr id="1" name="rg_hi" descr="https://encrypted-tbn1.gstatic.com/images?q=tbn:ANd9GcRFP1mdACOAuD1ovGfyVm_mcWERmg-Bh4RVncC29gK5GIhVDw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_hi" descr="https://encrypted-tbn1.gstatic.com/images?q=tbn:ANd9GcRFP1mdACOAuD1ovGfyVm_mcWERmg-Bh4RVncC29gK5GIhVDwdd"/>
                    <pic:cNvPicPr>
                      <a:picLocks noChangeAspect="1" noChangeArrowheads="1"/>
                    </pic:cNvPicPr>
                  </pic:nvPicPr>
                  <pic:blipFill>
                    <a:blip r:embed="rId2"/>
                    <a:stretch>
                      <a:fillRect/>
                    </a:stretch>
                  </pic:blipFill>
                  <pic:spPr bwMode="auto">
                    <a:xfrm>
                      <a:off x="0" y="0"/>
                      <a:ext cx="534035" cy="490855"/>
                    </a:xfrm>
                    <a:prstGeom prst="rect">
                      <a:avLst/>
                    </a:prstGeom>
                  </pic:spPr>
                </pic:pic>
              </a:graphicData>
            </a:graphic>
          </wp:anchor>
        </w:drawing>
      </w:r>
      <w:r>
        <w:rPr>
          <w:rFonts w:ascii="Cambria" w:hAnsi="Cambria"/>
          <w:b/>
          <w:lang w:val="es-ES"/>
        </w:rPr>
        <w:t>U</w:t>
      </w:r>
      <w:r>
        <w:rPr>
          <w:rFonts w:ascii="Cambria" w:hAnsi="Cambria"/>
          <w:b/>
          <w:lang w:val="es-ES"/>
        </w:rPr>
        <w:t>niversidad de Murcia – GADE – Curso 1º</w:t>
      </w:r>
    </w:p>
    <w:p>
      <w:pPr>
        <w:pStyle w:val="Normal"/>
        <w:widowControl w:val="false"/>
        <w:spacing w:before="0" w:after="0"/>
        <w:contextualSpacing/>
        <w:jc w:val="both"/>
        <w:rPr>
          <w:rFonts w:ascii="Cambria" w:hAnsi="Cambria"/>
          <w:i/>
          <w:i/>
          <w:lang w:val="es-ES"/>
        </w:rPr>
      </w:pPr>
      <w:r>
        <w:rPr>
          <w:rFonts w:ascii="Cambria" w:hAnsi="Cambria"/>
          <w:i/>
          <w:lang w:val="es-ES"/>
        </w:rPr>
        <w:t>Departamento de Fundamentos del Análisis Económico</w:t>
      </w:r>
    </w:p>
    <w:p>
      <w:pPr>
        <w:pStyle w:val="Normal"/>
        <w:widowControl w:val="false"/>
        <w:spacing w:before="0" w:after="0"/>
        <w:contextualSpacing/>
        <w:jc w:val="both"/>
        <w:rPr>
          <w:rFonts w:ascii="Cambria" w:hAnsi="Cambria"/>
          <w:b/>
          <w:b/>
          <w:lang w:val="es-ES"/>
        </w:rPr>
      </w:pPr>
      <w:r>
        <w:rPr>
          <w:rFonts w:ascii="Cambria" w:hAnsi="Cambria"/>
          <w:b/>
          <w:lang w:val="es-ES"/>
        </w:rPr>
        <w:t xml:space="preserve">(2347) </w:t>
      </w:r>
      <w:bookmarkStart w:id="0" w:name="_GoBack"/>
      <w:bookmarkEnd w:id="0"/>
      <w:r>
        <w:rPr>
          <w:rFonts w:ascii="Cambria" w:hAnsi="Cambria"/>
          <w:b/>
          <w:lang w:val="es-ES"/>
        </w:rPr>
        <w:t>Introducción a la Economía II – 22/01/2021</w:t>
      </w:r>
    </w:p>
    <w:p>
      <w:pPr>
        <w:pStyle w:val="Normal"/>
        <w:widowControl w:val="false"/>
        <w:spacing w:before="120" w:after="0"/>
        <w:contextualSpacing/>
        <w:jc w:val="both"/>
        <w:rPr>
          <w:rFonts w:ascii="Cambria" w:hAnsi="Cambria"/>
          <w:lang w:val="es-ES"/>
        </w:rPr>
      </w:pPr>
      <w:r>
        <w:rPr>
          <w:rFonts w:ascii="Cambria" w:hAnsi="Cambria"/>
          <w:lang w:val="es-ES"/>
        </w:rPr>
      </w:r>
    </w:p>
    <w:tbl>
      <w:tblPr>
        <w:tblStyle w:val="Tablaconcuadrcula"/>
        <w:tblW w:w="7338" w:type="dxa"/>
        <w:jc w:val="left"/>
        <w:tblInd w:w="0" w:type="dxa"/>
        <w:tblCellMar>
          <w:top w:w="0" w:type="dxa"/>
          <w:left w:w="108" w:type="dxa"/>
          <w:bottom w:w="0" w:type="dxa"/>
          <w:right w:w="108" w:type="dxa"/>
        </w:tblCellMar>
        <w:tblLook w:val="04a0" w:noHBand="0" w:noVBand="1" w:firstColumn="1" w:lastRow="0" w:lastColumn="0" w:firstRow="1"/>
      </w:tblPr>
      <w:tblGrid>
        <w:gridCol w:w="4644"/>
        <w:gridCol w:w="2693"/>
      </w:tblGrid>
      <w:tr>
        <w:trPr>
          <w:trHeight w:val="340" w:hRule="atLeast"/>
        </w:trPr>
        <w:tc>
          <w:tcPr>
            <w:tcW w:w="4644" w:type="dxa"/>
            <w:tcBorders/>
            <w:vAlign w:val="center"/>
          </w:tcPr>
          <w:p>
            <w:pPr>
              <w:pStyle w:val="Normal"/>
              <w:widowControl w:val="false"/>
              <w:spacing w:before="0" w:after="0"/>
              <w:contextualSpacing/>
              <w:rPr>
                <w:rFonts w:ascii="Cambria" w:hAnsi="Cambria"/>
                <w:sz w:val="16"/>
                <w:szCs w:val="16"/>
                <w:lang w:val="es-ES"/>
              </w:rPr>
            </w:pPr>
            <w:r>
              <w:rPr>
                <w:rFonts w:ascii="Cambria" w:hAnsi="Cambria"/>
                <w:sz w:val="16"/>
                <w:szCs w:val="16"/>
                <w:lang w:val="es-ES"/>
              </w:rPr>
              <w:t>APELLIDOS:</w:t>
            </w:r>
          </w:p>
        </w:tc>
        <w:tc>
          <w:tcPr>
            <w:tcW w:w="2693" w:type="dxa"/>
            <w:tcBorders/>
            <w:vAlign w:val="center"/>
          </w:tcPr>
          <w:p>
            <w:pPr>
              <w:pStyle w:val="Normal"/>
              <w:widowControl w:val="false"/>
              <w:spacing w:before="0" w:after="0"/>
              <w:contextualSpacing/>
              <w:rPr>
                <w:rFonts w:ascii="Cambria" w:hAnsi="Cambria"/>
                <w:sz w:val="16"/>
                <w:szCs w:val="16"/>
                <w:lang w:val="es-ES"/>
              </w:rPr>
            </w:pPr>
            <w:r>
              <w:rPr>
                <w:rFonts w:ascii="Cambria" w:hAnsi="Cambria"/>
                <w:sz w:val="16"/>
                <w:szCs w:val="16"/>
                <w:lang w:val="es-ES"/>
              </w:rPr>
              <w:t>DNI:</w:t>
            </w:r>
          </w:p>
        </w:tc>
      </w:tr>
      <w:tr>
        <w:trPr>
          <w:trHeight w:val="340" w:hRule="atLeast"/>
        </w:trPr>
        <w:tc>
          <w:tcPr>
            <w:tcW w:w="4644" w:type="dxa"/>
            <w:tcBorders/>
            <w:vAlign w:val="center"/>
          </w:tcPr>
          <w:p>
            <w:pPr>
              <w:pStyle w:val="Normal"/>
              <w:widowControl w:val="false"/>
              <w:spacing w:before="0" w:after="0"/>
              <w:contextualSpacing/>
              <w:rPr>
                <w:rFonts w:ascii="Cambria" w:hAnsi="Cambria"/>
                <w:sz w:val="16"/>
                <w:szCs w:val="16"/>
                <w:lang w:val="es-ES"/>
              </w:rPr>
            </w:pPr>
            <w:r>
              <w:rPr>
                <w:rFonts w:ascii="Cambria" w:hAnsi="Cambria"/>
                <w:sz w:val="16"/>
                <w:szCs w:val="16"/>
                <w:lang w:val="es-ES"/>
              </w:rPr>
              <w:t>NOMBRE:</w:t>
            </w:r>
          </w:p>
        </w:tc>
        <w:tc>
          <w:tcPr>
            <w:tcW w:w="2693" w:type="dxa"/>
            <w:tcBorders/>
            <w:shd w:color="auto" w:fill="F2F2F2" w:themeFill="background1" w:themeFillShade="f2" w:val="clear"/>
            <w:vAlign w:val="center"/>
          </w:tcPr>
          <w:p>
            <w:pPr>
              <w:pStyle w:val="Normal"/>
              <w:widowControl w:val="false"/>
              <w:spacing w:before="0" w:after="0"/>
              <w:contextualSpacing/>
              <w:rPr>
                <w:rFonts w:ascii="Cambria" w:hAnsi="Cambria"/>
                <w:b/>
                <w:b/>
                <w:sz w:val="16"/>
                <w:szCs w:val="16"/>
                <w:highlight w:val="lightGray"/>
                <w:lang w:val="es-ES"/>
              </w:rPr>
            </w:pPr>
            <w:r>
              <w:rPr>
                <w:rFonts w:ascii="Cambria" w:hAnsi="Cambria"/>
                <w:b/>
                <w:sz w:val="16"/>
                <w:szCs w:val="16"/>
                <w:lang w:val="es-ES"/>
              </w:rPr>
              <w:t>GRUPO:</w:t>
            </w:r>
          </w:p>
        </w:tc>
      </w:tr>
    </w:tbl>
    <w:p>
      <w:pPr>
        <w:pStyle w:val="Normal"/>
        <w:widowControl w:val="false"/>
        <w:jc w:val="both"/>
        <w:rPr>
          <w:rFonts w:ascii="Cambria" w:hAnsi="Cambria"/>
          <w:sz w:val="18"/>
          <w:szCs w:val="18"/>
          <w:lang w:val="es-ES"/>
        </w:rPr>
      </w:pPr>
      <w:r>
        <w:rPr>
          <w:rFonts w:ascii="Cambria" w:hAnsi="Cambria"/>
          <w:sz w:val="18"/>
          <w:szCs w:val="18"/>
          <w:lang w:val="es-ES"/>
        </w:rPr>
      </w:r>
    </w:p>
    <w:p>
      <w:pPr>
        <w:pStyle w:val="Normal"/>
        <w:widowControl w:val="false"/>
        <w:jc w:val="center"/>
        <w:rPr>
          <w:rFonts w:ascii="Calibri" w:hAnsi="Calibri" w:cs="Calibri" w:asciiTheme="minorHAnsi" w:cstheme="minorHAnsi" w:hAnsiTheme="minorHAnsi"/>
          <w:b/>
          <w:b/>
          <w:sz w:val="28"/>
          <w:szCs w:val="28"/>
          <w:lang w:val="es-ES"/>
        </w:rPr>
      </w:pPr>
      <w:r>
        <w:rPr>
          <w:rFonts w:cs="Calibri" w:ascii="Calibri" w:hAnsi="Calibri" w:asciiTheme="minorHAnsi" w:cstheme="minorHAnsi" w:hAnsiTheme="minorHAnsi"/>
          <w:b/>
          <w:sz w:val="28"/>
          <w:szCs w:val="28"/>
          <w:lang w:val="es-ES"/>
        </w:rPr>
        <w:t>TIPO 01</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1. Según el modelo de largo plazo para una economía cerrada, un aumento del déficit público</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provoca un efecto expulsión sobre la inversión privada.</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aumenta el consumo privado.</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2. Una reducción del déficit fiscal hace</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aumentar el ahorro nacional.</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disminuir el ahorro nacional.</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3. Si la velocidad de circulación del dinero es constante, el PIB real ha crecido un 3% y la oferta monetaria ha crecido un 8%, entonces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la tasa de inflación será del 5%.</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no se puede saber la tasa de inflación sin tener datos adicionales.</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4. La teoría de los salarios de eficiencia se basa en suponer que el aumento de los salarios por encima del de equilibrio puede incrementar el rendimiento de los trabajadores y de esta manera beneficiar a la empresa.</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Verdadero.</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Falso.</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5. Si el PIB nominal del año 2016 es 100 y el PIB real (a precios constantes) del año 2016 es 200, entonces el deflactor del PIB para el año 2016 es: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200.</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50.</w:t>
      </w:r>
    </w:p>
    <w:p>
      <w:pPr>
        <w:pStyle w:val="Listavistosanfasis11"/>
        <w:spacing w:lineRule="auto" w:line="240" w:before="0" w:after="0"/>
        <w:ind w:left="0" w:hanging="0"/>
        <w:jc w:val="both"/>
        <w:rPr>
          <w:rFonts w:ascii="Calibri" w:hAnsi="Calibri" w:cs="Calibri" w:asciiTheme="minorHAnsi" w:cstheme="minorHAnsi" w:hAnsiTheme="minorHAnsi"/>
          <w:sz w:val="20"/>
          <w:szCs w:val="20"/>
        </w:rPr>
      </w:pPr>
      <w:r>
        <w:rPr>
          <w:rFonts w:cs="Calibri" w:cstheme="minorHAnsi"/>
          <w:sz w:val="20"/>
          <w:szCs w:val="20"/>
        </w:rPr>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6. En el modelo keynesiano simple, si aumentan las exportaciones netas en 100 millones de euros y disminuye la inversión en 100 millones de euros</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la renta de equilibrio no se ve modificada.</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la renta de equilibrio aumenta</w:t>
      </w:r>
    </w:p>
    <w:p>
      <w:pPr>
        <w:pStyle w:val="Listavistosanfasis11"/>
        <w:spacing w:lineRule="auto" w:line="240" w:before="0" w:after="0"/>
        <w:ind w:left="0" w:hanging="0"/>
        <w:jc w:val="both"/>
        <w:rPr>
          <w:rFonts w:ascii="Calibri" w:hAnsi="Calibri" w:cs="Calibri" w:asciiTheme="minorHAnsi" w:cstheme="minorHAnsi" w:hAnsiTheme="minorHAnsi"/>
          <w:sz w:val="20"/>
          <w:szCs w:val="20"/>
        </w:rPr>
      </w:pPr>
      <w:r>
        <w:rPr>
          <w:rFonts w:cs="Calibri" w:cstheme="minorHAnsi"/>
          <w:sz w:val="20"/>
          <w:szCs w:val="20"/>
        </w:rPr>
      </w:r>
    </w:p>
    <w:p>
      <w:pPr>
        <w:pStyle w:val="Listavistosanfasis11"/>
        <w:spacing w:lineRule="auto" w:line="240" w:before="0" w:after="0"/>
        <w:ind w:left="0" w:hanging="0"/>
        <w:jc w:val="both"/>
        <w:rPr>
          <w:rFonts w:ascii="Calibri" w:hAnsi="Calibri" w:cs="Calibri" w:asciiTheme="minorHAnsi" w:cstheme="minorHAnsi" w:hAnsiTheme="minorHAnsi"/>
          <w:sz w:val="20"/>
          <w:szCs w:val="20"/>
        </w:rPr>
      </w:pPr>
      <w:r>
        <w:rPr>
          <w:rFonts w:cs="Calibri" w:cstheme="minorHAnsi"/>
          <w:sz w:val="20"/>
          <w:szCs w:val="20"/>
        </w:rPr>
        <w:t>7. Señala cuál de los siguientes factores incide de manera negativa en el crecimiento económico de un país: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*a. La inestabilidad política e institucional del país. </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Un acuerdo para reducir los aranceles a nivel mundial.</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8. En una economía cerrada y a largo plazo, un aumento de las transferencias para pensiones genera un aumento: </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del tipo de interés real.</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de la inversión empresarial</w:t>
      </w:r>
    </w:p>
    <w:p>
      <w:pPr>
        <w:pStyle w:val="Normal"/>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9. Si el ahorro de un país (S) es superior a la inversión (I), habrá </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 superávit en la cuenta financiera (SNC&gt;0).</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b. déficit en la cuenta financiera (SNC&lt;0).</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10. Las depreciaciones de la moneda </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 benefician al sector exportador de una economía.</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b. perjudican al sector exportador de una economía.</w:t>
      </w:r>
    </w:p>
    <w:p>
      <w:pPr>
        <w:pStyle w:val="Western"/>
        <w:spacing w:lineRule="auto" w:line="240" w:beforeAutospacing="0" w:before="0" w:after="0"/>
        <w:jc w:val="both"/>
        <w:rPr>
          <w:rFonts w:ascii="Calibri" w:hAnsi="Calibri" w:cs="Calibri" w:asciiTheme="minorHAnsi" w:cstheme="minorHAnsi" w:hAnsiTheme="minorHAnsi"/>
        </w:rPr>
      </w:pPr>
      <w:r>
        <w:rPr>
          <w:rFonts w:cs="Calibri" w:cstheme="minorHAnsi" w:ascii="Calibri" w:hAnsi="Calibri"/>
        </w:rPr>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11. Una compra de bonos por parte del banco central hará que la oferta monetaria</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 xml:space="preserve">*a. aumente. </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b. disminuya.</w:t>
      </w:r>
    </w:p>
    <w:p>
      <w:pPr>
        <w:pStyle w:val="Western"/>
        <w:spacing w:lineRule="auto" w:line="240" w:beforeAutospacing="0" w:before="0" w:after="0"/>
        <w:jc w:val="both"/>
        <w:rPr>
          <w:rFonts w:ascii="Calibri" w:hAnsi="Calibri" w:cs="Calibri" w:asciiTheme="minorHAnsi" w:cstheme="minorHAnsi" w:hAnsiTheme="minorHAnsi"/>
        </w:rPr>
      </w:pPr>
      <w:r>
        <w:rPr>
          <w:rFonts w:cs="Calibri" w:cstheme="minorHAnsi" w:ascii="Calibri" w:hAnsi="Calibri"/>
        </w:rPr>
      </w:r>
    </w:p>
    <w:p>
      <w:pPr>
        <w:pStyle w:val="ListParagraph"/>
        <w:spacing w:before="0" w:after="0"/>
        <w:ind w:left="0" w:hanging="0"/>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12. Las fluctuaciones del PIB en torno a su nivel potencial, según los keynesianos </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tienen su origen en las variaciones del PIB potencial.</w:t>
      </w:r>
    </w:p>
    <w:p>
      <w:pPr>
        <w:pStyle w:val="Normal"/>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tienen su origen en variaciones de la demanda agregada.</w:t>
      </w:r>
    </w:p>
    <w:p>
      <w:pPr>
        <w:pStyle w:val="Western"/>
        <w:spacing w:lineRule="auto" w:line="240" w:beforeAutospacing="0" w:before="0" w:after="0"/>
        <w:jc w:val="both"/>
        <w:rPr>
          <w:rFonts w:ascii="Calibri" w:hAnsi="Calibri" w:cs="Calibri" w:asciiTheme="minorHAnsi" w:cstheme="minorHAnsi" w:hAnsiTheme="minorHAnsi"/>
        </w:rPr>
      </w:pPr>
      <w:r>
        <w:rPr>
          <w:rFonts w:cs="Calibri" w:cstheme="minorHAnsi" w:ascii="Calibri" w:hAnsi="Calibri"/>
        </w:rPr>
      </w:r>
    </w:p>
    <w:p>
      <w:pPr>
        <w:pStyle w:val="Western"/>
        <w:spacing w:lineRule="auto" w:line="240"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13. Suponga que los tipos de cambio con respecto al dólar son de 120 yenes por dólar y 1,25 euros por dólar. De acuerdo con la “</w:t>
      </w:r>
      <w:r>
        <w:rPr>
          <w:rFonts w:cs="Calibri" w:ascii="Calibri" w:hAnsi="Calibri" w:asciiTheme="minorHAnsi" w:cstheme="minorHAnsi" w:hAnsiTheme="minorHAnsi"/>
          <w:i/>
          <w:iCs/>
        </w:rPr>
        <w:t>ley del único precio</w:t>
      </w:r>
      <w:r>
        <w:rPr>
          <w:rFonts w:cs="Calibri" w:ascii="Calibri" w:hAnsi="Calibri" w:asciiTheme="minorHAnsi" w:cstheme="minorHAnsi" w:hAnsiTheme="minorHAnsi"/>
        </w:rPr>
        <w:t>” si la tonelada de trigo en Europa cuesta 1.000 euros, en Japón debería costar</w:t>
      </w:r>
    </w:p>
    <w:p>
      <w:pPr>
        <w:pStyle w:val="Normal"/>
        <w:widowControl w:val="false"/>
        <w:tabs>
          <w:tab w:val="clear" w:pos="144"/>
          <w:tab w:val="left" w:pos="426" w:leader="none"/>
        </w:tabs>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a. más de 100.000 yenes. </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*b. menos de 100.000 yenes. </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14. De los dos factores que se mencionan ¿cuál es más determinante para explicar las diferencias observadas en los niveles de vida de los diferentes países? </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 xml:space="preserve">a. Sus recursos naturales. </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*b. La productividad de sus trabajadores.</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15. El ahorro privado de un país es 100 mill. €, su sector público tiene un saldo presupuestario negativo de 50 mill.€, y la inversión privada es igual a 150 mill.€ Entonces, el país</w:t>
      </w:r>
    </w:p>
    <w:p>
      <w:pPr>
        <w:pStyle w:val="Textbodyindent"/>
        <w:ind w:left="0" w:hanging="0"/>
        <w:jc w:val="both"/>
        <w:rPr>
          <w:rFonts w:ascii="Calibri" w:hAnsi="Calibri" w:eastAsia="Times New Roman"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 xml:space="preserve">a. registrará </w:t>
      </w:r>
      <w:r>
        <w:rPr>
          <w:rFonts w:eastAsia="Times New Roman" w:cs="Calibri" w:ascii="Calibri" w:hAnsi="Calibri" w:asciiTheme="minorHAnsi" w:cstheme="minorHAnsi" w:hAnsiTheme="minorHAnsi"/>
          <w:sz w:val="20"/>
          <w:szCs w:val="20"/>
          <w:lang w:val="es-ES"/>
        </w:rPr>
        <w:t>una salida neta de capitales.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registrará una entrada neta de capitales.</w:t>
      </w:r>
    </w:p>
    <w:p>
      <w:pPr>
        <w:pStyle w:val="Normal"/>
        <w:widowControl w:val="false"/>
        <w:tabs>
          <w:tab w:val="clear" w:pos="144"/>
          <w:tab w:val="left" w:pos="567" w:leader="none"/>
          <w:tab w:val="left" w:pos="851" w:leader="none"/>
        </w:tabs>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16. Las rentas del trabajo de un ciudadano español que tiene su domicilio en Badajoz, pero va a trabajar todos los días a un pueblo de Portugal, computan</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a. en el PIB de España.</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*b. en el PNB de España.</w:t>
      </w:r>
    </w:p>
    <w:p>
      <w:pPr>
        <w:pStyle w:val="Normal"/>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17. En el contexto del modelo de una economía abierta, los contingentes o cuotas a la importación</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son irrelevantes para la determinación del tipo de interés real.</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son irrelevantes para la determinación del tipo de cambio real.</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18. En una economía abierta y a largo plazo, un aumento de la Salida Neta de Capitales modifica tanto el tipo de interés real como el tipo de cambio real.</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Verdadero.</w:t>
      </w:r>
    </w:p>
    <w:p>
      <w:pPr>
        <w:pStyle w:val="Normal"/>
        <w:widowControl w:val="false"/>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Falso.</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19. Si el PIB per cápita en 2000 es de 20.100 euros y en 2015 es de 23.300 euros, la tasa media de crecimiento anual en el período 2000-2015 ha sido:</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superior al 1.2%.</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inferior al 1.2%.</w:t>
      </w:r>
    </w:p>
    <w:p>
      <w:pPr>
        <w:pStyle w:val="ListParagraph"/>
        <w:spacing w:before="0" w:after="0"/>
        <w:ind w:left="0" w:hanging="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20. En una economía abierta y a largo plazo, un aumento del déficit público genera</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una disminución de la salida neta de capitales.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una depreciación de la moneda nacional.</w:t>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ListParagraph"/>
        <w:spacing w:before="0" w:after="0"/>
        <w:ind w:left="0" w:hanging="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sz w:val="20"/>
          <w:szCs w:val="20"/>
        </w:rPr>
        <w:t>21. El ahorro nacional (S) constituye en una economía cerrada</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la demanda de fondos prestables.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la oferta de fondos prestables.</w:t>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22. En un país se producen Y=5000 unidades de producto a un precio de P=5 € la unidad. Si la cantidad de dinero que hay en la economía es M=1.000, la velocidad del dinero (el número de veces que el dinero cambiará de manos) será</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 xml:space="preserve">*a. v = 25. </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b. v = 200.</w:t>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23. Según la Contabilidad Nacional, la variación de existencias se contabiliza en la Formación Bruta de Capital.</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Verdadero.</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Falso.</w:t>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Western"/>
        <w:spacing w:lineRule="auto" w:line="240" w:beforeAutospacing="0" w:before="0" w:after="0"/>
        <w:rPr>
          <w:rFonts w:ascii="Calibri" w:hAnsi="Calibri" w:cs="Calibri" w:asciiTheme="minorHAnsi" w:cstheme="minorHAnsi" w:hAnsiTheme="minorHAnsi"/>
        </w:rPr>
      </w:pPr>
      <w:r>
        <w:rPr>
          <w:rFonts w:cs="Calibri" w:ascii="Calibri" w:hAnsi="Calibri" w:asciiTheme="minorHAnsi" w:cstheme="minorHAnsi" w:hAnsiTheme="minorHAnsi"/>
        </w:rPr>
        <w:t>24. Suponga que la propensión marginal a consumir es 0,6. Entonces, en el modelo keynesiano, el multiplicador del gasto público es mayor que el multiplicador de los impuestos netos.</w:t>
      </w:r>
    </w:p>
    <w:p>
      <w:pPr>
        <w:pStyle w:val="BodyTextIndent2"/>
        <w:tabs>
          <w:tab w:val="clear" w:pos="144"/>
          <w:tab w:val="left" w:pos="720" w:leader="none"/>
          <w:tab w:val="left" w:pos="1440" w:leader="none"/>
        </w:tabs>
        <w:spacing w:lineRule="auto" w:line="240" w:before="0" w:after="0"/>
        <w:ind w:left="0" w:hanging="0"/>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*a. Verdadero. </w:t>
      </w:r>
    </w:p>
    <w:p>
      <w:pPr>
        <w:pStyle w:val="BodyTextIndent2"/>
        <w:tabs>
          <w:tab w:val="clear" w:pos="144"/>
          <w:tab w:val="left" w:pos="720" w:leader="none"/>
          <w:tab w:val="left" w:pos="1440" w:leader="none"/>
        </w:tabs>
        <w:spacing w:lineRule="auto" w:line="240" w:before="0" w:after="0"/>
        <w:ind w:left="0" w:hanging="0"/>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Falso.</w:t>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Standard"/>
        <w:jc w:val="both"/>
        <w:rPr>
          <w:rFonts w:ascii="Calibri" w:hAnsi="Calibri" w:cs="Calibri" w:asciiTheme="minorHAnsi" w:cstheme="minorHAnsi" w:hAnsiTheme="minorHAnsi"/>
          <w:sz w:val="20"/>
          <w:szCs w:val="20"/>
          <w:lang w:val="es-ES"/>
        </w:rPr>
      </w:pPr>
      <w:r>
        <w:rPr>
          <w:rFonts w:cs="Calibri" w:cstheme="minorHAnsi" w:ascii="Calibri" w:hAnsi="Calibri"/>
          <w:sz w:val="20"/>
          <w:szCs w:val="20"/>
          <w:lang w:val="es-ES"/>
        </w:rPr>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25. El multiplicador monetario aumenta cuando la proporción de efectivo sobre depósitos que mantiene el público</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a. aumenta.</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sz w:val="20"/>
          <w:szCs w:val="20"/>
          <w:lang w:val="es-ES"/>
        </w:rPr>
        <w:t xml:space="preserve">*b. disminuye. </w:t>
      </w:r>
    </w:p>
    <w:p>
      <w:pPr>
        <w:pStyle w:val="Normal"/>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26. ¿Cuántas personas están desempleadas en un país cuya tasa de paro es del 10%, si hay 25 millones de personas en edad de trabajar (tienen al menos 16 años) y 5 millones de personas inactivas?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2 millones.</w:t>
      </w:r>
    </w:p>
    <w:p>
      <w:pPr>
        <w:pStyle w:val="Normal"/>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2,5 millones.</w:t>
      </w:r>
    </w:p>
    <w:p>
      <w:pPr>
        <w:pStyle w:val="Standard"/>
        <w:jc w:val="both"/>
        <w:rPr>
          <w:rFonts w:ascii="Calibri" w:hAnsi="Calibri" w:cs="Calibri" w:asciiTheme="minorHAnsi" w:cstheme="minorHAnsi" w:hAnsiTheme="minorHAnsi"/>
          <w:color w:val="000000"/>
          <w:sz w:val="20"/>
          <w:szCs w:val="20"/>
          <w:lang w:val="es-ES"/>
        </w:rPr>
      </w:pPr>
      <w:r>
        <w:rPr>
          <w:rFonts w:cs="Calibri" w:cstheme="minorHAnsi" w:ascii="Calibri" w:hAnsi="Calibri"/>
          <w:color w:val="000000"/>
          <w:sz w:val="20"/>
          <w:szCs w:val="20"/>
          <w:lang w:val="es-ES"/>
        </w:rPr>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color w:val="000000"/>
          <w:sz w:val="20"/>
          <w:szCs w:val="20"/>
          <w:lang w:val="es-ES"/>
        </w:rPr>
        <w:t>27. Carmen es una chica que ha estudiado historia del arte y lleva dos años trabajando en una galería. Sin embargo, acaba de dejar su puesto de trabajo pues quiere encontrar otro en algún museo ¿En qué tipo de desempleo se podría clasificar a Carmen?</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color w:val="000000"/>
          <w:sz w:val="20"/>
          <w:szCs w:val="20"/>
          <w:lang w:val="es-ES"/>
        </w:rPr>
        <w:t xml:space="preserve">*a. Desempleo friccional. </w:t>
      </w:r>
    </w:p>
    <w:p>
      <w:pPr>
        <w:pStyle w:val="Standard"/>
        <w:jc w:val="both"/>
        <w:rPr>
          <w:rFonts w:ascii="Calibri" w:hAnsi="Calibri" w:cs="Calibri" w:asciiTheme="minorHAnsi" w:cstheme="minorHAnsi" w:hAnsiTheme="minorHAnsi"/>
          <w:sz w:val="20"/>
          <w:szCs w:val="20"/>
          <w:lang w:val="es-ES"/>
        </w:rPr>
      </w:pPr>
      <w:r>
        <w:rPr>
          <w:rFonts w:cs="Calibri" w:ascii="Calibri" w:hAnsi="Calibri" w:asciiTheme="minorHAnsi" w:cstheme="minorHAnsi" w:hAnsiTheme="minorHAnsi"/>
          <w:color w:val="000000"/>
          <w:sz w:val="20"/>
          <w:szCs w:val="20"/>
          <w:lang w:val="es-ES"/>
        </w:rPr>
        <w:t>b. Desempleo estructural.</w:t>
      </w:r>
    </w:p>
    <w:p>
      <w:pPr>
        <w:pStyle w:val="Western"/>
        <w:spacing w:lineRule="auto" w:line="240" w:beforeAutospacing="0" w:before="0" w:after="0"/>
        <w:jc w:val="both"/>
        <w:rPr>
          <w:rFonts w:ascii="Calibri" w:hAnsi="Calibri" w:cs="Calibri" w:asciiTheme="minorHAnsi" w:cstheme="minorHAnsi" w:hAnsiTheme="minorHAnsi"/>
        </w:rPr>
      </w:pPr>
      <w:r>
        <w:rPr>
          <w:rFonts w:cs="Calibri" w:cstheme="minorHAnsi" w:ascii="Calibri" w:hAnsi="Calibri"/>
        </w:rPr>
      </w:r>
    </w:p>
    <w:p>
      <w:pPr>
        <w:pStyle w:val="Western"/>
        <w:spacing w:lineRule="auto" w:line="240"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28. Un salario mínimo por encima del correspondiente al equilibrio de pleno empleo genera</w:t>
      </w:r>
    </w:p>
    <w:p>
      <w:pPr>
        <w:pStyle w:val="Normal"/>
        <w:tabs>
          <w:tab w:val="clear" w:pos="144"/>
          <w:tab w:val="left" w:pos="720" w:leader="none"/>
          <w:tab w:val="left" w:pos="1440" w:leader="none"/>
        </w:tabs>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 xml:space="preserve">*a. desempleo entre los trabajadores no cualificados pero no necesariamente entre los cualificados. </w:t>
      </w:r>
    </w:p>
    <w:p>
      <w:pPr>
        <w:pStyle w:val="Normal"/>
        <w:tabs>
          <w:tab w:val="clear" w:pos="144"/>
          <w:tab w:val="left" w:pos="720" w:leader="none"/>
          <w:tab w:val="left" w:pos="1440" w:leader="none"/>
        </w:tabs>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desempleo entre todos los tipos de trabajadores.</w:t>
      </w:r>
    </w:p>
    <w:p>
      <w:pPr>
        <w:pStyle w:val="Normal"/>
        <w:jc w:val="both"/>
        <w:rPr>
          <w:rFonts w:ascii="Calibri" w:hAnsi="Calibri" w:cs="Calibri" w:asciiTheme="minorHAnsi" w:cstheme="minorHAnsi" w:hAnsiTheme="minorHAnsi"/>
          <w:color w:val="000000" w:themeColor="text1"/>
          <w:lang w:val="es-ES"/>
        </w:rPr>
      </w:pPr>
      <w:r>
        <w:rPr>
          <w:rFonts w:cs="Calibri" w:cstheme="minorHAnsi" w:ascii="Calibri" w:hAnsi="Calibri"/>
          <w:color w:val="000000" w:themeColor="text1"/>
          <w:lang w:val="es-ES"/>
        </w:rPr>
      </w:r>
    </w:p>
    <w:p>
      <w:pPr>
        <w:pStyle w:val="Normal"/>
        <w:jc w:val="both"/>
        <w:rPr>
          <w:rFonts w:ascii="Calibri" w:hAnsi="Calibri" w:cs="Calibri" w:asciiTheme="minorHAnsi" w:cstheme="minorHAnsi" w:hAnsiTheme="minorHAnsi"/>
          <w:color w:val="000000" w:themeColor="text1"/>
          <w:lang w:val="es-ES"/>
        </w:rPr>
      </w:pPr>
      <w:r>
        <w:rPr>
          <w:rFonts w:cs="Calibri" w:ascii="Calibri" w:hAnsi="Calibri" w:asciiTheme="minorHAnsi" w:cstheme="minorHAnsi" w:hAnsiTheme="minorHAnsi"/>
          <w:color w:val="000000" w:themeColor="text1"/>
          <w:lang w:val="es-ES"/>
        </w:rPr>
        <w:t>29. Según la teoría keynesiana, a corto plazo el PIB viene determinado por</w:t>
      </w:r>
    </w:p>
    <w:p>
      <w:pPr>
        <w:pStyle w:val="Normal"/>
        <w:jc w:val="both"/>
        <w:rPr>
          <w:rFonts w:ascii="Calibri" w:hAnsi="Calibri" w:cs="Calibri" w:asciiTheme="minorHAnsi" w:cstheme="minorHAnsi" w:hAnsiTheme="minorHAnsi"/>
          <w:color w:val="000000" w:themeColor="text1"/>
          <w:lang w:val="es-ES"/>
        </w:rPr>
      </w:pPr>
      <w:r>
        <w:rPr>
          <w:rFonts w:cs="Calibri" w:ascii="Calibri" w:hAnsi="Calibri" w:asciiTheme="minorHAnsi" w:cstheme="minorHAnsi" w:hAnsiTheme="minorHAnsi"/>
          <w:color w:val="000000" w:themeColor="text1"/>
          <w:lang w:val="es-ES"/>
        </w:rPr>
        <w:t>*a. la demanda agregada.</w:t>
      </w:r>
    </w:p>
    <w:p>
      <w:pPr>
        <w:pStyle w:val="Normal"/>
        <w:jc w:val="both"/>
        <w:rPr>
          <w:rFonts w:ascii="Calibri" w:hAnsi="Calibri" w:cs="Calibri" w:asciiTheme="minorHAnsi" w:cstheme="minorHAnsi" w:hAnsiTheme="minorHAnsi"/>
          <w:color w:val="000000" w:themeColor="text1"/>
          <w:lang w:val="es-ES"/>
        </w:rPr>
      </w:pPr>
      <w:r>
        <w:rPr>
          <w:rFonts w:cs="Calibri" w:ascii="Calibri" w:hAnsi="Calibri" w:asciiTheme="minorHAnsi" w:cstheme="minorHAnsi" w:hAnsiTheme="minorHAnsi"/>
          <w:color w:val="000000" w:themeColor="text1"/>
          <w:lang w:val="es-ES"/>
        </w:rPr>
        <w:t>b. el producto potencial.</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widowControl w:val="false"/>
        <w:tabs>
          <w:tab w:val="clear" w:pos="144"/>
          <w:tab w:val="left" w:pos="567" w:leader="none"/>
          <w:tab w:val="left" w:pos="851" w:leader="none"/>
        </w:tabs>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30. Considere el modelo macroeconómico de largo plazo. Si disminuye el fraude fiscal en un país, y por tanto, aumenta la recaudación impositiva, entonces sus exportaciones netas</w:t>
      </w:r>
    </w:p>
    <w:p>
      <w:pPr>
        <w:pStyle w:val="Normal"/>
        <w:widowControl w:val="false"/>
        <w:tabs>
          <w:tab w:val="clear" w:pos="144"/>
          <w:tab w:val="left" w:pos="567" w:leader="none"/>
          <w:tab w:val="left" w:pos="851" w:leader="none"/>
        </w:tabs>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a. disminuirán</w:t>
      </w:r>
    </w:p>
    <w:p>
      <w:pPr>
        <w:pStyle w:val="Normal"/>
        <w:widowControl w:val="false"/>
        <w:tabs>
          <w:tab w:val="clear" w:pos="144"/>
          <w:tab w:val="left" w:pos="567" w:leader="none"/>
          <w:tab w:val="left" w:pos="851" w:leader="none"/>
        </w:tabs>
        <w:jc w:val="both"/>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*b. aumentarán.</w:t>
      </w:r>
    </w:p>
    <w:p>
      <w:pPr>
        <w:pStyle w:val="Normal"/>
        <w:widowControl w:val="false"/>
        <w:jc w:val="both"/>
        <w:rPr>
          <w:rFonts w:ascii="Calibri" w:hAnsi="Calibri" w:cs="Calibri" w:asciiTheme="minorHAnsi" w:cstheme="minorHAnsi" w:hAnsiTheme="minorHAnsi"/>
          <w:lang w:val="es-ES"/>
        </w:rPr>
      </w:pPr>
      <w:r>
        <w:rPr>
          <w:rFonts w:cs="Calibri" w:cstheme="minorHAnsi" w:ascii="Calibri" w:hAnsi="Calibri"/>
          <w:lang w:val="es-ES"/>
        </w:rPr>
      </w:r>
    </w:p>
    <w:p>
      <w:pPr>
        <w:pStyle w:val="Normal"/>
        <w:widowControl w:val="false"/>
        <w:jc w:val="both"/>
        <w:rPr>
          <w:rFonts w:ascii="Calibri" w:hAnsi="Calibri" w:cs="Calibri" w:asciiTheme="minorHAnsi" w:cstheme="minorHAnsi" w:hAnsiTheme="minorHAnsi"/>
          <w:lang w:val="es-ES"/>
        </w:rPr>
      </w:pPr>
      <w:r>
        <w:rPr/>
      </w:r>
    </w:p>
    <w:sectPr>
      <w:footerReference w:type="default" r:id="rId3"/>
      <w:type w:val="nextPage"/>
      <w:pgSz w:orient="landscape" w:w="16838" w:h="11906"/>
      <w:pgMar w:left="851" w:right="851" w:header="0" w:top="567" w:footer="0" w:bottom="567" w:gutter="0"/>
      <w:pgNumType w:fmt="decimal"/>
      <w:cols w:num="2" w:space="624" w:equalWidth="true" w:sep="false"/>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w:charset w:val="01"/>
    <w:family w:val="roman"/>
    <w:pitch w:val="variable"/>
  </w:font>
  <w:font w:name="Arial">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 w:name="DejaVu Sans Mono">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rFonts w:ascii="Arial" w:hAnsi="Arial" w:cs="Arial"/>
      </w:rPr>
    </w:pPr>
    <w:r>
      <w:rPr>
        <w:rFonts w:cs="Arial" w:ascii="Arial" w:hAnsi="Arial"/>
      </w:rPr>
    </w:r>
    <w:r>
      <mc:AlternateContent>
        <mc:Choice Requires="wps">
          <w:drawing>
            <wp:anchor behindDoc="0" distT="0" distB="0" distL="0" distR="0" simplePos="0" locked="0" layoutInCell="1" allowOverlap="1" relativeHeight="3">
              <wp:simplePos x="0" y="0"/>
              <wp:positionH relativeFrom="margin">
                <wp:align>right</wp:align>
              </wp:positionH>
              <wp:positionV relativeFrom="paragraph">
                <wp:posOffset>635</wp:posOffset>
              </wp:positionV>
              <wp:extent cx="14605" cy="146685"/>
              <wp:effectExtent l="0" t="0" r="0" b="0"/>
              <wp:wrapSquare wrapText="largest"/>
              <wp:docPr id="2" name="Marc1"/>
              <a:graphic xmlns:a="http://schemas.openxmlformats.org/drawingml/2006/main">
                <a:graphicData uri="http://schemas.microsoft.com/office/word/2010/wordprocessingShape">
                  <wps:wsp>
                    <wps:cNvSpPr txBox="1"/>
                    <wps:spPr>
                      <a:xfrm>
                        <a:off x="0" y="0"/>
                        <a:ext cx="14605" cy="146685"/>
                      </a:xfrm>
                      <a:prstGeom prst="rect"/>
                      <a:solidFill>
                        <a:srgbClr val="FFFFFF">
                          <a:alpha val="0"/>
                        </a:srgbClr>
                      </a:solidFill>
                    </wps:spPr>
                    <wps:txbx>
                      <w:txbxContent>
                        <w:p>
                          <w:pPr>
                            <w:pStyle w:val="Peudepgina"/>
                            <w:pBdr/>
                            <w:rPr>
                              <w:rFonts w:ascii="Arial" w:hAnsi="Arial"/>
                              <w:sz w:val="16"/>
                            </w:rPr>
                          </w:pPr>
                          <w:r>
                            <w:rPr/>
                          </w:r>
                        </w:p>
                      </w:txbxContent>
                    </wps:txbx>
                    <wps:bodyPr anchor="t" lIns="0" tIns="0" rIns="0" bIns="0">
                      <a:spAutoFit/>
                    </wps:bodyPr>
                  </wps:wsp>
                </a:graphicData>
              </a:graphic>
            </wp:anchor>
          </w:drawing>
        </mc:Choice>
        <mc:Fallback>
          <w:pict>
            <v:rect fillcolor="#FFFFFF" style="position:absolute;rotation:0;width:1.15pt;height:11.55pt;mso-wrap-distance-left:0pt;mso-wrap-distance-right:0pt;mso-wrap-distance-top:0pt;mso-wrap-distance-bottom:0pt;margin-top:0.05pt;mso-position-vertical-relative:text;margin-left:755.65pt;mso-position-horizontal:right;mso-position-horizontal-relative:margin">
              <v:fill opacity="0f"/>
              <v:textbox inset="0in,0in,0in,0in">
                <w:txbxContent>
                  <w:p>
                    <w:pPr>
                      <w:pStyle w:val="Peudepgina"/>
                      <w:pBdr/>
                      <w:rPr>
                        <w:rFonts w:ascii="Arial" w:hAnsi="Arial"/>
                        <w:sz w:val="16"/>
                      </w:rPr>
                    </w:pPr>
                    <w:r>
                      <w:rPr/>
                    </w:r>
                  </w:p>
                </w:txbxContent>
              </v:textbox>
              <w10:wrap type="square" side="largest"/>
            </v:rect>
          </w:pict>
        </mc:Fallback>
      </mc:AlternateContent>
    </w:r>
  </w:p>
</w:ftr>
</file>

<file path=word/settings.xml><?xml version="1.0" encoding="utf-8"?>
<w:settings xmlns:w="http://schemas.openxmlformats.org/wordprocessingml/2006/main">
  <w:zoom w:percent="100"/>
  <w:embedSystemFonts/>
  <w:defaultTabStop w:val="14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s-ES_tradnl" w:eastAsia="es-ES" w:bidi="ar-SA"/>
    </w:rPr>
  </w:style>
  <w:style w:type="paragraph" w:styleId="Encapalament1">
    <w:name w:val="Heading 1"/>
    <w:basedOn w:val="Normal"/>
    <w:next w:val="Normal"/>
    <w:qFormat/>
    <w:pPr>
      <w:keepNext w:val="true"/>
      <w:ind w:right="377" w:hanging="0"/>
      <w:jc w:val="both"/>
      <w:outlineLvl w:val="0"/>
    </w:pPr>
    <w:rPr>
      <w:rFonts w:ascii="Times New" w:hAnsi="Times New"/>
      <w:b/>
      <w:sz w:val="24"/>
    </w:rPr>
  </w:style>
  <w:style w:type="paragraph" w:styleId="Encapalament2">
    <w:name w:val="Heading 2"/>
    <w:basedOn w:val="Normal"/>
    <w:next w:val="Normal"/>
    <w:qFormat/>
    <w:pPr>
      <w:keepNext w:val="true"/>
      <w:ind w:right="377" w:hanging="0"/>
      <w:jc w:val="both"/>
      <w:outlineLvl w:val="1"/>
    </w:pPr>
    <w:rPr>
      <w:rFonts w:ascii="Times New" w:hAnsi="Times New"/>
      <w:b/>
      <w:sz w:val="36"/>
    </w:rPr>
  </w:style>
  <w:style w:type="paragraph" w:styleId="Encapalament3">
    <w:name w:val="Heading 3"/>
    <w:basedOn w:val="Normal"/>
    <w:next w:val="Normal"/>
    <w:qFormat/>
    <w:pPr>
      <w:keepNext w:val="true"/>
      <w:ind w:right="519" w:hanging="0"/>
      <w:jc w:val="center"/>
      <w:outlineLvl w:val="2"/>
    </w:pPr>
    <w:rPr>
      <w:rFonts w:ascii="Times New" w:hAnsi="Times New"/>
      <w:b/>
      <w:sz w:val="24"/>
    </w:rPr>
  </w:style>
  <w:style w:type="paragraph" w:styleId="Encapalament4">
    <w:name w:val="Heading 4"/>
    <w:basedOn w:val="Normal"/>
    <w:next w:val="Normal"/>
    <w:qFormat/>
    <w:pPr>
      <w:keepNext w:val="true"/>
      <w:ind w:right="519" w:hanging="0"/>
      <w:jc w:val="center"/>
      <w:outlineLvl w:val="3"/>
    </w:pPr>
    <w:rPr>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ladInternet">
    <w:name w:val="Enllaç d'Internet"/>
    <w:rPr>
      <w:color w:val="003366"/>
      <w:u w:val="single"/>
    </w:rPr>
  </w:style>
  <w:style w:type="character" w:styleId="Diezpixazul1" w:customStyle="1">
    <w:name w:val="diezpixazul1"/>
    <w:qFormat/>
    <w:rPr>
      <w:rFonts w:ascii="Arial" w:hAnsi="Arial" w:cs="Arial"/>
      <w:color w:val="003366"/>
      <w:sz w:val="15"/>
      <w:szCs w:val="15"/>
    </w:rPr>
  </w:style>
  <w:style w:type="character" w:styleId="Diezpixrojoneg1" w:customStyle="1">
    <w:name w:val="diezpixrojoneg1"/>
    <w:qFormat/>
    <w:rPr>
      <w:rFonts w:ascii="Arial" w:hAnsi="Arial" w:cs="Arial"/>
      <w:b/>
      <w:bCs/>
      <w:strike w:val="false"/>
      <w:dstrike w:val="false"/>
      <w:color w:val="990000"/>
      <w:sz w:val="15"/>
      <w:szCs w:val="15"/>
      <w:u w:val="none"/>
      <w:effect w:val="none"/>
    </w:rPr>
  </w:style>
  <w:style w:type="character" w:styleId="Oncepixnegro1" w:customStyle="1">
    <w:name w:val="oncepixnegro1"/>
    <w:qFormat/>
    <w:rPr>
      <w:rFonts w:ascii="Arial" w:hAnsi="Arial" w:cs="Arial"/>
      <w:strike w:val="false"/>
      <w:dstrike w:val="false"/>
      <w:color w:val="000000"/>
      <w:sz w:val="17"/>
      <w:szCs w:val="17"/>
      <w:u w:val="none"/>
      <w:effect w:val="none"/>
    </w:rPr>
  </w:style>
  <w:style w:type="character" w:styleId="Docepixrojoneg1" w:customStyle="1">
    <w:name w:val="docepixrojoneg1"/>
    <w:qFormat/>
    <w:rPr>
      <w:rFonts w:ascii="Arial" w:hAnsi="Arial" w:cs="Arial"/>
      <w:b/>
      <w:bCs/>
      <w:strike w:val="false"/>
      <w:dstrike w:val="false"/>
      <w:color w:val="990033"/>
      <w:sz w:val="18"/>
      <w:szCs w:val="18"/>
      <w:u w:val="none"/>
      <w:effect w:val="none"/>
    </w:rPr>
  </w:style>
  <w:style w:type="character" w:styleId="Titulonoticia1" w:customStyle="1">
    <w:name w:val="titulonoticia1"/>
    <w:qFormat/>
    <w:rPr>
      <w:rFonts w:ascii="Verdana" w:hAnsi="Verdana"/>
      <w:b/>
      <w:bCs/>
      <w:strike w:val="false"/>
      <w:dstrike w:val="false"/>
      <w:color w:val="003366"/>
      <w:sz w:val="36"/>
      <w:szCs w:val="36"/>
      <w:u w:val="none"/>
      <w:effect w:val="none"/>
    </w:rPr>
  </w:style>
  <w:style w:type="character" w:styleId="Docepix1" w:customStyle="1">
    <w:name w:val="docepix1"/>
    <w:qFormat/>
    <w:rPr>
      <w:rFonts w:ascii="Arial" w:hAnsi="Arial" w:cs="Arial"/>
      <w:strike w:val="false"/>
      <w:dstrike w:val="false"/>
      <w:color w:val="000000"/>
      <w:sz w:val="18"/>
      <w:szCs w:val="18"/>
      <w:u w:val="none"/>
      <w:effect w:val="none"/>
    </w:rPr>
  </w:style>
  <w:style w:type="character" w:styleId="Trecepixnegro1" w:customStyle="1">
    <w:name w:val="trecepixnegro1"/>
    <w:qFormat/>
    <w:rPr>
      <w:rFonts w:ascii="Verdana" w:hAnsi="Verdana"/>
      <w:b w:val="false"/>
      <w:bCs w:val="false"/>
      <w:strike w:val="false"/>
      <w:dstrike w:val="false"/>
      <w:color w:val="000000"/>
      <w:sz w:val="20"/>
      <w:szCs w:val="20"/>
      <w:u w:val="none"/>
      <w:effect w:val="none"/>
    </w:rPr>
  </w:style>
  <w:style w:type="character" w:styleId="TextodegloboCar" w:customStyle="1">
    <w:name w:val="Texto de globo Car"/>
    <w:link w:val="Textodeglobo"/>
    <w:qFormat/>
    <w:rsid w:val="00bc6c3f"/>
    <w:rPr>
      <w:rFonts w:ascii="Segoe UI" w:hAnsi="Segoe UI" w:cs="Segoe UI"/>
      <w:sz w:val="18"/>
      <w:szCs w:val="18"/>
      <w:lang w:val="es-ES_tradnl"/>
    </w:rPr>
  </w:style>
  <w:style w:type="character" w:styleId="PlaceholderText">
    <w:name w:val="Placeholder Text"/>
    <w:basedOn w:val="DefaultParagraphFont"/>
    <w:uiPriority w:val="99"/>
    <w:unhideWhenUsed/>
    <w:qFormat/>
    <w:rsid w:val="001924cd"/>
    <w:rPr>
      <w:color w:val="808080"/>
    </w:rPr>
  </w:style>
  <w:style w:type="character" w:styleId="EncabezadoCar" w:customStyle="1">
    <w:name w:val="Encabezado Car"/>
    <w:basedOn w:val="DefaultParagraphFont"/>
    <w:link w:val="Encabezado"/>
    <w:uiPriority w:val="99"/>
    <w:qFormat/>
    <w:rsid w:val="00fb1e21"/>
    <w:rPr/>
  </w:style>
  <w:style w:type="character" w:styleId="Sangra2detindependienteCar" w:customStyle="1">
    <w:name w:val="Sangría 2 de t. independiente Car"/>
    <w:basedOn w:val="DefaultParagraphFont"/>
    <w:link w:val="Sangra2detindependiente"/>
    <w:semiHidden/>
    <w:qFormat/>
    <w:rsid w:val="00df405e"/>
    <w:rPr>
      <w:lang w:val="es-ES_tradnl"/>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jc w:val="both"/>
    </w:pPr>
    <w:rPr>
      <w:sz w:val="24"/>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Capaleraipeu">
    <w:name w:val="Capçalera i peu"/>
    <w:basedOn w:val="Normal"/>
    <w:qFormat/>
    <w:pPr/>
    <w:rPr/>
  </w:style>
  <w:style w:type="paragraph" w:styleId="Peudepgina">
    <w:name w:val="Footer"/>
    <w:basedOn w:val="Normal"/>
    <w:pPr>
      <w:tabs>
        <w:tab w:val="clear" w:pos="144"/>
        <w:tab w:val="center" w:pos="4252" w:leader="none"/>
        <w:tab w:val="right" w:pos="8504" w:leader="none"/>
      </w:tabs>
    </w:pPr>
    <w:rPr>
      <w:lang w:val="es-ES"/>
    </w:rPr>
  </w:style>
  <w:style w:type="paragraph" w:styleId="Capalera">
    <w:name w:val="Header"/>
    <w:basedOn w:val="Normal"/>
    <w:link w:val="EncabezadoCar"/>
    <w:uiPriority w:val="99"/>
    <w:pPr>
      <w:tabs>
        <w:tab w:val="clear" w:pos="144"/>
        <w:tab w:val="center" w:pos="4252" w:leader="none"/>
        <w:tab w:val="right" w:pos="8504" w:leader="none"/>
      </w:tabs>
    </w:pPr>
    <w:rPr>
      <w:lang w:val="es-ES"/>
    </w:rPr>
  </w:style>
  <w:style w:type="paragraph" w:styleId="DocumentMap">
    <w:name w:val="Document Map"/>
    <w:basedOn w:val="Normal"/>
    <w:semiHidden/>
    <w:qFormat/>
    <w:pPr>
      <w:shd w:val="clear" w:color="auto" w:fill="000080"/>
    </w:pPr>
    <w:rPr>
      <w:rFonts w:ascii="Tahoma" w:hAnsi="Tahoma"/>
    </w:rPr>
  </w:style>
  <w:style w:type="paragraph" w:styleId="BodyText2">
    <w:name w:val="Body Text 2"/>
    <w:basedOn w:val="Normal"/>
    <w:qFormat/>
    <w:pPr>
      <w:ind w:right="519" w:hanging="0"/>
      <w:jc w:val="both"/>
    </w:pPr>
    <w:rPr>
      <w:rFonts w:ascii="Times New" w:hAnsi="Times New"/>
      <w:b/>
      <w:sz w:val="24"/>
    </w:rPr>
  </w:style>
  <w:style w:type="paragraph" w:styleId="BodyText3">
    <w:name w:val="Body Text 3"/>
    <w:basedOn w:val="Normal"/>
    <w:qFormat/>
    <w:pPr>
      <w:jc w:val="both"/>
    </w:pPr>
    <w:rPr/>
  </w:style>
  <w:style w:type="paragraph" w:styleId="NormalWeb">
    <w:name w:val="Normal (Web)"/>
    <w:basedOn w:val="Normal"/>
    <w:uiPriority w:val="99"/>
    <w:qFormat/>
    <w:pPr>
      <w:spacing w:beforeAutospacing="1" w:afterAutospacing="1"/>
    </w:pPr>
    <w:rPr>
      <w:color w:val="000000"/>
      <w:sz w:val="24"/>
      <w:szCs w:val="24"/>
      <w:lang w:val="es-ES"/>
    </w:rPr>
  </w:style>
  <w:style w:type="paragraph" w:styleId="BalloonText">
    <w:name w:val="Balloon Text"/>
    <w:basedOn w:val="Normal"/>
    <w:link w:val="TextodegloboCar"/>
    <w:qFormat/>
    <w:rsid w:val="00bc6c3f"/>
    <w:pPr/>
    <w:rPr>
      <w:rFonts w:ascii="Segoe UI" w:hAnsi="Segoe UI" w:cs="Segoe UI"/>
      <w:sz w:val="18"/>
      <w:szCs w:val="18"/>
    </w:rPr>
  </w:style>
  <w:style w:type="paragraph" w:styleId="ListParagraph">
    <w:name w:val="List Paragraph"/>
    <w:basedOn w:val="Normal"/>
    <w:uiPriority w:val="34"/>
    <w:qFormat/>
    <w:rsid w:val="003765c1"/>
    <w:pPr>
      <w:spacing w:before="0" w:after="0"/>
      <w:ind w:left="720" w:hanging="0"/>
      <w:contextualSpacing/>
    </w:pPr>
    <w:rPr>
      <w:sz w:val="24"/>
      <w:szCs w:val="24"/>
      <w:lang w:val="es-ES"/>
    </w:rPr>
  </w:style>
  <w:style w:type="paragraph" w:styleId="Standard" w:customStyle="1">
    <w:name w:val="Standard"/>
    <w:uiPriority w:val="99"/>
    <w:qFormat/>
    <w:rsid w:val="00f42f17"/>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ca-ES" w:eastAsia="zh-CN" w:bidi="hi-IN"/>
    </w:rPr>
  </w:style>
  <w:style w:type="paragraph" w:styleId="Textbodyindent" w:customStyle="1">
    <w:name w:val="Text body indent"/>
    <w:basedOn w:val="Normal"/>
    <w:qFormat/>
    <w:rsid w:val="00f42f17"/>
    <w:pPr>
      <w:widowControl w:val="false"/>
      <w:suppressAutoHyphens w:val="true"/>
      <w:ind w:left="283" w:hanging="0"/>
      <w:textAlignment w:val="baseline"/>
    </w:pPr>
    <w:rPr>
      <w:rFonts w:ascii="Liberation Serif" w:hAnsi="Liberation Serif" w:eastAsia="Droid Sans Fallback" w:cs="FreeSans"/>
      <w:kern w:val="2"/>
      <w:sz w:val="24"/>
      <w:szCs w:val="24"/>
      <w:lang w:val="ca-ES" w:eastAsia="zh-CN" w:bidi="hi-IN"/>
    </w:rPr>
  </w:style>
  <w:style w:type="paragraph" w:styleId="BodyTextIndent2">
    <w:name w:val="Body Text Indent 2"/>
    <w:basedOn w:val="Normal"/>
    <w:link w:val="Sangra2detindependienteCar"/>
    <w:semiHidden/>
    <w:unhideWhenUsed/>
    <w:qFormat/>
    <w:rsid w:val="00df405e"/>
    <w:pPr>
      <w:spacing w:lineRule="auto" w:line="480" w:before="0" w:after="120"/>
      <w:ind w:left="283" w:hanging="0"/>
    </w:pPr>
    <w:rPr/>
  </w:style>
  <w:style w:type="paragraph" w:styleId="Western" w:customStyle="1">
    <w:name w:val="western"/>
    <w:basedOn w:val="Normal"/>
    <w:qFormat/>
    <w:rsid w:val="00df405e"/>
    <w:pPr>
      <w:spacing w:lineRule="auto" w:line="288" w:beforeAutospacing="1" w:after="142"/>
    </w:pPr>
    <w:rPr>
      <w:rFonts w:ascii="DejaVu Sans Mono" w:hAnsi="DejaVu Sans Mono" w:cs="DejaVu Sans Mono"/>
      <w:lang w:val="es-ES"/>
    </w:rPr>
  </w:style>
  <w:style w:type="paragraph" w:styleId="Listavistosanfasis11" w:customStyle="1">
    <w:name w:val="Lista vistosa - Énfasis 11"/>
    <w:basedOn w:val="Normal"/>
    <w:uiPriority w:val="34"/>
    <w:qFormat/>
    <w:rsid w:val="00df405e"/>
    <w:pPr>
      <w:spacing w:lineRule="auto" w:line="276" w:before="0" w:after="200"/>
      <w:ind w:left="720" w:hanging="0"/>
      <w:contextualSpacing/>
    </w:pPr>
    <w:rPr>
      <w:rFonts w:ascii="Calibri" w:hAnsi="Calibri" w:eastAsia="Calibri"/>
      <w:sz w:val="22"/>
      <w:szCs w:val="22"/>
      <w:lang w:val="es-ES" w:eastAsia="en-US"/>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6f0b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4A3B-76A9-4BD7-9790-8A938C04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LibreOffice/6.4.6.2$Linux_X86_64 LibreOffice_project/40$Build-2</Application>
  <Pages>2</Pages>
  <Words>1057</Words>
  <Characters>5043</Characters>
  <CharactersWithSpaces>6020</CharactersWithSpaces>
  <Paragraphs>98</Paragraphs>
  <Company>Fundamentos de Análisis Económico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2020-12-10T07:47:00Z</dcterms:created>
  <dc:creator>JAVI PARDO</dc:creator>
  <dc:description/>
  <dc:language>ca-ES</dc:language>
  <cp:lastModifiedBy>Francisco Javier Pardo Pérez</cp:lastModifiedBy>
  <cp:lastPrinted>2018-05-31T14:28:00Z</cp:lastPrinted>
  <dcterms:modified xsi:type="dcterms:W3CDTF">2020-12-10T07:55:00Z</dcterms:modified>
  <cp:revision>5</cp:revision>
  <dc:subject/>
  <dc:title>DEPARTAMENTO DE FUNDAMENTOS DEL ANALISIS ECONOMICO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Fundamentos de Análisis Económico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